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88" w:lineRule="auto"/>
        <w:bidi/>
        <w:jc w:val="right"/>
      </w:pPr>
      <w:r>
        <w:rPr>
          <w:rFonts w:ascii="Arial" w:hAnsi="Arial" w:cs="Arial"/>
          <w:b/>
          <w:i w:val="0"/>
          <w:color w:val="1F3864"/>
          <w:sz w:val="30"/>
          <w:rtl/>
        </w:rPr>
        <w:t>2. مبانی نظری و توسعه فرضیه‌ها</w:t>
      </w:r>
    </w:p>
    <w:p>
      <w:pPr>
        <w:spacing w:after="140" w:line="336" w:lineRule="auto"/>
        <w:bidi/>
        <w:jc w:val="right"/>
      </w:pPr>
      <w:r>
        <w:rPr>
          <w:rFonts w:ascii="Arial" w:hAnsi="Arial" w:cs="Arial"/>
          <w:b w:val="0"/>
          <w:i w:val="0"/>
          <w:rtl/>
        </w:rPr>
        <w:t>نظریه در این مطالعه سه کار دارد. باید موضوع مطالعه، یعنی ارزیابی ریسک سایبری که حسابرس انجام می‌دهد، را آن‌قدر دقیق تعریف کند که بتوان آن را به مولفه‌ها تجزیه کرد. باید توضیح دهد چرا این مولفه‌ها باید به هم پیوسته باشند تا فهرست به ساختاری آزمون‌پذیر تبدیل شود. و باید توضیح دهد چرا نقطه دید ناظر و زمینه ارزیابی باید آنچه دیده می‌شود را تغییر دهد. این سه کار را به‌ترتیب انجام می‌دهیم و گزاره‌ها و فرضیه‌ها از پاسخ‌ها نتیجه می‌شوند.</w:t>
      </w:r>
    </w:p>
    <w:p>
      <w:pPr>
        <w:spacing w:after="100" w:line="288" w:lineRule="auto"/>
        <w:bidi/>
        <w:jc w:val="right"/>
      </w:pPr>
      <w:r>
        <w:rPr>
          <w:rFonts w:ascii="Arial" w:hAnsi="Arial" w:cs="Arial"/>
          <w:b/>
          <w:i w:val="0"/>
          <w:color w:val="1F3864"/>
          <w:sz w:val="25"/>
          <w:rtl/>
        </w:rPr>
        <w:t>2-1. تعریف موضوع: ریسک، ریسک حسابرسی و ریسک سایبری</w:t>
      </w:r>
    </w:p>
    <w:p>
      <w:pPr>
        <w:spacing w:after="140" w:line="336" w:lineRule="auto"/>
        <w:bidi/>
        <w:jc w:val="right"/>
      </w:pPr>
      <w:r>
        <w:rPr>
          <w:rFonts w:ascii="Arial" w:hAnsi="Arial" w:cs="Arial"/>
          <w:b w:val="0"/>
          <w:i w:val="0"/>
          <w:rtl/>
        </w:rPr>
        <w:t>در واژگان ISO 31000 ریسک اثر عدم قطعیت بر اهداف است و ISO/IEC 27005:2022 این اثر را به‌صورت پیامد برای اهداف امنیت اطلاعات بیان می‌کند (ISO, 2018; ISO/IEC, 2022). اهداف حسابرس متفاوت است. حسابرس اطمینان معقول می‌خواهد که صورت‌های مالی عاری از تحریف با اهمیت است و مدل ریسک حسابرسی ریسک نرسیدن به آن را تابعی از ریسک تحریف با اهمیت، که ریسک ذاتی و ریسک کنترل را ترکیب می‌کند، و ریسک کشف بیان می‌کند. به‌نظر ما ریسک سایبری از دو نقطه وارد این مدل می‌شود. می‌تواند ریسک ذاتی را بالا ببرد، چون محیط IT به فرایندهای تولیدکننده ادعاها پیچیدگی و تغییر می‌افزاید، که دو مورد از عوامل ریسک ذاتی نام‌برده در ISA 315 (بازنگری 2019) هستند (IAASB, 2019). و می‌تواند ریسک کنترل را متأثر کند، چون کنترل‌هایی که حسابرس به آن‌ها تکیه می‌کند به کنترل‌های عمومی IT وابسته‌اند که خودشان باید شناخته و ارزیابی شوند. ورودی سوم، از طریق توان واحد برای ادامه فعالیت و افشای مناسب حوادث، به قضاوت‌های تداوم فعالیت و افشا می‌رسد، نه به تحریف در سطح ادعا.</w:t>
      </w:r>
    </w:p>
    <w:p>
      <w:pPr>
        <w:spacing w:after="140" w:line="336" w:lineRule="auto"/>
        <w:bidi/>
        <w:jc w:val="right"/>
      </w:pPr>
      <w:r>
        <w:rPr>
          <w:rFonts w:ascii="Arial" w:hAnsi="Arial" w:cs="Arial"/>
          <w:b w:val="0"/>
          <w:i w:val="0"/>
          <w:rtl/>
        </w:rPr>
        <w:t>از این رو ارزیابی ریسک سایبری در حسابرسی را مجموعه‌ای از فعالیت‌ها تعریف می‌کنیم که حسابرس، مستقیم یا از طریق متخصصان و اطلاعات تهیه‌شده توسط واحد، با آن‌ها محیط IT واحد را می‌شناسد، ریسک‌های سایبری مؤثر بر اتکاپذیری گزارشگری مالی و کنترل‌های مورد اتکا را شناسایی و ارزیابی می‌کند، قضاوتی درباره ریسک باقیمانده شکل می‌دهد و مستند می‌کند و آن را به کسانی که باید اقدام کنند منتقل می‌کند. سه ویژگی این تعریف کار نظری را انجام می‌دهد. ارزیاب مالک سیستم نیست، پس ارزیابی مسئله عدم تقارن اطلاعات است. خروجی قضاوت است نه اندازه‌گیری، که پیامد کمبود داده و محدودیت کمی‌سازی است (Cremer et al., 2022)، پس کیفیت آن به ورودی‌های قضاوت بستگی دارد. و فعالیت زنجیره‌ای از اتکا به متخصصان، توصیف‌های سازمان و گزارش‌های اشخاص ثالث است، پس توانمندی و همکاری جزئی از سازه‌اند نه صرفاً زمینه.</w:t>
      </w:r>
    </w:p>
    <w:p>
      <w:pPr>
        <w:spacing w:after="100" w:line="288" w:lineRule="auto"/>
        <w:bidi/>
        <w:jc w:val="right"/>
      </w:pPr>
      <w:r>
        <w:rPr>
          <w:rFonts w:ascii="Arial" w:hAnsi="Arial" w:cs="Arial"/>
          <w:b/>
          <w:i w:val="0"/>
          <w:color w:val="1F3864"/>
          <w:sz w:val="25"/>
          <w:rtl/>
        </w:rPr>
        <w:t>2-2. ساختار: سه لایه و هفت بُعد</w:t>
      </w:r>
    </w:p>
    <w:p>
      <w:pPr>
        <w:spacing w:after="140" w:line="336" w:lineRule="auto"/>
        <w:bidi/>
        <w:jc w:val="right"/>
      </w:pPr>
      <w:r>
        <w:rPr>
          <w:rFonts w:ascii="Arial" w:hAnsi="Arial" w:cs="Arial"/>
          <w:b w:val="0"/>
          <w:i w:val="0"/>
          <w:rtl/>
        </w:rPr>
        <w:t>سازه‌ای که این‌گونه تعریف شود به ساختار نیاز دارد و ادبیات سه لایه فراهم می‌کند. لایه مدل ریسک به نحوه شناسایی، برآورد و ارزیابی تهدید، آسیب‌پذیری و پیامد می‌پردازد. ادبیات آن نشان می‌دهد روش‌ها در پوشش تفاوت دارند (Wangen et al., 2018)، مدل‌های تحلیل تصمیم و احتمالاتی می‌توانند این سه‌گانه را ادغام کنند (Ganin et al., 2020; Wang et al., 2020) و سرمایه‌گذاری در حفاظت باید با زیان مورد انتظار هدایت شود (Gordon &amp; Loeb, 2002). لایه چرخه مدیریت به نحوه مقابله، پایش، پاسخ و یادگیری از ریسک می‌پردازد؛ جایی که چارچوب‌هایی مثل NIST CSF 2.0 بیشترین تلاش را می‌کنند و دیدگاه‌های ایستا به‌خاطر نادیده‌گرفتن پویایی نقد می‌شوند (Armenia et al., 2021). لایه اطمینان‌بخشی به معیار، شواهد، آزمون، قضاوت، گزارشگری و پاسخگویی می‌پردازد که Slapničar et al. (2022) آن را با برنامه‌ریزی، اجرا و گزارشگری عملیاتی می‌کنند و ISA 315 و استانداردهای IIA آن را تنظیم می‌کنند.</w:t>
      </w:r>
    </w:p>
    <w:p>
      <w:pPr>
        <w:spacing w:after="140" w:line="336" w:lineRule="auto"/>
        <w:bidi/>
        <w:jc w:val="right"/>
      </w:pPr>
      <w:r>
        <w:rPr>
          <w:rFonts w:ascii="Arial" w:hAnsi="Arial" w:cs="Arial"/>
          <w:b w:val="0"/>
          <w:i w:val="0"/>
          <w:rtl/>
        </w:rPr>
        <w:t>اگر هر لایه از هر دو نقطه دید پوشش داده شود، 30 مولفه در هفت بُعد به دست می‌آید (جدول A1). حاکمیت و راهبرد (C01 تا C03) آنچه را NIST CSF 2.0 اکنون کارکردی مستقل می‌داند و پژوهش به حسابرسی امنیت سایبری پیوند می‌دهد در بر می‌گیرد: حاکمیت هیئت‌مدیره، مشارکت کمیته حسابرسی و کارکرد ریسک (Islam et al., 2018) و کمیته‌های فناوری هیئت‌مدیره که بلوغ آن‌ها با نقض‌های گزارش‌شده در دو جهت متفاوت همراه است (Higgs et al., 2016). فرایند ارزیابی ریسک (C04 تا C08) دارایی‌ها، تهدیدها، آسیب‌پذیری‌ها، تحلیل و تغییر را پوشش می‌دهد و مستندترین بُعد است، با تکیه بر Hermanson et al. (2000) درباره ریسک‌های سنتی IT و ادبیات روش‌ها. کنترل و مقابله با ریسک (C09 تا C15) اجرا، دسترسی، داده، زیرساخت، توسعه و تغییر، آگاهی و اشخاص ثالث را پوشش می‌دهد؛ استانداردها اینجا غنی‌اند و پژوهش ویژه حسابرسی کم است. پایش و پاسخ (C16 تا C18) پایش، پاسخ به حادثه و تداوم را پوشش می‌دهد، جایی که دیدگاه پویای Armenia et al. (2021) و سیگنال کشف و پاسخ در Higgs et al. (2016) کاربرد دارند. انطباق، بهبود و گزارشگری (C19 تا C21) الزام قانونی، ارزیابی اثربخشی و گزارشگری را پوشش می‌دهد با تکیه بر فشارهای نهادی (Vuko et al., 2024)، گزارشگری به هیئت‌مدیره (Slapničar et al., 2022) و افشا (Sari et al., 2023). دو بُعد ویژه حسابرس فرایند خود حسابرس را (A01 تا A04: شناخت محیط IT، پیوند ریسک سایبری با تحریف با اهمیت، ارزیابی کنترل‌های عمومی IT و ارزیابی شواهد الکترونیکی) و شرایط اتکا، صلاحیت و گزارشگری (A05 تا A09: گزارش‌های سازمان خدماتی، صلاحیت و کارشناسان، اثر حوادث بر صورت‌های مالی، ارتباط با راهبران و قضاوت حرفه‌ای) پوشش می‌دهند.</w:t>
      </w:r>
    </w:p>
    <w:p>
      <w:pPr>
        <w:spacing w:after="140" w:line="336" w:lineRule="auto"/>
        <w:bidi/>
        <w:jc w:val="right"/>
      </w:pPr>
      <w:r>
        <w:rPr>
          <w:rFonts w:ascii="Arial" w:hAnsi="Arial" w:cs="Arial"/>
          <w:b w:val="0"/>
          <w:i w:val="0"/>
          <w:rtl/>
        </w:rPr>
        <w:t>نیمرخ شواهد ناهمگون است و این ناهمگونی اطلاعات می‌دهد. از 30 مولفه، 21 مولفه دست‌کم یک مطالعه تأییدشده پشتیبان دارند و نُه مولفه فقط بر استانداردها و راهنماها تکیه دارند: سیاست‌ها و راهبرد (C02)، زمینه و دامنه (C03)، کنترل دسترسی (C10)، امنیت شبکه و فیزیکی (C12)، آگاهی (C14)، ریسک اشخاص ثالث (C15)، تداوم (C18)، شواهد الکترونیکی حسابرسی (A04) و قضاوت حرفه‌ای (A09). دوازده مولفه به دیدگاه سازمان مورد رسیدگی، نُه مولفه به دیدگاه حسابرس و نُه مولفه به هر دو (مشترک) تعلق دارند (جدول A1). مولفه‌های فقط‌استانداردی جایی را نشان می‌دهند که سازه به راهنمای حرفه‌ای وابسته است نه شواهد، و اعتبارسنجی خبرگان بیشترین اهمیت را دارد؛ مولفه‌های مشترک مرزی را نشان می‌دهند که دو نقطه دید باید در آن آشتی کنند. هر دو مشاهده گزاره‌های زیر را می‌سازند.</w:t>
      </w:r>
    </w:p>
    <w:p>
      <w:pPr>
        <w:spacing w:after="100" w:line="288" w:lineRule="auto"/>
        <w:bidi/>
        <w:jc w:val="right"/>
      </w:pPr>
      <w:r>
        <w:rPr>
          <w:rFonts w:ascii="Arial" w:hAnsi="Arial" w:cs="Arial"/>
          <w:b/>
          <w:i w:val="0"/>
          <w:color w:val="1F3864"/>
          <w:sz w:val="25"/>
          <w:rtl/>
        </w:rPr>
        <w:t>2-3. سازوکارها: هر نظریه چه چیزی را توضیح می‌دهد</w:t>
      </w:r>
    </w:p>
    <w:p>
      <w:pPr>
        <w:spacing w:after="140" w:line="336" w:lineRule="auto"/>
        <w:bidi/>
        <w:jc w:val="right"/>
      </w:pPr>
      <w:r>
        <w:rPr>
          <w:rFonts w:ascii="Arial" w:hAnsi="Arial" w:cs="Arial"/>
          <w:b w:val="0"/>
          <w:i w:val="0"/>
          <w:rtl/>
        </w:rPr>
        <w:t>مدل ریسک حسابرسی و حسابرسی مبتنی بر ریسک زنجیره‌ای را توضیح می‌دهند که مطالعه را سازمان می‌دهد: اطلاعات درباره واحد و محیط IT آن به ارزیابی ریسک تبدیل می‌شود و ارزیابی پاسخ را تعیین می‌کند. بنابراین کیفیت آنچه حسابرس شناسایی و ارزیابی می‌کند باید کیفیت قضاوت درباره ریسک را تعیین کند و کیفیت قضاوت باید آنچه منتقل و انجام می‌شود را تعیین کند.</w:t>
      </w:r>
    </w:p>
    <w:p>
      <w:pPr>
        <w:spacing w:after="140" w:line="336" w:lineRule="auto"/>
        <w:bidi/>
        <w:jc w:val="right"/>
      </w:pPr>
      <w:r>
        <w:rPr>
          <w:rFonts w:ascii="Arial" w:hAnsi="Arial" w:cs="Arial"/>
          <w:b w:val="0"/>
          <w:i w:val="0"/>
          <w:rtl/>
        </w:rPr>
        <w:t>نظریه نمایندگی توضیح می‌دهد چرا نقطه دید اهمیت دارد. در روایت Jensen و Meckling (1976)، نظارت و تعهد‌دهی پدید می‌آیند چون مالکان نمی‌توانند بدون هزینه رفتار عامل را ببینند؛ حسابرسی یکی از این ابزارهاست. در ریسک سایبری این عدم تقارن شدید است: سازمان سیستم‌هایش را می‌شناسد و حسابرس باید درباره آن‌ها اظهارنظر کند. اتکا به متخصصان و توصیف‌های تهیه‌شده توسط سازمان بهای این عدم تقارن است و هرجا دو طرف مولفه‌ها را متفاوت وزن کنند، تفاوت نشان می‌دهد رابطه نظارتی کجا زیر فشار است.</w:t>
      </w:r>
    </w:p>
    <w:p>
      <w:pPr>
        <w:spacing w:after="140" w:line="336" w:lineRule="auto"/>
        <w:bidi/>
        <w:jc w:val="right"/>
      </w:pPr>
      <w:r>
        <w:rPr>
          <w:rFonts w:ascii="Arial" w:hAnsi="Arial" w:cs="Arial"/>
          <w:b w:val="0"/>
          <w:i w:val="0"/>
          <w:rtl/>
        </w:rPr>
        <w:t>دیدگاه مبتنی بر منابع و توانمندی‌های پویا توضیح می‌دهد چرا صلاحیت، همکاری و یادگیری به سازه تعلق دارند. منابع ارزشمند، کمیاب و دشوار‌تقلید عملکرد را پایدار می‌کنند (Barney, 1991) و توانمندی‌های یکپارچه‌سازی، ساخت و بازپیکربندی شایستگی‌ها امکان سازگاری با محیط متغیر را می‌دهند (Teece et al., 1997). صلاحیت فنی حسابرس، رابطه کاری با متخصصان و توان یادگیری از حوادث دقیقاً در این معنا توانمندی‌اند.</w:t>
      </w:r>
    </w:p>
    <w:p>
      <w:pPr>
        <w:spacing w:after="140" w:line="336" w:lineRule="auto"/>
        <w:bidi/>
        <w:jc w:val="right"/>
      </w:pPr>
      <w:r>
        <w:rPr>
          <w:rFonts w:ascii="Arial" w:hAnsi="Arial" w:cs="Arial"/>
          <w:b w:val="0"/>
          <w:i w:val="0"/>
          <w:rtl/>
        </w:rPr>
        <w:t>نظریه‌های نهادی و اقتضایی توضیح می‌دهند چرا زمینه اهمیت دارد. پذیرش استانداردها به فشارهای قانونی، تقلیدی و هنجاری پاسخ می‌دهد (DiMaggio &amp; Powell, 1983) و اثربخشی یک رویه به تناسب آن با شرایط سازمان بستگی دارد (Donaldson, 2001). Vuko et al. (2024) لنز نهادی را برای اثربخشی حسابرسی امنیت سایبری به کار برده‌اند. این نظریه‌ها با هم پیش‌بینی می‌کنند که مولفه‌ای می‌تواند مهم ولی غیرقابل اجرا باشد، هرجا شرایط توانمندساز نباشد؛ به همین دلیل اهمیت و قابلیت اجرا جدا سنجیده می‌شوند.</w:t>
      </w:r>
    </w:p>
    <w:p>
      <w:pPr>
        <w:spacing w:after="140" w:line="336" w:lineRule="auto"/>
        <w:bidi/>
        <w:jc w:val="right"/>
      </w:pPr>
      <w:r>
        <w:rPr>
          <w:rFonts w:ascii="Arial" w:hAnsi="Arial" w:cs="Arial"/>
          <w:b w:val="0"/>
          <w:i w:val="0"/>
          <w:rtl/>
        </w:rPr>
        <w:t>اقتصاد سرمایه‌گذاری امنیتی توضیح می‌دهد چرا قضاوت ریسک باقیمانده کارکرد اولویت‌بندی دارد. Gordon و Loeb (2002) نشان می‌دهند سرمایه‌گذاری بهینه در حفاظت از یک مجموعه اطلاعات عموماً کسری از زیان مورد انتظار است و مجموعه‌های اطلاعاتی با آسیب‌پذیری متوسط ممکن است حفاظت بیشتری از مجموعه‌های بسیار آسیب‌پذیر ارزش داشته باشند. ارزیابی‌ای که ریسک‌ها را رتبه‌بندی می‌کند و ریسک ذاتی را از باقیمانده جدا می‌کند چنین مبادلاتی را ممکن می‌سازد.</w:t>
      </w:r>
    </w:p>
    <w:p>
      <w:pPr>
        <w:spacing w:after="100" w:line="288" w:lineRule="auto"/>
        <w:bidi/>
        <w:jc w:val="right"/>
      </w:pPr>
      <w:r>
        <w:rPr>
          <w:rFonts w:ascii="Arial" w:hAnsi="Arial" w:cs="Arial"/>
          <w:b/>
          <w:i w:val="0"/>
          <w:color w:val="1F3864"/>
          <w:sz w:val="25"/>
          <w:rtl/>
        </w:rPr>
        <w:t>2-4. گزاره‌ها برای مطالعه دلفی (مقاله اول)</w:t>
      </w:r>
    </w:p>
    <w:p>
      <w:pPr>
        <w:spacing w:after="140" w:line="336" w:lineRule="auto"/>
        <w:bidi/>
        <w:jc w:val="right"/>
      </w:pPr>
      <w:r>
        <w:rPr>
          <w:rFonts w:ascii="Arial" w:hAnsi="Arial" w:cs="Arial"/>
          <w:b w:val="0"/>
          <w:i w:val="0"/>
          <w:rtl/>
        </w:rPr>
        <w:t>مطالعه دلفی فرضیه آماری آزمون نمی‌کند. چهار گزاره که از نظریه و نیمرخ شواهد نتیجه می‌شوند آن را هدایت می‌کنند و چگونگی اعتبارسنجی مولفه‌ها را تعیین می‌کنند.</w:t>
      </w:r>
    </w:p>
    <w:p>
      <w:pPr>
        <w:spacing w:after="80" w:line="336" w:lineRule="auto"/>
        <w:bidi/>
        <w:jc w:val="right"/>
      </w:pPr>
      <w:r>
        <w:rPr>
          <w:rFonts w:ascii="Arial" w:hAnsi="Arial" w:cs="Arial"/>
          <w:b w:val="0"/>
          <w:i w:val="0"/>
          <w:rtl/>
        </w:rPr>
        <w:t>• P1 (هم‌گرایی شواهد). مولفه‌هایی که هم استانداردها و هم پژوهش‌های پیشین از آن‌ها پشتیبانی می‌کنند زودتر و با پراکندگی کمتر به اجماع می‌رسند تا مولفه‌هایی که فقط بر استاندارد تکیه دارند. منابع هم‌گرا بیشتر بخشی از واژگان مشترک حرفه‌اند، در حالی که مولفه‌های فقط‌استانداردی به میزان جذب راهنما در عمل بستگی دارند (نظریه نهادی).</w:t>
      </w:r>
    </w:p>
    <w:p>
      <w:pPr>
        <w:spacing w:after="80" w:line="336" w:lineRule="auto"/>
        <w:bidi/>
        <w:jc w:val="right"/>
      </w:pPr>
      <w:r>
        <w:rPr>
          <w:rFonts w:ascii="Arial" w:hAnsi="Arial" w:cs="Arial"/>
          <w:b w:val="0"/>
          <w:i w:val="0"/>
          <w:rtl/>
        </w:rPr>
        <w:t>• P2 (برجستگی نقطه دید). هر پانل مولفه‌های نزدیک‌تر به کار خود را بالاتر امتیاز می‌دهد: پانل سازمان مولفه‌های کنترل و مقابله (C09 تا C15) و پانل حسابرس بُعدهای ویژه حسابرس (A01 تا A09). برجستگی نقش و عدم تقارن اطلاعات آنچه را هر طرف محوری می‌بیند شکل می‌دهد (نظریه نمایندگی و توانمندی‌ها).</w:t>
      </w:r>
    </w:p>
    <w:p>
      <w:pPr>
        <w:spacing w:after="80" w:line="336" w:lineRule="auto"/>
        <w:bidi/>
        <w:jc w:val="right"/>
      </w:pPr>
      <w:r>
        <w:rPr>
          <w:rFonts w:ascii="Arial" w:hAnsi="Arial" w:cs="Arial"/>
          <w:b w:val="0"/>
          <w:i w:val="0"/>
          <w:rtl/>
        </w:rPr>
        <w:t>• P3 (شکاف اهمیت و قابلیت اجرا). امتیاز قابلیت اجرا بیشترین فاصله را از امتیاز اهمیت دارد در مولفه‌هایی که به شرایط توانمندساز بیرون از کنترل ارزیاب وابسته‌اند: ریسک اشخاص ثالث (C15)، پایش مستمر (C16)، اتکا به گزارش‌های سازمان خدماتی (A05) و استفاده از کارشناس (A06) (نظریه اقتضایی و نهادی).</w:t>
      </w:r>
    </w:p>
    <w:p>
      <w:pPr>
        <w:spacing w:after="80" w:line="336" w:lineRule="auto"/>
        <w:bidi/>
        <w:jc w:val="right"/>
      </w:pPr>
      <w:r>
        <w:rPr>
          <w:rFonts w:ascii="Arial" w:hAnsi="Arial" w:cs="Arial"/>
          <w:b w:val="0"/>
          <w:i w:val="0"/>
          <w:rtl/>
        </w:rPr>
        <w:t>• P4 (شکاف ترجمه). اختلاف دو پانل در مولفه‌های مرز میان ریسک سازمان و ریسک حسابرس بیشترین است: تحلیل و ارزیابی ریسک (C07)، ریسک تقلب سایبری و تغییر (C08) و اثر بر تحریف با اهمیت (A02). دو طرف در هدف، واحد تحلیل و شواهد فرق دارند، پس واژگان یکسان معانی متفاوت می‌یابند.</w:t>
      </w:r>
    </w:p>
    <w:p>
      <w:pPr>
        <w:spacing w:after="40"/>
      </w:pPr>
    </w:p>
    <w:p>
      <w:pPr>
        <w:spacing w:after="100" w:line="288" w:lineRule="auto"/>
        <w:bidi/>
        <w:jc w:val="right"/>
      </w:pPr>
      <w:r>
        <w:rPr>
          <w:rFonts w:ascii="Arial" w:hAnsi="Arial" w:cs="Arial"/>
          <w:b/>
          <w:i w:val="0"/>
          <w:color w:val="1F3864"/>
          <w:sz w:val="25"/>
          <w:rtl/>
        </w:rPr>
        <w:t>2-5. فرضیه‌ها برای مدل ساختاری (مقاله دوم)</w:t>
      </w:r>
    </w:p>
    <w:p>
      <w:pPr>
        <w:spacing w:after="140" w:line="336" w:lineRule="auto"/>
        <w:bidi/>
        <w:jc w:val="right"/>
      </w:pPr>
      <w:r>
        <w:rPr>
          <w:rFonts w:ascii="Arial" w:hAnsi="Arial" w:cs="Arial"/>
          <w:b w:val="0"/>
          <w:i w:val="0"/>
          <w:rtl/>
        </w:rPr>
        <w:t>30 مولفه در شش سازه خلاصه می‌شوند که میزان و کیفیت اقدام‌های ارزیابی را می‌سنجند، نه ایمنی واقعی سازمان: شناسایی تهدید و آسیب‌پذیری (TVI)، ارزیابی بلوغ و اثربخشی کنترل‌ها (CCE)، همکاری و صلاحیت حسابرس–متخصص (COL)، قضاوت احتمال، پیامد و ریسک باقیمانده (RRJ)، پایش مستمر و یادگیری سازمانی (MOL) و اثربخشی فرایند ارزیابی (PEF). سیاست، دامنه و الزام قانونی به‌عنوان متغیرهای زمینه‌ای و کنترلی لحاظ می‌شوند. این نگاشت پیش‌نویس است و پس از دلفی نهایی می‌شود (شکل 1؛ جدول 1).</w:t>
      </w:r>
    </w:p>
    <w:p>
      <w:pPr>
        <w:jc w:val="center"/>
      </w:pPr>
      <w:r>
        <w:drawing>
          <wp:inline xmlns:a="http://schemas.openxmlformats.org/drawingml/2006/main" xmlns:pic="http://schemas.openxmlformats.org/drawingml/2006/picture">
            <wp:extent cx="5400000" cy="3136736"/>
            <wp:docPr id="1" name="Picture 1"/>
            <wp:cNvGraphicFramePr>
              <a:graphicFrameLocks noChangeAspect="1"/>
            </wp:cNvGraphicFramePr>
            <a:graphic>
              <a:graphicData uri="http://schemas.openxmlformats.org/drawingml/2006/picture">
                <pic:pic>
                  <pic:nvPicPr>
                    <pic:cNvPr id="0" name="model.png"/>
                    <pic:cNvPicPr/>
                  </pic:nvPicPr>
                  <pic:blipFill>
                    <a:blip r:embed="rId9"/>
                    <a:stretch>
                      <a:fillRect/>
                    </a:stretch>
                  </pic:blipFill>
                  <pic:spPr>
                    <a:xfrm>
                      <a:off x="0" y="0"/>
                      <a:ext cx="5400000" cy="3136736"/>
                    </a:xfrm>
                    <a:prstGeom prst="rect"/>
                  </pic:spPr>
                </pic:pic>
              </a:graphicData>
            </a:graphic>
          </wp:inline>
        </w:drawing>
      </w:r>
    </w:p>
    <w:p>
      <w:pPr>
        <w:spacing w:after="140" w:line="264" w:lineRule="auto"/>
        <w:bidi/>
        <w:jc w:val="center"/>
      </w:pPr>
      <w:r>
        <w:rPr>
          <w:rFonts w:ascii="Arial" w:hAnsi="Arial" w:cs="Arial"/>
          <w:b w:val="0"/>
          <w:i w:val="0"/>
          <w:color w:val="5A5A5A"/>
          <w:sz w:val="19"/>
          <w:rtl/>
        </w:rPr>
        <w:t>شکل 1. مدل ساختاری پیشنهادی.</w:t>
      </w:r>
    </w:p>
    <w:p>
      <w:pPr>
        <w:spacing w:after="140" w:line="336" w:lineRule="auto"/>
        <w:bidi/>
        <w:jc w:val="right"/>
      </w:pPr>
      <w:r>
        <w:rPr>
          <w:rFonts w:ascii="Arial" w:hAnsi="Arial" w:cs="Arial"/>
          <w:b w:val="0"/>
          <w:i w:val="0"/>
          <w:rtl/>
        </w:rPr>
        <w:t>ورودی‌های قضاوت (H1 و H2). مدل ریسک حسابرسی زنجیره‌ای از اطلاعات به ارزیابی و به پاسخ را القا می‌کند. برای شناسایی، ISA 315 شناخت محیط IT و شناسایی ریسک‌های ناشی از IT را پیش از ارزیابی ریسک تحریف با اهمیت می‌خواهد، ISO/IEC 27005:2022 شناسایی را پیش از تحلیل و ارزیابی قرار می‌دهد و ادبیات روش‌ها تهدید، آسیب‌پذیری و پیامد را سه‌گانه‌ای می‌داند که پوشش هم‌زمان آن‌ها ارزیابی کامل را تعریف می‌کند (Ganin et al., 2020; Wangen et al., 2018). پس H1: TVI بر RRJ اثر مثبت دارد. برای ارزیابی کنترل، منطق همان تعریف ریسک باقیمانده است: قضاوت درباره آنچه پس از کنترل‌ها می‌ماند نمی‌تواند از ارزیابی کنترل‌ها بهتر باشد. ISA 315 ارزیابی طراحی و اجرای کنترل‌های مرتبط و کنترل‌های عمومی IT را می‌خواهد و مرحله اجرا در Slapničar et al. (2022) جای چنین ارزیابی‌ای است. پس H2: CCE بر RRJ اثر مثبت دارد. هر دو فرضیه کیفیت اقدام‌های ارزیابی را می‌سنجند نه امنیت واحد را.</w:t>
      </w:r>
    </w:p>
    <w:p>
      <w:pPr>
        <w:spacing w:after="140" w:line="336" w:lineRule="auto"/>
        <w:bidi/>
        <w:jc w:val="right"/>
      </w:pPr>
      <w:r>
        <w:rPr>
          <w:rFonts w:ascii="Arial" w:hAnsi="Arial" w:cs="Arial"/>
          <w:b w:val="0"/>
          <w:i w:val="0"/>
          <w:rtl/>
        </w:rPr>
        <w:t>توانمندی و همکاری (H3، H4 و H9). چون ارزیاب مالک سیستم نیست و خروجی قضاوت است، توان تفسیر اطلاعات فنی بخشی از تولید قضاوت است. در دیدگاه توانمندی‌ها، همکاری حسابرس و متخصص همراه با صلاحیت حسابرس اطلاعات را به قضاوت تبدیل می‌کند. شواهد همین را نشان می‌دهند: رابطه حسابرسی داخلی و امنیت اطلاعات پرسشی شناخته‌شده درباره پیامدهای امنیتی است (Steinbart et al., 2018)، ویژگی‌های واحد حسابرسی داخلی با میزان حسابرسی امنیت سایبری مرتبط است (Islam et al., 2018) و حضور متخصص از همان Hermanson et al. (2000) با فراوانی ارزیابی‌های IT مرتبط بود؛ ISA 620 راه رسمی دسترسی به تخصص را فراهم می‌کند. پس H3: COL بر RRJ اثر مثبت دارد. ادعای پرپیامدتر H4 است: COL اثر شناسایی (H4a) و ارزیابی کنترل (H4b) بر قضاوت را تقویت می‌کند. شناسایی و ارزیابی اطلاعات فنی تولید می‌کنند؛ اینکه این اطلاعات قضاوت را تغییر دهد به این بستگی دارد که کسی صلاحیت‌دار بتواند آن را به زبان حسابرسی تفسیر کند، یعنی ترجمه دوم، از دارایی یا سناریو به ادعا. شواهد مستقیم برای تعدیل کم است و برای همین H4 را آزمونی صریح و نو معرفی می‌کنیم. H9 مسیر مستقیم COL به PEF را می‌افزاید: هماهنگی و صلاحیت چگونگی انتقال و پیگیری یافته‌ها را هم، فراتر از کیفیت خود قضاوت، شکل می‌دهند.</w:t>
      </w:r>
    </w:p>
    <w:p>
      <w:pPr>
        <w:spacing w:after="140" w:line="336" w:lineRule="auto"/>
        <w:bidi/>
        <w:jc w:val="right"/>
      </w:pPr>
      <w:r>
        <w:rPr>
          <w:rFonts w:ascii="Arial" w:hAnsi="Arial" w:cs="Arial"/>
          <w:b w:val="0"/>
          <w:i w:val="0"/>
          <w:rtl/>
        </w:rPr>
        <w:t>از قضاوت تا یادگیری و اثربخشی (H5، H6 و H7). قضاوت درباره ریسک باقیمانده دو مقصد دارد. مقصد اول کسانی هستند که باید اقدام کنند. H5: RRJ بر PEF اثر مثبت دارد، چون اولویت‌بندی، تمایز ریسک ذاتی و باقیمانده و وضوح آنچه گزارش می‌شود محصول قضاوت‌اند. Slapničar et al. (2022) برنامه‌ریزی و اجرا را به‌هم‌پیوسته و گزارشگری را سست‌تر پیوسته می‌یابند، که نشان می‌دهد گذر از قضاوت به ارتباط جایی است که اثربخشی برده یا باخته می‌شود؛ ISA 260 و ISA 265 این ارتباط را تنظیم می‌کنند. مقصد دوم ارزیابی بعدی است. H6: RRJ بر MOL اثر مثبت دارد، چون قضاوت درباره آنچه می‌ماند تعیین می‌کند چه چیزی باید پایش شود و بازارزیابی چه زمانی آغاز می‌شود. این همان دیدگاه پویاست که Armenia et al. (2021) در کاربرد ایستای چارچوب‌ها کم می‌یابند و با الزام‌های پایش و بهبود ISO/IEC 27001:2022 و دسته بهبود در NIST CSF 2.0 متناظر است. H7: MOL بر PEF اثر مثبت دارد، چون ارزیابی‌ای که با تغییر تهدیدها، سیستم‌ها و تأمین‌کنندگان بازبینی می‌شود کامل‌تر و به‌موقع‌تر از ارزیابی یک‌باره است.</w:t>
      </w:r>
    </w:p>
    <w:p>
      <w:pPr>
        <w:spacing w:after="140" w:line="336" w:lineRule="auto"/>
        <w:bidi/>
        <w:jc w:val="right"/>
      </w:pPr>
      <w:r>
        <w:rPr>
          <w:rFonts w:ascii="Arial" w:hAnsi="Arial" w:cs="Arial"/>
          <w:b w:val="0"/>
          <w:i w:val="0"/>
          <w:rtl/>
        </w:rPr>
        <w:t>میانجی‌گری (H8). اگر H1، H2 و H5 برقرار باشند، شناسایی و ارزیابی کنترل عمدتاً از راه قضاوت بر اثربخشی اثر می‌گذارند: ورودی می‌دهند و قضاوت ورودی را به نتایج اولویت‌بندی‌شده و قابل انتقال تبدیل می‌کند. H8: RRJ اثر TVI (H8a) و CCE (H8b) بر PEF را میانجی‌گری می‌کند. میانجی‌گری جزئی نشان می‌دهد این فعالیت‌ها مستقیم هم سهم دارند، مثلاً از راه اعتبار شواهد.</w:t>
      </w:r>
    </w:p>
    <w:p>
      <w:pPr>
        <w:spacing w:after="140" w:line="336" w:lineRule="auto"/>
        <w:bidi/>
        <w:jc w:val="right"/>
      </w:pPr>
      <w:r>
        <w:rPr>
          <w:rFonts w:ascii="Arial" w:hAnsi="Arial" w:cs="Arial"/>
          <w:b w:val="0"/>
          <w:i w:val="0"/>
          <w:rtl/>
        </w:rPr>
        <w:t>نقطه دید (H10). بعید است همین زنجیره برای سازمان‌های مورد رسیدگی و حسابرسان یکسان عمل کند. در عدم تقارن اطلاعات، سازمان دانش مستقیم از سیستم‌های خود دارد و حسابرس به سازمان و متخصصان وابسته است. پس انتظار داریم تفسیر برای حسابرسان مهم‌تر باشد: H10a، اثر COL بر RRJ در گروه حسابرس قوی‌تر است. چون اثربخشی حسابرس بیشتر با آنچه گزارش و پیگیری می‌شود تعریف می‌شود، انتظار داریم H10b: اثر RRJ بر PEF در گروه حسابرس قوی‌تر باشد. تفاوت مسیرهای دیگر بدون پیش‌بینی جهتی بررسی می‌شود (H10c). مقایسه پیش‌فرضش ثبات اندازه‌گیری است که پیش از هر مقایسه مسیر آزمون می‌شود.</w:t>
      </w:r>
    </w:p>
    <w:p>
      <w:pPr>
        <w:spacing w:after="60" w:line="264" w:lineRule="auto"/>
        <w:bidi/>
        <w:jc w:val="right"/>
      </w:pPr>
      <w:r>
        <w:rPr>
          <w:rFonts w:ascii="Arial" w:hAnsi="Arial" w:cs="Arial"/>
          <w:b/>
          <w:i w:val="0"/>
          <w:sz w:val="21"/>
          <w:rtl/>
        </w:rPr>
        <w:t>جدول 1. فرضیه‌ها</w:t>
      </w:r>
    </w:p>
    <w:tbl>
      <w:tblPr>
        <w:tblStyle w:val="TableGrid"/>
        <w:tblW w:type="auto" w:w="0"/>
        <w:tblLayout w:type="fixed"/>
        <w:tblLook w:firstColumn="1" w:firstRow="1" w:lastColumn="0" w:lastRow="0" w:noHBand="0" w:noVBand="1" w:val="04A0"/>
        <w:bidiVisual/>
      </w:tblPr>
      <w:tblGrid>
        <w:gridCol w:w="1077"/>
        <w:gridCol w:w="3005"/>
        <w:gridCol w:w="2438"/>
        <w:gridCol w:w="2835"/>
      </w:tblGrid>
      <w:tr>
        <w:tc>
          <w:tcPr>
            <w:tcW w:type="dxa" w:w="1077"/>
            <w:shd w:val="clear" w:color="auto" w:fill="1F3864"/>
          </w:tcPr>
          <w:p>
            <w:pPr>
              <w:bidi/>
              <w:jc w:val="right"/>
            </w:pPr>
            <w:r>
              <w:rPr>
                <w:rFonts w:ascii="Arial" w:hAnsi="Arial" w:cs="Arial"/>
                <w:rtl/>
              </w:rPr>
            </w:r>
            <w:r>
              <w:rPr>
                <w:rFonts w:ascii="Arial" w:hAnsi="Arial" w:cs="Arial"/>
                <w:b/>
                <w:color w:val="FFFFFF"/>
                <w:sz w:val="17"/>
                <w:rtl/>
              </w:rPr>
              <w:t>فرضیه</w:t>
            </w:r>
          </w:p>
        </w:tc>
        <w:tc>
          <w:tcPr>
            <w:tcW w:type="dxa" w:w="3005"/>
            <w:shd w:val="clear" w:color="auto" w:fill="1F3864"/>
          </w:tcPr>
          <w:p>
            <w:pPr>
              <w:bidi/>
              <w:jc w:val="right"/>
            </w:pPr>
            <w:r>
              <w:rPr>
                <w:rFonts w:ascii="Arial" w:hAnsi="Arial" w:cs="Arial"/>
                <w:rtl/>
              </w:rPr>
            </w:r>
            <w:r>
              <w:rPr>
                <w:rFonts w:ascii="Arial" w:hAnsi="Arial" w:cs="Arial"/>
                <w:b/>
                <w:color w:val="FFFFFF"/>
                <w:sz w:val="17"/>
                <w:rtl/>
              </w:rPr>
              <w:t>متن</w:t>
            </w:r>
          </w:p>
        </w:tc>
        <w:tc>
          <w:tcPr>
            <w:tcW w:type="dxa" w:w="2438"/>
            <w:shd w:val="clear" w:color="auto" w:fill="1F3864"/>
          </w:tcPr>
          <w:p>
            <w:pPr>
              <w:bidi/>
              <w:jc w:val="right"/>
            </w:pPr>
            <w:r>
              <w:rPr>
                <w:rFonts w:ascii="Arial" w:hAnsi="Arial" w:cs="Arial"/>
                <w:rtl/>
              </w:rPr>
            </w:r>
            <w:r>
              <w:rPr>
                <w:rFonts w:ascii="Arial" w:hAnsi="Arial" w:cs="Arial"/>
                <w:b/>
                <w:color w:val="FFFFFF"/>
                <w:sz w:val="17"/>
                <w:rtl/>
              </w:rPr>
              <w:t>سازوکار</w:t>
            </w:r>
          </w:p>
        </w:tc>
        <w:tc>
          <w:tcPr>
            <w:tcW w:type="dxa" w:w="2835"/>
            <w:shd w:val="clear" w:color="auto" w:fill="1F3864"/>
          </w:tcPr>
          <w:p>
            <w:pPr>
              <w:bidi/>
              <w:jc w:val="right"/>
            </w:pPr>
            <w:r>
              <w:rPr>
                <w:rFonts w:ascii="Arial" w:hAnsi="Arial" w:cs="Arial"/>
                <w:rtl/>
              </w:rPr>
            </w:r>
            <w:r>
              <w:rPr>
                <w:rFonts w:ascii="Arial" w:hAnsi="Arial" w:cs="Arial"/>
                <w:b/>
                <w:color w:val="FFFFFF"/>
                <w:sz w:val="17"/>
                <w:rtl/>
              </w:rPr>
              <w:t>مبانی</w:t>
            </w:r>
          </w:p>
        </w:tc>
      </w:tr>
      <w:tr>
        <w:tc>
          <w:tcPr>
            <w:tcW w:type="dxa" w:w="1077"/>
          </w:tcPr>
          <w:p>
            <w:pPr>
              <w:bidi/>
              <w:jc w:val="right"/>
            </w:pPr>
            <w:r>
              <w:rPr>
                <w:rFonts w:ascii="Arial" w:hAnsi="Arial" w:cs="Arial"/>
                <w:rtl/>
              </w:rPr>
            </w:r>
            <w:r>
              <w:rPr>
                <w:rFonts w:ascii="Arial" w:hAnsi="Arial" w:cs="Arial"/>
                <w:b w:val="0"/>
                <w:sz w:val="17"/>
                <w:rtl/>
              </w:rPr>
              <w:t>H1</w:t>
            </w:r>
          </w:p>
        </w:tc>
        <w:tc>
          <w:tcPr>
            <w:tcW w:type="dxa" w:w="3005"/>
          </w:tcPr>
          <w:p>
            <w:pPr>
              <w:bidi/>
              <w:jc w:val="right"/>
            </w:pPr>
            <w:r>
              <w:rPr>
                <w:rFonts w:ascii="Arial" w:hAnsi="Arial" w:cs="Arial"/>
                <w:rtl/>
              </w:rPr>
            </w:r>
            <w:r>
              <w:rPr>
                <w:rFonts w:ascii="Arial" w:hAnsi="Arial" w:cs="Arial"/>
                <w:b w:val="0"/>
                <w:sz w:val="17"/>
                <w:rtl/>
              </w:rPr>
              <w:t>TVI بر RRJ اثر مثبت دارد.</w:t>
            </w:r>
          </w:p>
        </w:tc>
        <w:tc>
          <w:tcPr>
            <w:tcW w:type="dxa" w:w="2438"/>
          </w:tcPr>
          <w:p>
            <w:pPr>
              <w:bidi/>
              <w:jc w:val="right"/>
            </w:pPr>
            <w:r>
              <w:rPr>
                <w:rFonts w:ascii="Arial" w:hAnsi="Arial" w:cs="Arial"/>
                <w:rtl/>
              </w:rPr>
            </w:r>
            <w:r>
              <w:rPr>
                <w:rFonts w:ascii="Arial" w:hAnsi="Arial" w:cs="Arial"/>
                <w:b w:val="0"/>
                <w:sz w:val="17"/>
                <w:rtl/>
              </w:rPr>
              <w:t>مدل ریسک حسابرسی: شناسایی پیش از ارزیابی</w:t>
            </w:r>
          </w:p>
        </w:tc>
        <w:tc>
          <w:tcPr>
            <w:tcW w:type="dxa" w:w="2835"/>
          </w:tcPr>
          <w:p>
            <w:pPr>
              <w:jc w:val="left"/>
            </w:pPr>
            <w:r/>
            <w:r>
              <w:rPr>
                <w:b w:val="0"/>
                <w:sz w:val="17"/>
              </w:rPr>
              <w:t>ISA 315; ISO/IEC 27005:2022; Ganin et al. (2020); Wangen et al. (2018)</w:t>
            </w:r>
          </w:p>
        </w:tc>
      </w:tr>
      <w:tr>
        <w:tc>
          <w:tcPr>
            <w:tcW w:type="dxa" w:w="1077"/>
          </w:tcPr>
          <w:p>
            <w:pPr>
              <w:bidi/>
              <w:jc w:val="right"/>
            </w:pPr>
            <w:r>
              <w:rPr>
                <w:rFonts w:ascii="Arial" w:hAnsi="Arial" w:cs="Arial"/>
                <w:rtl/>
              </w:rPr>
            </w:r>
            <w:r>
              <w:rPr>
                <w:rFonts w:ascii="Arial" w:hAnsi="Arial" w:cs="Arial"/>
                <w:b w:val="0"/>
                <w:sz w:val="17"/>
                <w:rtl/>
              </w:rPr>
              <w:t>H2</w:t>
            </w:r>
          </w:p>
        </w:tc>
        <w:tc>
          <w:tcPr>
            <w:tcW w:type="dxa" w:w="3005"/>
          </w:tcPr>
          <w:p>
            <w:pPr>
              <w:bidi/>
              <w:jc w:val="right"/>
            </w:pPr>
            <w:r>
              <w:rPr>
                <w:rFonts w:ascii="Arial" w:hAnsi="Arial" w:cs="Arial"/>
                <w:rtl/>
              </w:rPr>
            </w:r>
            <w:r>
              <w:rPr>
                <w:rFonts w:ascii="Arial" w:hAnsi="Arial" w:cs="Arial"/>
                <w:b w:val="0"/>
                <w:sz w:val="17"/>
                <w:rtl/>
              </w:rPr>
              <w:t>CCE بر RRJ اثر مثبت دارد.</w:t>
            </w:r>
          </w:p>
        </w:tc>
        <w:tc>
          <w:tcPr>
            <w:tcW w:type="dxa" w:w="2438"/>
          </w:tcPr>
          <w:p>
            <w:pPr>
              <w:bidi/>
              <w:jc w:val="right"/>
            </w:pPr>
            <w:r>
              <w:rPr>
                <w:rFonts w:ascii="Arial" w:hAnsi="Arial" w:cs="Arial"/>
                <w:rtl/>
              </w:rPr>
            </w:r>
            <w:r>
              <w:rPr>
                <w:rFonts w:ascii="Arial" w:hAnsi="Arial" w:cs="Arial"/>
                <w:b w:val="0"/>
                <w:sz w:val="17"/>
                <w:rtl/>
              </w:rPr>
              <w:t>ریسک باقیمانده نیازمند ارزیابی کنترل است</w:t>
            </w:r>
          </w:p>
        </w:tc>
        <w:tc>
          <w:tcPr>
            <w:tcW w:type="dxa" w:w="2835"/>
          </w:tcPr>
          <w:p>
            <w:pPr>
              <w:jc w:val="left"/>
            </w:pPr>
            <w:r/>
            <w:r>
              <w:rPr>
                <w:b w:val="0"/>
                <w:sz w:val="17"/>
              </w:rPr>
              <w:t>ISA 315 (کنترل‌ها، GITC); Slapničar et al. (2022)</w:t>
            </w:r>
          </w:p>
        </w:tc>
      </w:tr>
      <w:tr>
        <w:tc>
          <w:tcPr>
            <w:tcW w:type="dxa" w:w="1077"/>
          </w:tcPr>
          <w:p>
            <w:pPr>
              <w:bidi/>
              <w:jc w:val="right"/>
            </w:pPr>
            <w:r>
              <w:rPr>
                <w:rFonts w:ascii="Arial" w:hAnsi="Arial" w:cs="Arial"/>
                <w:rtl/>
              </w:rPr>
            </w:r>
            <w:r>
              <w:rPr>
                <w:rFonts w:ascii="Arial" w:hAnsi="Arial" w:cs="Arial"/>
                <w:b w:val="0"/>
                <w:sz w:val="17"/>
                <w:rtl/>
              </w:rPr>
              <w:t>H3</w:t>
            </w:r>
          </w:p>
        </w:tc>
        <w:tc>
          <w:tcPr>
            <w:tcW w:type="dxa" w:w="3005"/>
          </w:tcPr>
          <w:p>
            <w:pPr>
              <w:bidi/>
              <w:jc w:val="right"/>
            </w:pPr>
            <w:r>
              <w:rPr>
                <w:rFonts w:ascii="Arial" w:hAnsi="Arial" w:cs="Arial"/>
                <w:rtl/>
              </w:rPr>
            </w:r>
            <w:r>
              <w:rPr>
                <w:rFonts w:ascii="Arial" w:hAnsi="Arial" w:cs="Arial"/>
                <w:b w:val="0"/>
                <w:sz w:val="17"/>
                <w:rtl/>
              </w:rPr>
              <w:t>COL بر RRJ اثر مثبت دارد.</w:t>
            </w:r>
          </w:p>
        </w:tc>
        <w:tc>
          <w:tcPr>
            <w:tcW w:type="dxa" w:w="2438"/>
          </w:tcPr>
          <w:p>
            <w:pPr>
              <w:bidi/>
              <w:jc w:val="right"/>
            </w:pPr>
            <w:r>
              <w:rPr>
                <w:rFonts w:ascii="Arial" w:hAnsi="Arial" w:cs="Arial"/>
                <w:rtl/>
              </w:rPr>
            </w:r>
            <w:r>
              <w:rPr>
                <w:rFonts w:ascii="Arial" w:hAnsi="Arial" w:cs="Arial"/>
                <w:b w:val="0"/>
                <w:sz w:val="17"/>
                <w:rtl/>
              </w:rPr>
              <w:t>توانمندی‌ها اطلاعات را به قضاوت تبدیل می‌کنند</w:t>
            </w:r>
          </w:p>
        </w:tc>
        <w:tc>
          <w:tcPr>
            <w:tcW w:type="dxa" w:w="2835"/>
          </w:tcPr>
          <w:p>
            <w:pPr>
              <w:jc w:val="left"/>
            </w:pPr>
            <w:r/>
            <w:r>
              <w:rPr>
                <w:b w:val="0"/>
                <w:sz w:val="17"/>
              </w:rPr>
              <w:t>Steinbart et al. (2018); Islam et al. (2018); Hermanson et al. (2000); ISA 620</w:t>
            </w:r>
          </w:p>
        </w:tc>
      </w:tr>
      <w:tr>
        <w:tc>
          <w:tcPr>
            <w:tcW w:type="dxa" w:w="1077"/>
          </w:tcPr>
          <w:p>
            <w:pPr>
              <w:bidi/>
              <w:jc w:val="right"/>
            </w:pPr>
            <w:r>
              <w:rPr>
                <w:rFonts w:ascii="Arial" w:hAnsi="Arial" w:cs="Arial"/>
                <w:rtl/>
              </w:rPr>
            </w:r>
            <w:r>
              <w:rPr>
                <w:rFonts w:ascii="Arial" w:hAnsi="Arial" w:cs="Arial"/>
                <w:b w:val="0"/>
                <w:sz w:val="17"/>
                <w:rtl/>
              </w:rPr>
              <w:t>H4a/b</w:t>
            </w:r>
          </w:p>
        </w:tc>
        <w:tc>
          <w:tcPr>
            <w:tcW w:type="dxa" w:w="3005"/>
          </w:tcPr>
          <w:p>
            <w:pPr>
              <w:bidi/>
              <w:jc w:val="right"/>
            </w:pPr>
            <w:r>
              <w:rPr>
                <w:rFonts w:ascii="Arial" w:hAnsi="Arial" w:cs="Arial"/>
                <w:rtl/>
              </w:rPr>
            </w:r>
            <w:r>
              <w:rPr>
                <w:rFonts w:ascii="Arial" w:hAnsi="Arial" w:cs="Arial"/>
                <w:b w:val="0"/>
                <w:sz w:val="17"/>
                <w:rtl/>
              </w:rPr>
              <w:t>COL اثر TVI→RRJ (H4a) و CCE→RRJ (H4b) را تقویت می‌کند.</w:t>
            </w:r>
          </w:p>
        </w:tc>
        <w:tc>
          <w:tcPr>
            <w:tcW w:type="dxa" w:w="2438"/>
          </w:tcPr>
          <w:p>
            <w:pPr>
              <w:bidi/>
              <w:jc w:val="right"/>
            </w:pPr>
            <w:r>
              <w:rPr>
                <w:rFonts w:ascii="Arial" w:hAnsi="Arial" w:cs="Arial"/>
                <w:rtl/>
              </w:rPr>
            </w:r>
            <w:r>
              <w:rPr>
                <w:rFonts w:ascii="Arial" w:hAnsi="Arial" w:cs="Arial"/>
                <w:b w:val="0"/>
                <w:sz w:val="17"/>
                <w:rtl/>
              </w:rPr>
              <w:t>تفسیر اطلاعات فنی (ترجمه دوم)</w:t>
            </w:r>
          </w:p>
        </w:tc>
        <w:tc>
          <w:tcPr>
            <w:tcW w:type="dxa" w:w="2835"/>
          </w:tcPr>
          <w:p>
            <w:pPr>
              <w:jc w:val="left"/>
            </w:pPr>
            <w:r/>
            <w:r>
              <w:rPr>
                <w:b w:val="0"/>
                <w:sz w:val="17"/>
              </w:rPr>
              <w:t>نو؛ شواهد مستقیم محدود</w:t>
            </w:r>
          </w:p>
        </w:tc>
      </w:tr>
      <w:tr>
        <w:tc>
          <w:tcPr>
            <w:tcW w:type="dxa" w:w="1077"/>
          </w:tcPr>
          <w:p>
            <w:pPr>
              <w:bidi/>
              <w:jc w:val="right"/>
            </w:pPr>
            <w:r>
              <w:rPr>
                <w:rFonts w:ascii="Arial" w:hAnsi="Arial" w:cs="Arial"/>
                <w:rtl/>
              </w:rPr>
            </w:r>
            <w:r>
              <w:rPr>
                <w:rFonts w:ascii="Arial" w:hAnsi="Arial" w:cs="Arial"/>
                <w:b w:val="0"/>
                <w:sz w:val="17"/>
                <w:rtl/>
              </w:rPr>
              <w:t>H5</w:t>
            </w:r>
          </w:p>
        </w:tc>
        <w:tc>
          <w:tcPr>
            <w:tcW w:type="dxa" w:w="3005"/>
          </w:tcPr>
          <w:p>
            <w:pPr>
              <w:bidi/>
              <w:jc w:val="right"/>
            </w:pPr>
            <w:r>
              <w:rPr>
                <w:rFonts w:ascii="Arial" w:hAnsi="Arial" w:cs="Arial"/>
                <w:rtl/>
              </w:rPr>
            </w:r>
            <w:r>
              <w:rPr>
                <w:rFonts w:ascii="Arial" w:hAnsi="Arial" w:cs="Arial"/>
                <w:b w:val="0"/>
                <w:sz w:val="17"/>
                <w:rtl/>
              </w:rPr>
              <w:t>RRJ بر PEF اثر مثبت دارد.</w:t>
            </w:r>
          </w:p>
        </w:tc>
        <w:tc>
          <w:tcPr>
            <w:tcW w:type="dxa" w:w="2438"/>
          </w:tcPr>
          <w:p>
            <w:pPr>
              <w:bidi/>
              <w:jc w:val="right"/>
            </w:pPr>
            <w:r>
              <w:rPr>
                <w:rFonts w:ascii="Arial" w:hAnsi="Arial" w:cs="Arial"/>
                <w:rtl/>
              </w:rPr>
            </w:r>
            <w:r>
              <w:rPr>
                <w:rFonts w:ascii="Arial" w:hAnsi="Arial" w:cs="Arial"/>
                <w:b w:val="0"/>
                <w:sz w:val="17"/>
                <w:rtl/>
              </w:rPr>
              <w:t>اولویت‌بندی و ارتباط محصول قضاوت‌اند</w:t>
            </w:r>
          </w:p>
        </w:tc>
        <w:tc>
          <w:tcPr>
            <w:tcW w:type="dxa" w:w="2835"/>
          </w:tcPr>
          <w:p>
            <w:pPr>
              <w:jc w:val="left"/>
            </w:pPr>
            <w:r/>
            <w:r>
              <w:rPr>
                <w:b w:val="0"/>
                <w:sz w:val="17"/>
              </w:rPr>
              <w:t>Slapničar et al. (2022); ISA 260, 265</w:t>
            </w:r>
          </w:p>
        </w:tc>
      </w:tr>
      <w:tr>
        <w:tc>
          <w:tcPr>
            <w:tcW w:type="dxa" w:w="1077"/>
          </w:tcPr>
          <w:p>
            <w:pPr>
              <w:bidi/>
              <w:jc w:val="right"/>
            </w:pPr>
            <w:r>
              <w:rPr>
                <w:rFonts w:ascii="Arial" w:hAnsi="Arial" w:cs="Arial"/>
                <w:rtl/>
              </w:rPr>
            </w:r>
            <w:r>
              <w:rPr>
                <w:rFonts w:ascii="Arial" w:hAnsi="Arial" w:cs="Arial"/>
                <w:b w:val="0"/>
                <w:sz w:val="17"/>
                <w:rtl/>
              </w:rPr>
              <w:t>H6</w:t>
            </w:r>
          </w:p>
        </w:tc>
        <w:tc>
          <w:tcPr>
            <w:tcW w:type="dxa" w:w="3005"/>
          </w:tcPr>
          <w:p>
            <w:pPr>
              <w:bidi/>
              <w:jc w:val="right"/>
            </w:pPr>
            <w:r>
              <w:rPr>
                <w:rFonts w:ascii="Arial" w:hAnsi="Arial" w:cs="Arial"/>
                <w:rtl/>
              </w:rPr>
            </w:r>
            <w:r>
              <w:rPr>
                <w:rFonts w:ascii="Arial" w:hAnsi="Arial" w:cs="Arial"/>
                <w:b w:val="0"/>
                <w:sz w:val="17"/>
                <w:rtl/>
              </w:rPr>
              <w:t>RRJ بر MOL اثر مثبت دارد.</w:t>
            </w:r>
          </w:p>
        </w:tc>
        <w:tc>
          <w:tcPr>
            <w:tcW w:type="dxa" w:w="2438"/>
          </w:tcPr>
          <w:p>
            <w:pPr>
              <w:bidi/>
              <w:jc w:val="right"/>
            </w:pPr>
            <w:r>
              <w:rPr>
                <w:rFonts w:ascii="Arial" w:hAnsi="Arial" w:cs="Arial"/>
                <w:rtl/>
              </w:rPr>
            </w:r>
            <w:r>
              <w:rPr>
                <w:rFonts w:ascii="Arial" w:hAnsi="Arial" w:cs="Arial"/>
                <w:b w:val="0"/>
                <w:sz w:val="17"/>
                <w:rtl/>
              </w:rPr>
              <w:t>ریسک باقیمانده پایش و بازارزیابی را تعیین می‌کند</w:t>
            </w:r>
          </w:p>
        </w:tc>
        <w:tc>
          <w:tcPr>
            <w:tcW w:type="dxa" w:w="2835"/>
          </w:tcPr>
          <w:p>
            <w:pPr>
              <w:jc w:val="left"/>
            </w:pPr>
            <w:r/>
            <w:r>
              <w:rPr>
                <w:b w:val="0"/>
                <w:sz w:val="17"/>
              </w:rPr>
              <w:t>Armenia et al. (2021); ISO/IEC 27001:2022; NIST CSF 2.0</w:t>
            </w:r>
          </w:p>
        </w:tc>
      </w:tr>
      <w:tr>
        <w:tc>
          <w:tcPr>
            <w:tcW w:type="dxa" w:w="1077"/>
          </w:tcPr>
          <w:p>
            <w:pPr>
              <w:bidi/>
              <w:jc w:val="right"/>
            </w:pPr>
            <w:r>
              <w:rPr>
                <w:rFonts w:ascii="Arial" w:hAnsi="Arial" w:cs="Arial"/>
                <w:rtl/>
              </w:rPr>
            </w:r>
            <w:r>
              <w:rPr>
                <w:rFonts w:ascii="Arial" w:hAnsi="Arial" w:cs="Arial"/>
                <w:b w:val="0"/>
                <w:sz w:val="17"/>
                <w:rtl/>
              </w:rPr>
              <w:t>H7</w:t>
            </w:r>
          </w:p>
        </w:tc>
        <w:tc>
          <w:tcPr>
            <w:tcW w:type="dxa" w:w="3005"/>
          </w:tcPr>
          <w:p>
            <w:pPr>
              <w:bidi/>
              <w:jc w:val="right"/>
            </w:pPr>
            <w:r>
              <w:rPr>
                <w:rFonts w:ascii="Arial" w:hAnsi="Arial" w:cs="Arial"/>
                <w:rtl/>
              </w:rPr>
            </w:r>
            <w:r>
              <w:rPr>
                <w:rFonts w:ascii="Arial" w:hAnsi="Arial" w:cs="Arial"/>
                <w:b w:val="0"/>
                <w:sz w:val="17"/>
                <w:rtl/>
              </w:rPr>
              <w:t>MOL بر PEF اثر مثبت دارد.</w:t>
            </w:r>
          </w:p>
        </w:tc>
        <w:tc>
          <w:tcPr>
            <w:tcW w:type="dxa" w:w="2438"/>
          </w:tcPr>
          <w:p>
            <w:pPr>
              <w:bidi/>
              <w:jc w:val="right"/>
            </w:pPr>
            <w:r>
              <w:rPr>
                <w:rFonts w:ascii="Arial" w:hAnsi="Arial" w:cs="Arial"/>
                <w:rtl/>
              </w:rPr>
            </w:r>
            <w:r>
              <w:rPr>
                <w:rFonts w:ascii="Arial" w:hAnsi="Arial" w:cs="Arial"/>
                <w:b w:val="0"/>
                <w:sz w:val="17"/>
                <w:rtl/>
              </w:rPr>
              <w:t>ارزیابی بازبینی‌شده کامل‌تر و به‌موقع‌تر است</w:t>
            </w:r>
          </w:p>
        </w:tc>
        <w:tc>
          <w:tcPr>
            <w:tcW w:type="dxa" w:w="2835"/>
          </w:tcPr>
          <w:p>
            <w:pPr>
              <w:jc w:val="left"/>
            </w:pPr>
            <w:r/>
            <w:r>
              <w:rPr>
                <w:b w:val="0"/>
                <w:sz w:val="17"/>
              </w:rPr>
              <w:t>Armenia et al. (2021); Li et al. (2020)</w:t>
            </w:r>
          </w:p>
        </w:tc>
      </w:tr>
      <w:tr>
        <w:tc>
          <w:tcPr>
            <w:tcW w:type="dxa" w:w="1077"/>
          </w:tcPr>
          <w:p>
            <w:pPr>
              <w:bidi/>
              <w:jc w:val="right"/>
            </w:pPr>
            <w:r>
              <w:rPr>
                <w:rFonts w:ascii="Arial" w:hAnsi="Arial" w:cs="Arial"/>
                <w:rtl/>
              </w:rPr>
            </w:r>
            <w:r>
              <w:rPr>
                <w:rFonts w:ascii="Arial" w:hAnsi="Arial" w:cs="Arial"/>
                <w:b w:val="0"/>
                <w:sz w:val="17"/>
                <w:rtl/>
              </w:rPr>
              <w:t>H8a/b</w:t>
            </w:r>
          </w:p>
        </w:tc>
        <w:tc>
          <w:tcPr>
            <w:tcW w:type="dxa" w:w="3005"/>
          </w:tcPr>
          <w:p>
            <w:pPr>
              <w:bidi/>
              <w:jc w:val="right"/>
            </w:pPr>
            <w:r>
              <w:rPr>
                <w:rFonts w:ascii="Arial" w:hAnsi="Arial" w:cs="Arial"/>
                <w:rtl/>
              </w:rPr>
            </w:r>
            <w:r>
              <w:rPr>
                <w:rFonts w:ascii="Arial" w:hAnsi="Arial" w:cs="Arial"/>
                <w:b w:val="0"/>
                <w:sz w:val="17"/>
                <w:rtl/>
              </w:rPr>
              <w:t>RRJ اثر TVI→PEF (H8a) و CCE→PEF (H8b) را میانجی‌گری می‌کند.</w:t>
            </w:r>
          </w:p>
        </w:tc>
        <w:tc>
          <w:tcPr>
            <w:tcW w:type="dxa" w:w="2438"/>
          </w:tcPr>
          <w:p>
            <w:pPr>
              <w:bidi/>
              <w:jc w:val="right"/>
            </w:pPr>
            <w:r>
              <w:rPr>
                <w:rFonts w:ascii="Arial" w:hAnsi="Arial" w:cs="Arial"/>
                <w:rtl/>
              </w:rPr>
            </w:r>
            <w:r>
              <w:rPr>
                <w:rFonts w:ascii="Arial" w:hAnsi="Arial" w:cs="Arial"/>
                <w:b w:val="0"/>
                <w:sz w:val="17"/>
                <w:rtl/>
              </w:rPr>
              <w:t>ورودی‌ها از راه قضاوت اثر می‌گذارند</w:t>
            </w:r>
          </w:p>
        </w:tc>
        <w:tc>
          <w:tcPr>
            <w:tcW w:type="dxa" w:w="2835"/>
          </w:tcPr>
          <w:p>
            <w:pPr>
              <w:jc w:val="left"/>
            </w:pPr>
            <w:r/>
            <w:r>
              <w:rPr>
                <w:b w:val="0"/>
                <w:sz w:val="17"/>
              </w:rPr>
              <w:t>نتیجه H1، H2 و H5</w:t>
            </w:r>
          </w:p>
        </w:tc>
      </w:tr>
      <w:tr>
        <w:tc>
          <w:tcPr>
            <w:tcW w:type="dxa" w:w="1077"/>
          </w:tcPr>
          <w:p>
            <w:pPr>
              <w:bidi/>
              <w:jc w:val="right"/>
            </w:pPr>
            <w:r>
              <w:rPr>
                <w:rFonts w:ascii="Arial" w:hAnsi="Arial" w:cs="Arial"/>
                <w:rtl/>
              </w:rPr>
            </w:r>
            <w:r>
              <w:rPr>
                <w:rFonts w:ascii="Arial" w:hAnsi="Arial" w:cs="Arial"/>
                <w:b w:val="0"/>
                <w:sz w:val="17"/>
                <w:rtl/>
              </w:rPr>
              <w:t>H9</w:t>
            </w:r>
          </w:p>
        </w:tc>
        <w:tc>
          <w:tcPr>
            <w:tcW w:type="dxa" w:w="3005"/>
          </w:tcPr>
          <w:p>
            <w:pPr>
              <w:bidi/>
              <w:jc w:val="right"/>
            </w:pPr>
            <w:r>
              <w:rPr>
                <w:rFonts w:ascii="Arial" w:hAnsi="Arial" w:cs="Arial"/>
                <w:rtl/>
              </w:rPr>
            </w:r>
            <w:r>
              <w:rPr>
                <w:rFonts w:ascii="Arial" w:hAnsi="Arial" w:cs="Arial"/>
                <w:b w:val="0"/>
                <w:sz w:val="17"/>
                <w:rtl/>
              </w:rPr>
              <w:t>COL مستقیماً بر PEF اثر مثبت دارد.</w:t>
            </w:r>
          </w:p>
        </w:tc>
        <w:tc>
          <w:tcPr>
            <w:tcW w:type="dxa" w:w="2438"/>
          </w:tcPr>
          <w:p>
            <w:pPr>
              <w:bidi/>
              <w:jc w:val="right"/>
            </w:pPr>
            <w:r>
              <w:rPr>
                <w:rFonts w:ascii="Arial" w:hAnsi="Arial" w:cs="Arial"/>
                <w:rtl/>
              </w:rPr>
            </w:r>
            <w:r>
              <w:rPr>
                <w:rFonts w:ascii="Arial" w:hAnsi="Arial" w:cs="Arial"/>
                <w:b w:val="0"/>
                <w:sz w:val="17"/>
                <w:rtl/>
              </w:rPr>
              <w:t>هماهنگی به ارتباط و پیگیری کمک می‌کند</w:t>
            </w:r>
          </w:p>
        </w:tc>
        <w:tc>
          <w:tcPr>
            <w:tcW w:type="dxa" w:w="2835"/>
          </w:tcPr>
          <w:p>
            <w:pPr>
              <w:jc w:val="left"/>
            </w:pPr>
            <w:r/>
            <w:r>
              <w:rPr>
                <w:b w:val="0"/>
                <w:sz w:val="17"/>
              </w:rPr>
              <w:t>Slapničar et al. (2022); Islam et al. (2018)</w:t>
            </w:r>
          </w:p>
        </w:tc>
      </w:tr>
      <w:tr>
        <w:tc>
          <w:tcPr>
            <w:tcW w:type="dxa" w:w="1077"/>
          </w:tcPr>
          <w:p>
            <w:pPr>
              <w:bidi/>
              <w:jc w:val="right"/>
            </w:pPr>
            <w:r>
              <w:rPr>
                <w:rFonts w:ascii="Arial" w:hAnsi="Arial" w:cs="Arial"/>
                <w:rtl/>
              </w:rPr>
            </w:r>
            <w:r>
              <w:rPr>
                <w:rFonts w:ascii="Arial" w:hAnsi="Arial" w:cs="Arial"/>
                <w:b w:val="0"/>
                <w:sz w:val="17"/>
                <w:rtl/>
              </w:rPr>
              <w:t>H10a–c</w:t>
            </w:r>
          </w:p>
        </w:tc>
        <w:tc>
          <w:tcPr>
            <w:tcW w:type="dxa" w:w="3005"/>
          </w:tcPr>
          <w:p>
            <w:pPr>
              <w:bidi/>
              <w:jc w:val="right"/>
            </w:pPr>
            <w:r>
              <w:rPr>
                <w:rFonts w:ascii="Arial" w:hAnsi="Arial" w:cs="Arial"/>
                <w:rtl/>
              </w:rPr>
            </w:r>
            <w:r>
              <w:rPr>
                <w:rFonts w:ascii="Arial" w:hAnsi="Arial" w:cs="Arial"/>
                <w:b w:val="0"/>
                <w:sz w:val="17"/>
                <w:rtl/>
              </w:rPr>
              <w:t>مسیرها بین دو گروه فرق دارند: COL→RRJ در حسابرسان قوی‌تر (a)، RRJ→PEF در حسابرسان قوی‌تر (b)، بقیه مسیرها اکتشافی (c).</w:t>
            </w:r>
          </w:p>
        </w:tc>
        <w:tc>
          <w:tcPr>
            <w:tcW w:type="dxa" w:w="2438"/>
          </w:tcPr>
          <w:p>
            <w:pPr>
              <w:bidi/>
              <w:jc w:val="right"/>
            </w:pPr>
            <w:r>
              <w:rPr>
                <w:rFonts w:ascii="Arial" w:hAnsi="Arial" w:cs="Arial"/>
                <w:rtl/>
              </w:rPr>
            </w:r>
            <w:r>
              <w:rPr>
                <w:rFonts w:ascii="Arial" w:hAnsi="Arial" w:cs="Arial"/>
                <w:b w:val="0"/>
                <w:sz w:val="17"/>
                <w:rtl/>
              </w:rPr>
              <w:t>عدم تقارن اطلاعات؛ برجستگی نقش</w:t>
            </w:r>
          </w:p>
        </w:tc>
        <w:tc>
          <w:tcPr>
            <w:tcW w:type="dxa" w:w="2835"/>
          </w:tcPr>
          <w:p>
            <w:pPr>
              <w:jc w:val="left"/>
            </w:pPr>
            <w:r/>
            <w:r>
              <w:rPr>
                <w:b w:val="0"/>
                <w:sz w:val="17"/>
              </w:rPr>
              <w:t>Jensen &amp; Meckling (1976); تحلیل چندگروهی با MICOM</w:t>
            </w:r>
          </w:p>
        </w:tc>
      </w:tr>
    </w:tbl>
    <w:p/>
    <w:p>
      <w:pPr>
        <w:spacing w:after="140" w:line="336" w:lineRule="auto"/>
        <w:bidi/>
        <w:jc w:val="right"/>
      </w:pPr>
      <w:r>
        <w:rPr>
          <w:rFonts w:ascii="Arial" w:hAnsi="Arial" w:cs="Arial"/>
          <w:b w:val="0"/>
          <w:i w:val="0"/>
          <w:rtl/>
        </w:rPr>
        <w:t>نظریه بدین‌ترتیب کاری را که می‌خواست انجام می‌دهد. موضوع را چنان تعریف می‌کند که بتوان آن را تجزیه کرد؛ توضیح می‌دهد چرا مولفه‌ها باید زنجیره‌ای از شناسایی و ارزیابی، از راه قضاوت، به یادگیری و اثربخشی بسازند؛ و می‌گوید نقطه دید و زمینه کجا باید این زنجیره را خم کنند. اگر زنجیره برقرار باشد، مولفه‌ها ساختارند نه فهرست بازبینی؛ و اگر همان‌جا که نظریه می‌گوید خم شود، خم‌ها اختلاف‌های حرفه‌اند که اکنون مکان‌یابی و اندازه‌گیری شده‌اند.</w:t>
      </w:r>
    </w:p>
    <w:p>
      <w:pPr>
        <w:sectPr>
          <w:pgSz w:w="12240" w:h="15840"/>
          <w:pgMar w:top="1304" w:right="1304" w:bottom="1304" w:left="1304" w:header="720" w:footer="720" w:gutter="0"/>
          <w:cols w:space="720"/>
          <w:docGrid w:linePitch="360"/>
        </w:sectPr>
      </w:pPr>
    </w:p>
    <w:p>
      <w:pPr>
        <w:spacing w:after="60" w:line="288" w:lineRule="auto"/>
        <w:bidi/>
        <w:jc w:val="right"/>
      </w:pPr>
      <w:r>
        <w:rPr>
          <w:rFonts w:ascii="Arial" w:hAnsi="Arial" w:cs="Arial"/>
          <w:b/>
          <w:i w:val="0"/>
          <w:color w:val="1F3864"/>
          <w:sz w:val="24"/>
          <w:rtl/>
        </w:rPr>
        <w:t>جدول A1. مولفه‌های شناسایی‌شده ارزیابی ریسک سایبری در حسابرسی</w:t>
      </w:r>
    </w:p>
    <w:p>
      <w:pPr>
        <w:spacing w:after="80" w:line="264" w:lineRule="auto"/>
        <w:bidi/>
        <w:jc w:val="right"/>
      </w:pPr>
      <w:r>
        <w:rPr>
          <w:rFonts w:ascii="Arial" w:hAnsi="Arial" w:cs="Arial"/>
          <w:b w:val="0"/>
          <w:i w:val="0"/>
          <w:color w:val="5A5A5A"/>
          <w:sz w:val="17"/>
          <w:rtl/>
        </w:rPr>
        <w:t>دیدگاه: سازمان = واحد مورد رسیدگی؛ حسابرس = حسابرس؛ مشترک = هر دو. شواهد: S+R = استانداردها و دست‌کم یک مطالعه تأییدشده؛ S = فقط استانداردها و راهنماها. ستون پژوهش فقط مطالعاتی را دارد که مشخصات کتاب‌شناختی‌شان تأیید شده است. TSC = معیارهای خدمات اعتماد AICPA؛ GITC = کنترل‌های عمومی IT؛ GIAS = استانداردهای جهانی حسابرسی داخلی.</w:t>
      </w:r>
    </w:p>
    <w:tbl>
      <w:tblPr>
        <w:tblStyle w:val="TableGrid"/>
        <w:tblW w:type="auto" w:w="0"/>
        <w:tblLayout w:type="fixed"/>
        <w:tblLook w:firstColumn="1" w:firstRow="1" w:lastColumn="0" w:lastRow="0" w:noHBand="0" w:noVBand="1" w:val="04A0"/>
        <w:bidiVisual/>
      </w:tblPr>
      <w:tblGrid>
        <w:gridCol w:w="680"/>
        <w:gridCol w:w="2211"/>
        <w:gridCol w:w="1361"/>
        <w:gridCol w:w="964"/>
        <w:gridCol w:w="4309"/>
        <w:gridCol w:w="3969"/>
        <w:gridCol w:w="907"/>
      </w:tblGrid>
      <w:tr>
        <w:tc>
          <w:tcPr>
            <w:tcW w:type="dxa" w:w="680"/>
            <w:shd w:val="clear" w:color="auto" w:fill="1F3864"/>
          </w:tcPr>
          <w:p>
            <w:pPr>
              <w:bidi/>
              <w:jc w:val="right"/>
            </w:pPr>
            <w:r>
              <w:rPr>
                <w:rFonts w:ascii="Arial" w:hAnsi="Arial" w:cs="Arial"/>
                <w:rtl/>
              </w:rPr>
            </w:r>
            <w:r>
              <w:rPr>
                <w:rFonts w:ascii="Arial" w:hAnsi="Arial" w:cs="Arial"/>
                <w:b/>
                <w:color w:val="FFFFFF"/>
                <w:sz w:val="17"/>
                <w:rtl/>
              </w:rPr>
              <w:t>کد</w:t>
            </w:r>
          </w:p>
        </w:tc>
        <w:tc>
          <w:tcPr>
            <w:tcW w:type="dxa" w:w="2211"/>
            <w:shd w:val="clear" w:color="auto" w:fill="1F3864"/>
          </w:tcPr>
          <w:p>
            <w:pPr>
              <w:bidi/>
              <w:jc w:val="right"/>
            </w:pPr>
            <w:r>
              <w:rPr>
                <w:rFonts w:ascii="Arial" w:hAnsi="Arial" w:cs="Arial"/>
                <w:rtl/>
              </w:rPr>
            </w:r>
            <w:r>
              <w:rPr>
                <w:rFonts w:ascii="Arial" w:hAnsi="Arial" w:cs="Arial"/>
                <w:b/>
                <w:color w:val="FFFFFF"/>
                <w:sz w:val="17"/>
                <w:rtl/>
              </w:rPr>
              <w:t>مولفه</w:t>
            </w:r>
          </w:p>
        </w:tc>
        <w:tc>
          <w:tcPr>
            <w:tcW w:type="dxa" w:w="1361"/>
            <w:shd w:val="clear" w:color="auto" w:fill="1F3864"/>
          </w:tcPr>
          <w:p>
            <w:pPr>
              <w:bidi/>
              <w:jc w:val="right"/>
            </w:pPr>
            <w:r>
              <w:rPr>
                <w:rFonts w:ascii="Arial" w:hAnsi="Arial" w:cs="Arial"/>
                <w:rtl/>
              </w:rPr>
            </w:r>
            <w:r>
              <w:rPr>
                <w:rFonts w:ascii="Arial" w:hAnsi="Arial" w:cs="Arial"/>
                <w:b/>
                <w:color w:val="FFFFFF"/>
                <w:sz w:val="17"/>
                <w:rtl/>
              </w:rPr>
              <w:t>دیدگاه</w:t>
            </w:r>
          </w:p>
        </w:tc>
        <w:tc>
          <w:tcPr>
            <w:tcW w:type="dxa" w:w="964"/>
            <w:shd w:val="clear" w:color="auto" w:fill="1F3864"/>
          </w:tcPr>
          <w:p>
            <w:pPr>
              <w:bidi/>
              <w:jc w:val="right"/>
            </w:pPr>
            <w:r>
              <w:rPr>
                <w:rFonts w:ascii="Arial" w:hAnsi="Arial" w:cs="Arial"/>
                <w:rtl/>
              </w:rPr>
            </w:r>
            <w:r>
              <w:rPr>
                <w:rFonts w:ascii="Arial" w:hAnsi="Arial" w:cs="Arial"/>
                <w:b/>
                <w:color w:val="FFFFFF"/>
                <w:sz w:val="17"/>
                <w:rtl/>
              </w:rPr>
              <w:t>سازه</w:t>
            </w:r>
          </w:p>
        </w:tc>
        <w:tc>
          <w:tcPr>
            <w:tcW w:type="dxa" w:w="4309"/>
            <w:shd w:val="clear" w:color="auto" w:fill="1F3864"/>
          </w:tcPr>
          <w:p>
            <w:pPr>
              <w:bidi/>
              <w:jc w:val="right"/>
            </w:pPr>
            <w:r>
              <w:rPr>
                <w:rFonts w:ascii="Arial" w:hAnsi="Arial" w:cs="Arial"/>
                <w:rtl/>
              </w:rPr>
            </w:r>
            <w:r>
              <w:rPr>
                <w:rFonts w:ascii="Arial" w:hAnsi="Arial" w:cs="Arial"/>
                <w:b/>
                <w:color w:val="FFFFFF"/>
                <w:sz w:val="17"/>
                <w:rtl/>
              </w:rPr>
              <w:t>استانداردها و راهنماها</w:t>
            </w:r>
          </w:p>
        </w:tc>
        <w:tc>
          <w:tcPr>
            <w:tcW w:type="dxa" w:w="3969"/>
            <w:shd w:val="clear" w:color="auto" w:fill="1F3864"/>
          </w:tcPr>
          <w:p>
            <w:pPr>
              <w:bidi/>
              <w:jc w:val="right"/>
            </w:pPr>
            <w:r>
              <w:rPr>
                <w:rFonts w:ascii="Arial" w:hAnsi="Arial" w:cs="Arial"/>
                <w:rtl/>
              </w:rPr>
            </w:r>
            <w:r>
              <w:rPr>
                <w:rFonts w:ascii="Arial" w:hAnsi="Arial" w:cs="Arial"/>
                <w:b/>
                <w:color w:val="FFFFFF"/>
                <w:sz w:val="17"/>
                <w:rtl/>
              </w:rPr>
              <w:t>پژوهش‌های مرتبط</w:t>
            </w:r>
          </w:p>
        </w:tc>
        <w:tc>
          <w:tcPr>
            <w:tcW w:type="dxa" w:w="907"/>
            <w:shd w:val="clear" w:color="auto" w:fill="1F3864"/>
          </w:tcPr>
          <w:p>
            <w:pPr>
              <w:bidi/>
              <w:jc w:val="right"/>
            </w:pPr>
            <w:r>
              <w:rPr>
                <w:rFonts w:ascii="Arial" w:hAnsi="Arial" w:cs="Arial"/>
                <w:rtl/>
              </w:rPr>
            </w:r>
            <w:r>
              <w:rPr>
                <w:rFonts w:ascii="Arial" w:hAnsi="Arial" w:cs="Arial"/>
                <w:b/>
                <w:color w:val="FFFFFF"/>
                <w:sz w:val="17"/>
                <w:rtl/>
              </w:rPr>
              <w:t>شواهد</w:t>
            </w:r>
          </w:p>
        </w:tc>
      </w:tr>
      <w:tr>
        <w:tc>
          <w:tcPr>
            <w:tcW w:type="dxa" w:w="680"/>
          </w:tcPr>
          <w:p>
            <w:pPr>
              <w:jc w:val="left"/>
            </w:pPr>
            <w:r/>
            <w:r>
              <w:rPr>
                <w:b w:val="0"/>
                <w:sz w:val="17"/>
              </w:rPr>
              <w:t>C01</w:t>
            </w:r>
          </w:p>
        </w:tc>
        <w:tc>
          <w:tcPr>
            <w:tcW w:type="dxa" w:w="2211"/>
          </w:tcPr>
          <w:p>
            <w:pPr>
              <w:bidi/>
              <w:jc w:val="right"/>
            </w:pPr>
            <w:r>
              <w:rPr>
                <w:rFonts w:ascii="Arial" w:hAnsi="Arial" w:cs="Arial"/>
                <w:rtl/>
              </w:rPr>
            </w:r>
            <w:r>
              <w:rPr>
                <w:rFonts w:ascii="Arial" w:hAnsi="Arial" w:cs="Arial"/>
                <w:b w:val="0"/>
                <w:sz w:val="17"/>
                <w:rtl/>
              </w:rPr>
              <w:t>حاکمیت و نظارت مدیران ارشد بر ریسک سایبری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COL</w:t>
            </w:r>
          </w:p>
        </w:tc>
        <w:tc>
          <w:tcPr>
            <w:tcW w:type="dxa" w:w="4309"/>
          </w:tcPr>
          <w:p>
            <w:pPr>
              <w:jc w:val="left"/>
            </w:pPr>
            <w:r/>
            <w:r>
              <w:rPr>
                <w:b w:val="0"/>
                <w:sz w:val="17"/>
              </w:rPr>
              <w:t>NIST CSF 2.0: GV.OV, GV.RR | ISO/IEC 27001:2022: cl. 5, 9.3 | AICPA TSC: CC1 | ISA 260; IIA GIAS 2024</w:t>
            </w:r>
          </w:p>
        </w:tc>
        <w:tc>
          <w:tcPr>
            <w:tcW w:type="dxa" w:w="3969"/>
          </w:tcPr>
          <w:p>
            <w:pPr>
              <w:jc w:val="left"/>
            </w:pPr>
            <w:r/>
            <w:r>
              <w:rPr>
                <w:b w:val="0"/>
                <w:sz w:val="17"/>
              </w:rPr>
              <w:t>Islam et al. (2018); Higgs et al. (2016)</w:t>
            </w:r>
          </w:p>
        </w:tc>
        <w:tc>
          <w:tcPr>
            <w:tcW w:type="dxa" w:w="907"/>
          </w:tcPr>
          <w:p>
            <w:pPr>
              <w:jc w:val="left"/>
            </w:pPr>
            <w:r/>
            <w:r>
              <w:rPr>
                <w:b w:val="0"/>
                <w:sz w:val="17"/>
              </w:rPr>
              <w:t>S+R</w:t>
            </w:r>
          </w:p>
        </w:tc>
      </w:tr>
      <w:tr>
        <w:tc>
          <w:tcPr>
            <w:tcW w:type="dxa" w:w="680"/>
          </w:tcPr>
          <w:p>
            <w:pPr>
              <w:jc w:val="left"/>
            </w:pPr>
            <w:r/>
            <w:r>
              <w:rPr>
                <w:b w:val="0"/>
                <w:sz w:val="17"/>
              </w:rPr>
              <w:t>C02</w:t>
            </w:r>
          </w:p>
        </w:tc>
        <w:tc>
          <w:tcPr>
            <w:tcW w:type="dxa" w:w="2211"/>
          </w:tcPr>
          <w:p>
            <w:pPr>
              <w:bidi/>
              <w:jc w:val="right"/>
            </w:pPr>
            <w:r>
              <w:rPr>
                <w:rFonts w:ascii="Arial" w:hAnsi="Arial" w:cs="Arial"/>
                <w:rtl/>
              </w:rPr>
            </w:r>
            <w:r>
              <w:rPr>
                <w:rFonts w:ascii="Arial" w:hAnsi="Arial" w:cs="Arial"/>
                <w:b w:val="0"/>
                <w:sz w:val="17"/>
                <w:rtl/>
              </w:rPr>
              <w:t>سیاست‌ها و راهبرد امنیت سایبری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Context</w:t>
            </w:r>
          </w:p>
        </w:tc>
        <w:tc>
          <w:tcPr>
            <w:tcW w:type="dxa" w:w="4309"/>
          </w:tcPr>
          <w:p>
            <w:pPr>
              <w:jc w:val="left"/>
            </w:pPr>
            <w:r/>
            <w:r>
              <w:rPr>
                <w:b w:val="0"/>
                <w:sz w:val="17"/>
              </w:rPr>
              <w:t>NIST CSF 2.0: GV.PO, GV.OC | ISO/IEC 27001:2022: cl. 5.2 | AICPA TSC: CC1, CC5 | ISA 315 (control environment)</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C03</w:t>
            </w:r>
          </w:p>
        </w:tc>
        <w:tc>
          <w:tcPr>
            <w:tcW w:type="dxa" w:w="2211"/>
          </w:tcPr>
          <w:p>
            <w:pPr>
              <w:bidi/>
              <w:jc w:val="right"/>
            </w:pPr>
            <w:r>
              <w:rPr>
                <w:rFonts w:ascii="Arial" w:hAnsi="Arial" w:cs="Arial"/>
                <w:rtl/>
              </w:rPr>
            </w:r>
            <w:r>
              <w:rPr>
                <w:rFonts w:ascii="Arial" w:hAnsi="Arial" w:cs="Arial"/>
                <w:b w:val="0"/>
                <w:sz w:val="17"/>
                <w:rtl/>
              </w:rPr>
              <w:t>تعیین زمینه، دامنه و اهداف ارزیابی</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Context</w:t>
            </w:r>
          </w:p>
        </w:tc>
        <w:tc>
          <w:tcPr>
            <w:tcW w:type="dxa" w:w="4309"/>
          </w:tcPr>
          <w:p>
            <w:pPr>
              <w:jc w:val="left"/>
            </w:pPr>
            <w:r/>
            <w:r>
              <w:rPr>
                <w:b w:val="0"/>
                <w:sz w:val="17"/>
              </w:rPr>
              <w:t>NIST CSF 2.0: GV.OC | ISO/IEC 27001:2022: cl. 4 | ISO/IEC 27005:2022 (context) | AICPA DC section 100 | ISA 315</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C04</w:t>
            </w:r>
          </w:p>
        </w:tc>
        <w:tc>
          <w:tcPr>
            <w:tcW w:type="dxa" w:w="2211"/>
          </w:tcPr>
          <w:p>
            <w:pPr>
              <w:bidi/>
              <w:jc w:val="right"/>
            </w:pPr>
            <w:r>
              <w:rPr>
                <w:rFonts w:ascii="Arial" w:hAnsi="Arial" w:cs="Arial"/>
                <w:rtl/>
              </w:rPr>
            </w:r>
            <w:r>
              <w:rPr>
                <w:rFonts w:ascii="Arial" w:hAnsi="Arial" w:cs="Arial"/>
                <w:b w:val="0"/>
                <w:sz w:val="17"/>
                <w:rtl/>
              </w:rPr>
              <w:t>شناسایی و طبقه‌بندی دارایی‌ها</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TVI</w:t>
            </w:r>
          </w:p>
        </w:tc>
        <w:tc>
          <w:tcPr>
            <w:tcW w:type="dxa" w:w="4309"/>
          </w:tcPr>
          <w:p>
            <w:pPr>
              <w:jc w:val="left"/>
            </w:pPr>
            <w:r/>
            <w:r>
              <w:rPr>
                <w:b w:val="0"/>
                <w:sz w:val="17"/>
              </w:rPr>
              <w:t>NIST CSF 2.0: ID.AM | ISO/IEC 27001:2022: Annex A 5.9 | AICPA TSC: CC3, CC6 | ISA 315 (IT environment)</w:t>
            </w:r>
          </w:p>
        </w:tc>
        <w:tc>
          <w:tcPr>
            <w:tcW w:type="dxa" w:w="3969"/>
          </w:tcPr>
          <w:p>
            <w:pPr>
              <w:jc w:val="left"/>
            </w:pPr>
            <w:r/>
            <w:r>
              <w:rPr>
                <w:b w:val="0"/>
                <w:sz w:val="17"/>
              </w:rPr>
              <w:t>Hermanson et al. (2000); Wangen et al. (2018)</w:t>
            </w:r>
          </w:p>
        </w:tc>
        <w:tc>
          <w:tcPr>
            <w:tcW w:type="dxa" w:w="907"/>
          </w:tcPr>
          <w:p>
            <w:pPr>
              <w:jc w:val="left"/>
            </w:pPr>
            <w:r/>
            <w:r>
              <w:rPr>
                <w:b w:val="0"/>
                <w:sz w:val="17"/>
              </w:rPr>
              <w:t>S+R</w:t>
            </w:r>
          </w:p>
        </w:tc>
      </w:tr>
      <w:tr>
        <w:tc>
          <w:tcPr>
            <w:tcW w:type="dxa" w:w="680"/>
          </w:tcPr>
          <w:p>
            <w:pPr>
              <w:jc w:val="left"/>
            </w:pPr>
            <w:r/>
            <w:r>
              <w:rPr>
                <w:b w:val="0"/>
                <w:sz w:val="17"/>
              </w:rPr>
              <w:t>C05</w:t>
            </w:r>
          </w:p>
        </w:tc>
        <w:tc>
          <w:tcPr>
            <w:tcW w:type="dxa" w:w="2211"/>
          </w:tcPr>
          <w:p>
            <w:pPr>
              <w:bidi/>
              <w:jc w:val="right"/>
            </w:pPr>
            <w:r>
              <w:rPr>
                <w:rFonts w:ascii="Arial" w:hAnsi="Arial" w:cs="Arial"/>
                <w:rtl/>
              </w:rPr>
            </w:r>
            <w:r>
              <w:rPr>
                <w:rFonts w:ascii="Arial" w:hAnsi="Arial" w:cs="Arial"/>
                <w:b w:val="0"/>
                <w:sz w:val="17"/>
                <w:rtl/>
              </w:rPr>
              <w:t>شناسایی تهدید و اطلاعات تهدید</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TVI</w:t>
            </w:r>
          </w:p>
        </w:tc>
        <w:tc>
          <w:tcPr>
            <w:tcW w:type="dxa" w:w="4309"/>
          </w:tcPr>
          <w:p>
            <w:pPr>
              <w:jc w:val="left"/>
            </w:pPr>
            <w:r/>
            <w:r>
              <w:rPr>
                <w:b w:val="0"/>
                <w:sz w:val="17"/>
              </w:rPr>
              <w:t>NIST CSF 2.0: ID.RA, DE.AE | ISO/IEC 27001:2022: Annex A 5.7 | ISO/IEC 27005:2022 (risk scenarios) | AICPA TSC: CC3, CC7</w:t>
            </w:r>
          </w:p>
        </w:tc>
        <w:tc>
          <w:tcPr>
            <w:tcW w:type="dxa" w:w="3969"/>
          </w:tcPr>
          <w:p>
            <w:pPr>
              <w:jc w:val="left"/>
            </w:pPr>
            <w:r/>
            <w:r>
              <w:rPr>
                <w:b w:val="0"/>
                <w:sz w:val="17"/>
              </w:rPr>
              <w:t>Ganin et al. (2020); Wang et al. (2020)</w:t>
            </w:r>
          </w:p>
        </w:tc>
        <w:tc>
          <w:tcPr>
            <w:tcW w:type="dxa" w:w="907"/>
          </w:tcPr>
          <w:p>
            <w:pPr>
              <w:jc w:val="left"/>
            </w:pPr>
            <w:r/>
            <w:r>
              <w:rPr>
                <w:b w:val="0"/>
                <w:sz w:val="17"/>
              </w:rPr>
              <w:t>S+R</w:t>
            </w:r>
          </w:p>
        </w:tc>
      </w:tr>
      <w:tr>
        <w:tc>
          <w:tcPr>
            <w:tcW w:type="dxa" w:w="680"/>
          </w:tcPr>
          <w:p>
            <w:pPr>
              <w:jc w:val="left"/>
            </w:pPr>
            <w:r/>
            <w:r>
              <w:rPr>
                <w:b w:val="0"/>
                <w:sz w:val="17"/>
              </w:rPr>
              <w:t>C06</w:t>
            </w:r>
          </w:p>
        </w:tc>
        <w:tc>
          <w:tcPr>
            <w:tcW w:type="dxa" w:w="2211"/>
          </w:tcPr>
          <w:p>
            <w:pPr>
              <w:bidi/>
              <w:jc w:val="right"/>
            </w:pPr>
            <w:r>
              <w:rPr>
                <w:rFonts w:ascii="Arial" w:hAnsi="Arial" w:cs="Arial"/>
                <w:rtl/>
              </w:rPr>
            </w:r>
            <w:r>
              <w:rPr>
                <w:rFonts w:ascii="Arial" w:hAnsi="Arial" w:cs="Arial"/>
                <w:b w:val="0"/>
                <w:sz w:val="17"/>
                <w:rtl/>
              </w:rPr>
              <w:t>مدیریت آسیب‌پذیری و آزمون نفوذ</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TVI</w:t>
            </w:r>
          </w:p>
        </w:tc>
        <w:tc>
          <w:tcPr>
            <w:tcW w:type="dxa" w:w="4309"/>
          </w:tcPr>
          <w:p>
            <w:pPr>
              <w:jc w:val="left"/>
            </w:pPr>
            <w:r/>
            <w:r>
              <w:rPr>
                <w:b w:val="0"/>
                <w:sz w:val="17"/>
              </w:rPr>
              <w:t>NIST CSF 2.0: ID.RA, PR.PS | ISO/IEC 27001:2022: Annex A technological controls | AICPA TSC: CC7 | ISA 330</w:t>
            </w:r>
          </w:p>
        </w:tc>
        <w:tc>
          <w:tcPr>
            <w:tcW w:type="dxa" w:w="3969"/>
          </w:tcPr>
          <w:p>
            <w:pPr>
              <w:jc w:val="left"/>
            </w:pPr>
            <w:r/>
            <w:r>
              <w:rPr>
                <w:b w:val="0"/>
                <w:sz w:val="17"/>
              </w:rPr>
              <w:t>Ganin et al. (2020); Wang et al. (2020)</w:t>
            </w:r>
          </w:p>
        </w:tc>
        <w:tc>
          <w:tcPr>
            <w:tcW w:type="dxa" w:w="907"/>
          </w:tcPr>
          <w:p>
            <w:pPr>
              <w:jc w:val="left"/>
            </w:pPr>
            <w:r/>
            <w:r>
              <w:rPr>
                <w:b w:val="0"/>
                <w:sz w:val="17"/>
              </w:rPr>
              <w:t>S+R</w:t>
            </w:r>
          </w:p>
        </w:tc>
      </w:tr>
      <w:tr>
        <w:tc>
          <w:tcPr>
            <w:tcW w:type="dxa" w:w="680"/>
          </w:tcPr>
          <w:p>
            <w:pPr>
              <w:jc w:val="left"/>
            </w:pPr>
            <w:r/>
            <w:r>
              <w:rPr>
                <w:b w:val="0"/>
                <w:sz w:val="17"/>
              </w:rPr>
              <w:t>C07</w:t>
            </w:r>
          </w:p>
        </w:tc>
        <w:tc>
          <w:tcPr>
            <w:tcW w:type="dxa" w:w="2211"/>
          </w:tcPr>
          <w:p>
            <w:pPr>
              <w:bidi/>
              <w:jc w:val="right"/>
            </w:pPr>
            <w:r>
              <w:rPr>
                <w:rFonts w:ascii="Arial" w:hAnsi="Arial" w:cs="Arial"/>
                <w:rtl/>
              </w:rPr>
            </w:r>
            <w:r>
              <w:rPr>
                <w:rFonts w:ascii="Arial" w:hAnsi="Arial" w:cs="Arial"/>
                <w:b w:val="0"/>
                <w:sz w:val="17"/>
                <w:rtl/>
              </w:rPr>
              <w:t>تحلیل و ارزیابی ریسک (احتمال، اثر، رتبه‌بندی)</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RRJ</w:t>
            </w:r>
          </w:p>
        </w:tc>
        <w:tc>
          <w:tcPr>
            <w:tcW w:type="dxa" w:w="4309"/>
          </w:tcPr>
          <w:p>
            <w:pPr>
              <w:jc w:val="left"/>
            </w:pPr>
            <w:r/>
            <w:r>
              <w:rPr>
                <w:b w:val="0"/>
                <w:sz w:val="17"/>
              </w:rPr>
              <w:t>NIST CSF 2.0: GV.RM, ID.RA; SP 800-30 Rev. 1 | ISO/IEC 27001:2022: cl. 6.1.2, 8.2 | ISO/IEC 27005:2022; IEC/ISO 31010 | AICPA TSC: CC3 | ISA 315</w:t>
            </w:r>
          </w:p>
        </w:tc>
        <w:tc>
          <w:tcPr>
            <w:tcW w:type="dxa" w:w="3969"/>
          </w:tcPr>
          <w:p>
            <w:pPr>
              <w:jc w:val="left"/>
            </w:pPr>
            <w:r/>
            <w:r>
              <w:rPr>
                <w:b w:val="0"/>
                <w:sz w:val="17"/>
              </w:rPr>
              <w:t>Wangen et al. (2018); Ganin et al. (2020); Wang et al. (2020); Gordon &amp; Loeb (2002)</w:t>
            </w:r>
          </w:p>
        </w:tc>
        <w:tc>
          <w:tcPr>
            <w:tcW w:type="dxa" w:w="907"/>
          </w:tcPr>
          <w:p>
            <w:pPr>
              <w:jc w:val="left"/>
            </w:pPr>
            <w:r/>
            <w:r>
              <w:rPr>
                <w:b w:val="0"/>
                <w:sz w:val="17"/>
              </w:rPr>
              <w:t>S+R</w:t>
            </w:r>
          </w:p>
        </w:tc>
      </w:tr>
      <w:tr>
        <w:tc>
          <w:tcPr>
            <w:tcW w:type="dxa" w:w="680"/>
          </w:tcPr>
          <w:p>
            <w:pPr>
              <w:jc w:val="left"/>
            </w:pPr>
            <w:r/>
            <w:r>
              <w:rPr>
                <w:b w:val="0"/>
                <w:sz w:val="17"/>
              </w:rPr>
              <w:t>C08</w:t>
            </w:r>
          </w:p>
        </w:tc>
        <w:tc>
          <w:tcPr>
            <w:tcW w:type="dxa" w:w="2211"/>
          </w:tcPr>
          <w:p>
            <w:pPr>
              <w:bidi/>
              <w:jc w:val="right"/>
            </w:pPr>
            <w:r>
              <w:rPr>
                <w:rFonts w:ascii="Arial" w:hAnsi="Arial" w:cs="Arial"/>
                <w:rtl/>
              </w:rPr>
            </w:r>
            <w:r>
              <w:rPr>
                <w:rFonts w:ascii="Arial" w:hAnsi="Arial" w:cs="Arial"/>
                <w:b w:val="0"/>
                <w:sz w:val="17"/>
                <w:rtl/>
              </w:rPr>
              <w:t>ریسک تقلب سایبری و تغییرات محیط</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RRJ</w:t>
            </w:r>
          </w:p>
        </w:tc>
        <w:tc>
          <w:tcPr>
            <w:tcW w:type="dxa" w:w="4309"/>
          </w:tcPr>
          <w:p>
            <w:pPr>
              <w:jc w:val="left"/>
            </w:pPr>
            <w:r/>
            <w:r>
              <w:rPr>
                <w:b w:val="0"/>
                <w:sz w:val="17"/>
              </w:rPr>
              <w:t>NIST CSF 2.0: ID.IM, GV.RM | ISO 31000:2018 | AICPA TSC: CC3 (fraud risk, changes) | ISA 240</w:t>
            </w:r>
          </w:p>
        </w:tc>
        <w:tc>
          <w:tcPr>
            <w:tcW w:type="dxa" w:w="3969"/>
          </w:tcPr>
          <w:p>
            <w:pPr>
              <w:jc w:val="left"/>
            </w:pPr>
            <w:r/>
            <w:r>
              <w:rPr>
                <w:b w:val="0"/>
                <w:sz w:val="17"/>
              </w:rPr>
              <w:t>Armenia et al. (2021)</w:t>
            </w:r>
          </w:p>
        </w:tc>
        <w:tc>
          <w:tcPr>
            <w:tcW w:type="dxa" w:w="907"/>
          </w:tcPr>
          <w:p>
            <w:pPr>
              <w:jc w:val="left"/>
            </w:pPr>
            <w:r/>
            <w:r>
              <w:rPr>
                <w:b w:val="0"/>
                <w:sz w:val="17"/>
              </w:rPr>
              <w:t>S+R</w:t>
            </w:r>
          </w:p>
        </w:tc>
      </w:tr>
      <w:tr>
        <w:tc>
          <w:tcPr>
            <w:tcW w:type="dxa" w:w="680"/>
          </w:tcPr>
          <w:p>
            <w:pPr>
              <w:jc w:val="left"/>
            </w:pPr>
            <w:r/>
            <w:r>
              <w:rPr>
                <w:b w:val="0"/>
                <w:sz w:val="17"/>
              </w:rPr>
              <w:t>C09</w:t>
            </w:r>
          </w:p>
        </w:tc>
        <w:tc>
          <w:tcPr>
            <w:tcW w:type="dxa" w:w="2211"/>
          </w:tcPr>
          <w:p>
            <w:pPr>
              <w:bidi/>
              <w:jc w:val="right"/>
            </w:pPr>
            <w:r>
              <w:rPr>
                <w:rFonts w:ascii="Arial" w:hAnsi="Arial" w:cs="Arial"/>
                <w:rtl/>
              </w:rPr>
            </w:r>
            <w:r>
              <w:rPr>
                <w:rFonts w:ascii="Arial" w:hAnsi="Arial" w:cs="Arial"/>
                <w:b w:val="0"/>
                <w:sz w:val="17"/>
                <w:rtl/>
              </w:rPr>
              <w:t>اجرای کنترل‌ها و برنامه برطرف‌سازی ریسک</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GV.RM, PR | ISO/IEC 27001:2022: cl. 6.1.3, 8.3 | ISO/IEC 27005:2022 (risk treatment) | AICPA TSC: CC5 | ISA 315, 330</w:t>
            </w:r>
          </w:p>
        </w:tc>
        <w:tc>
          <w:tcPr>
            <w:tcW w:type="dxa" w:w="3969"/>
          </w:tcPr>
          <w:p>
            <w:pPr>
              <w:jc w:val="left"/>
            </w:pPr>
            <w:r/>
            <w:r>
              <w:rPr>
                <w:b w:val="0"/>
                <w:sz w:val="17"/>
              </w:rPr>
              <w:t>Gordon &amp; Loeb (2002); Ganin et al. (2020); Armenia et al. (2021)</w:t>
            </w:r>
          </w:p>
        </w:tc>
        <w:tc>
          <w:tcPr>
            <w:tcW w:type="dxa" w:w="907"/>
          </w:tcPr>
          <w:p>
            <w:pPr>
              <w:jc w:val="left"/>
            </w:pPr>
            <w:r/>
            <w:r>
              <w:rPr>
                <w:b w:val="0"/>
                <w:sz w:val="17"/>
              </w:rPr>
              <w:t>S+R</w:t>
            </w:r>
          </w:p>
        </w:tc>
      </w:tr>
      <w:tr>
        <w:tc>
          <w:tcPr>
            <w:tcW w:type="dxa" w:w="680"/>
          </w:tcPr>
          <w:p>
            <w:pPr>
              <w:jc w:val="left"/>
            </w:pPr>
            <w:r/>
            <w:r>
              <w:rPr>
                <w:b w:val="0"/>
                <w:sz w:val="17"/>
              </w:rPr>
              <w:t>C10</w:t>
            </w:r>
          </w:p>
        </w:tc>
        <w:tc>
          <w:tcPr>
            <w:tcW w:type="dxa" w:w="2211"/>
          </w:tcPr>
          <w:p>
            <w:pPr>
              <w:bidi/>
              <w:jc w:val="right"/>
            </w:pPr>
            <w:r>
              <w:rPr>
                <w:rFonts w:ascii="Arial" w:hAnsi="Arial" w:cs="Arial"/>
                <w:rtl/>
              </w:rPr>
            </w:r>
            <w:r>
              <w:rPr>
                <w:rFonts w:ascii="Arial" w:hAnsi="Arial" w:cs="Arial"/>
                <w:b w:val="0"/>
                <w:sz w:val="17"/>
                <w:rtl/>
              </w:rPr>
              <w:t>کنترل دسترسی و احراز هویت</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PR.AA | ISO/IEC 27001:2022: Annex A access control | AICPA TSC: CC6 | ITGC (ISA 315, 330)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C11</w:t>
            </w:r>
          </w:p>
        </w:tc>
        <w:tc>
          <w:tcPr>
            <w:tcW w:type="dxa" w:w="2211"/>
          </w:tcPr>
          <w:p>
            <w:pPr>
              <w:bidi/>
              <w:jc w:val="right"/>
            </w:pPr>
            <w:r>
              <w:rPr>
                <w:rFonts w:ascii="Arial" w:hAnsi="Arial" w:cs="Arial"/>
                <w:rtl/>
              </w:rPr>
            </w:r>
            <w:r>
              <w:rPr>
                <w:rFonts w:ascii="Arial" w:hAnsi="Arial" w:cs="Arial"/>
                <w:b w:val="0"/>
                <w:sz w:val="17"/>
                <w:rtl/>
              </w:rPr>
              <w:t>حفاظت از داده و رمزنگاری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PR.DS | ISO/IEC 27001:2022: Annex A cryptography, data protection | AICPA TSC: CC6, C1</w:t>
            </w:r>
          </w:p>
        </w:tc>
        <w:tc>
          <w:tcPr>
            <w:tcW w:type="dxa" w:w="3969"/>
          </w:tcPr>
          <w:p>
            <w:pPr>
              <w:jc w:val="left"/>
            </w:pPr>
            <w:r/>
            <w:r>
              <w:rPr>
                <w:b w:val="0"/>
                <w:sz w:val="17"/>
              </w:rPr>
              <w:t>Hermanson et al. (2000)</w:t>
            </w:r>
          </w:p>
        </w:tc>
        <w:tc>
          <w:tcPr>
            <w:tcW w:type="dxa" w:w="907"/>
          </w:tcPr>
          <w:p>
            <w:pPr>
              <w:jc w:val="left"/>
            </w:pPr>
            <w:r/>
            <w:r>
              <w:rPr>
                <w:b w:val="0"/>
                <w:sz w:val="17"/>
              </w:rPr>
              <w:t>S+R</w:t>
            </w:r>
          </w:p>
        </w:tc>
      </w:tr>
      <w:tr>
        <w:tc>
          <w:tcPr>
            <w:tcW w:type="dxa" w:w="680"/>
          </w:tcPr>
          <w:p>
            <w:pPr>
              <w:jc w:val="left"/>
            </w:pPr>
            <w:r/>
            <w:r>
              <w:rPr>
                <w:b w:val="0"/>
                <w:sz w:val="17"/>
              </w:rPr>
              <w:t>C12</w:t>
            </w:r>
          </w:p>
        </w:tc>
        <w:tc>
          <w:tcPr>
            <w:tcW w:type="dxa" w:w="2211"/>
          </w:tcPr>
          <w:p>
            <w:pPr>
              <w:bidi/>
              <w:jc w:val="right"/>
            </w:pPr>
            <w:r>
              <w:rPr>
                <w:rFonts w:ascii="Arial" w:hAnsi="Arial" w:cs="Arial"/>
                <w:rtl/>
              </w:rPr>
            </w:r>
            <w:r>
              <w:rPr>
                <w:rFonts w:ascii="Arial" w:hAnsi="Arial" w:cs="Arial"/>
                <w:b w:val="0"/>
                <w:sz w:val="17"/>
                <w:rtl/>
              </w:rPr>
              <w:t>امنیت شبکه، زیرساخت و محیط فیزیکی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PR.IR, PR.PS | ISO/IEC 27001:2022: Annex A physical and technological controls | ISO/IEC 27033 | AICPA TSC: CC6</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C13</w:t>
            </w:r>
          </w:p>
        </w:tc>
        <w:tc>
          <w:tcPr>
            <w:tcW w:type="dxa" w:w="2211"/>
          </w:tcPr>
          <w:p>
            <w:pPr>
              <w:bidi/>
              <w:jc w:val="right"/>
            </w:pPr>
            <w:r>
              <w:rPr>
                <w:rFonts w:ascii="Arial" w:hAnsi="Arial" w:cs="Arial"/>
                <w:rtl/>
              </w:rPr>
            </w:r>
            <w:r>
              <w:rPr>
                <w:rFonts w:ascii="Arial" w:hAnsi="Arial" w:cs="Arial"/>
                <w:b w:val="0"/>
                <w:sz w:val="17"/>
                <w:rtl/>
              </w:rPr>
              <w:t>توسعه امن و مدیریت تغییرات</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PR.PS | ISO/IEC 27001:2022: Annex A secure development, change management | AICPA TSC: CC8 | ITGC (program change)</w:t>
            </w:r>
          </w:p>
        </w:tc>
        <w:tc>
          <w:tcPr>
            <w:tcW w:type="dxa" w:w="3969"/>
          </w:tcPr>
          <w:p>
            <w:pPr>
              <w:jc w:val="left"/>
            </w:pPr>
            <w:r/>
            <w:r>
              <w:rPr>
                <w:b w:val="0"/>
                <w:sz w:val="17"/>
              </w:rPr>
              <w:t>Hermanson et al. (2000)</w:t>
            </w:r>
          </w:p>
        </w:tc>
        <w:tc>
          <w:tcPr>
            <w:tcW w:type="dxa" w:w="907"/>
          </w:tcPr>
          <w:p>
            <w:pPr>
              <w:jc w:val="left"/>
            </w:pPr>
            <w:r/>
            <w:r>
              <w:rPr>
                <w:b w:val="0"/>
                <w:sz w:val="17"/>
              </w:rPr>
              <w:t>S+R</w:t>
            </w:r>
          </w:p>
        </w:tc>
      </w:tr>
      <w:tr>
        <w:tc>
          <w:tcPr>
            <w:tcW w:type="dxa" w:w="680"/>
          </w:tcPr>
          <w:p>
            <w:pPr>
              <w:jc w:val="left"/>
            </w:pPr>
            <w:r/>
            <w:r>
              <w:rPr>
                <w:b w:val="0"/>
                <w:sz w:val="17"/>
              </w:rPr>
              <w:t>C14</w:t>
            </w:r>
          </w:p>
        </w:tc>
        <w:tc>
          <w:tcPr>
            <w:tcW w:type="dxa" w:w="2211"/>
          </w:tcPr>
          <w:p>
            <w:pPr>
              <w:bidi/>
              <w:jc w:val="right"/>
            </w:pPr>
            <w:r>
              <w:rPr>
                <w:rFonts w:ascii="Arial" w:hAnsi="Arial" w:cs="Arial"/>
                <w:rtl/>
              </w:rPr>
            </w:r>
            <w:r>
              <w:rPr>
                <w:rFonts w:ascii="Arial" w:hAnsi="Arial" w:cs="Arial"/>
                <w:b w:val="0"/>
                <w:sz w:val="17"/>
                <w:rtl/>
              </w:rPr>
              <w:t>آگاهی و آموزش امنیتی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CCE</w:t>
            </w:r>
          </w:p>
        </w:tc>
        <w:tc>
          <w:tcPr>
            <w:tcW w:type="dxa" w:w="4309"/>
          </w:tcPr>
          <w:p>
            <w:pPr>
              <w:jc w:val="left"/>
            </w:pPr>
            <w:r/>
            <w:r>
              <w:rPr>
                <w:b w:val="0"/>
                <w:sz w:val="17"/>
              </w:rPr>
              <w:t>NIST CSF 2.0: PR.AT | ISO/IEC 27001:2022: cl. 7.3; Annex A people controls | AICPA TSC: CC1, CC2</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C15</w:t>
            </w:r>
          </w:p>
        </w:tc>
        <w:tc>
          <w:tcPr>
            <w:tcW w:type="dxa" w:w="2211"/>
          </w:tcPr>
          <w:p>
            <w:pPr>
              <w:bidi/>
              <w:jc w:val="right"/>
            </w:pPr>
            <w:r>
              <w:rPr>
                <w:rFonts w:ascii="Arial" w:hAnsi="Arial" w:cs="Arial"/>
                <w:rtl/>
              </w:rPr>
            </w:r>
            <w:r>
              <w:rPr>
                <w:rFonts w:ascii="Arial" w:hAnsi="Arial" w:cs="Arial"/>
                <w:b w:val="0"/>
                <w:sz w:val="17"/>
                <w:rtl/>
              </w:rPr>
              <w:t>ریسک شخص ثالث و زنجیره تأمین</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CCE</w:t>
            </w:r>
          </w:p>
        </w:tc>
        <w:tc>
          <w:tcPr>
            <w:tcW w:type="dxa" w:w="4309"/>
          </w:tcPr>
          <w:p>
            <w:pPr>
              <w:jc w:val="left"/>
            </w:pPr>
            <w:r/>
            <w:r>
              <w:rPr>
                <w:b w:val="0"/>
                <w:sz w:val="17"/>
              </w:rPr>
              <w:t>NIST CSF 2.0: GV.SC | ISO/IEC 27001:2022: Annex A 5.19–5.23 | ISO/IEC 27036 | AICPA TSC: CC9 | ISA 402</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C16</w:t>
            </w:r>
          </w:p>
        </w:tc>
        <w:tc>
          <w:tcPr>
            <w:tcW w:type="dxa" w:w="2211"/>
          </w:tcPr>
          <w:p>
            <w:pPr>
              <w:bidi/>
              <w:jc w:val="right"/>
            </w:pPr>
            <w:r>
              <w:rPr>
                <w:rFonts w:ascii="Arial" w:hAnsi="Arial" w:cs="Arial"/>
                <w:rtl/>
              </w:rPr>
            </w:r>
            <w:r>
              <w:rPr>
                <w:rFonts w:ascii="Arial" w:hAnsi="Arial" w:cs="Arial"/>
                <w:b w:val="0"/>
                <w:sz w:val="17"/>
                <w:rtl/>
              </w:rPr>
              <w:t>پایش مستمر و ثبت وقایع</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MOL</w:t>
            </w:r>
          </w:p>
        </w:tc>
        <w:tc>
          <w:tcPr>
            <w:tcW w:type="dxa" w:w="4309"/>
          </w:tcPr>
          <w:p>
            <w:pPr>
              <w:jc w:val="left"/>
            </w:pPr>
            <w:r/>
            <w:r>
              <w:rPr>
                <w:b w:val="0"/>
                <w:sz w:val="17"/>
              </w:rPr>
              <w:t>NIST CSF 2.0: DE.CM, DE.AE | ISO/IEC 27001:2022: cl. 9.1; Annex A 8.16 | AICPA TSC: CC4, CC7 | ISA 500</w:t>
            </w:r>
          </w:p>
        </w:tc>
        <w:tc>
          <w:tcPr>
            <w:tcW w:type="dxa" w:w="3969"/>
          </w:tcPr>
          <w:p>
            <w:pPr>
              <w:jc w:val="left"/>
            </w:pPr>
            <w:r/>
            <w:r>
              <w:rPr>
                <w:b w:val="0"/>
                <w:sz w:val="17"/>
              </w:rPr>
              <w:t>Armenia et al. (2021)</w:t>
            </w:r>
          </w:p>
        </w:tc>
        <w:tc>
          <w:tcPr>
            <w:tcW w:type="dxa" w:w="907"/>
          </w:tcPr>
          <w:p>
            <w:pPr>
              <w:jc w:val="left"/>
            </w:pPr>
            <w:r/>
            <w:r>
              <w:rPr>
                <w:b w:val="0"/>
                <w:sz w:val="17"/>
              </w:rPr>
              <w:t>S+R</w:t>
            </w:r>
          </w:p>
        </w:tc>
      </w:tr>
      <w:tr>
        <w:tc>
          <w:tcPr>
            <w:tcW w:type="dxa" w:w="680"/>
          </w:tcPr>
          <w:p>
            <w:pPr>
              <w:jc w:val="left"/>
            </w:pPr>
            <w:r/>
            <w:r>
              <w:rPr>
                <w:b w:val="0"/>
                <w:sz w:val="17"/>
              </w:rPr>
              <w:t>C17</w:t>
            </w:r>
          </w:p>
        </w:tc>
        <w:tc>
          <w:tcPr>
            <w:tcW w:type="dxa" w:w="2211"/>
          </w:tcPr>
          <w:p>
            <w:pPr>
              <w:bidi/>
              <w:jc w:val="right"/>
            </w:pPr>
            <w:r>
              <w:rPr>
                <w:rFonts w:ascii="Arial" w:hAnsi="Arial" w:cs="Arial"/>
                <w:rtl/>
              </w:rPr>
            </w:r>
            <w:r>
              <w:rPr>
                <w:rFonts w:ascii="Arial" w:hAnsi="Arial" w:cs="Arial"/>
                <w:b w:val="0"/>
                <w:sz w:val="17"/>
                <w:rtl/>
              </w:rPr>
              <w:t>مدیریت و پاسخ به حوادث</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MOL</w:t>
            </w:r>
          </w:p>
        </w:tc>
        <w:tc>
          <w:tcPr>
            <w:tcW w:type="dxa" w:w="4309"/>
          </w:tcPr>
          <w:p>
            <w:pPr>
              <w:jc w:val="left"/>
            </w:pPr>
            <w:r/>
            <w:r>
              <w:rPr>
                <w:b w:val="0"/>
                <w:sz w:val="17"/>
              </w:rPr>
              <w:t>NIST CSF 2.0: RS.MA, RS.AN, RS.CO, RS.MI; SP 800-61 Rev. 3 | ISO/IEC 27001:2022: Annex A 5.24 | AICPA TSC: CC7</w:t>
            </w:r>
          </w:p>
        </w:tc>
        <w:tc>
          <w:tcPr>
            <w:tcW w:type="dxa" w:w="3969"/>
          </w:tcPr>
          <w:p>
            <w:pPr>
              <w:jc w:val="left"/>
            </w:pPr>
            <w:r/>
            <w:r>
              <w:rPr>
                <w:b w:val="0"/>
                <w:sz w:val="17"/>
              </w:rPr>
              <w:t>Higgs et al. (2016)</w:t>
            </w:r>
          </w:p>
        </w:tc>
        <w:tc>
          <w:tcPr>
            <w:tcW w:type="dxa" w:w="907"/>
          </w:tcPr>
          <w:p>
            <w:pPr>
              <w:jc w:val="left"/>
            </w:pPr>
            <w:r/>
            <w:r>
              <w:rPr>
                <w:b w:val="0"/>
                <w:sz w:val="17"/>
              </w:rPr>
              <w:t>S+R</w:t>
            </w:r>
          </w:p>
        </w:tc>
      </w:tr>
      <w:tr>
        <w:tc>
          <w:tcPr>
            <w:tcW w:type="dxa" w:w="680"/>
          </w:tcPr>
          <w:p>
            <w:pPr>
              <w:jc w:val="left"/>
            </w:pPr>
            <w:r/>
            <w:r>
              <w:rPr>
                <w:b w:val="0"/>
                <w:sz w:val="17"/>
              </w:rPr>
              <w:t>C18</w:t>
            </w:r>
          </w:p>
        </w:tc>
        <w:tc>
          <w:tcPr>
            <w:tcW w:type="dxa" w:w="2211"/>
          </w:tcPr>
          <w:p>
            <w:pPr>
              <w:bidi/>
              <w:jc w:val="right"/>
            </w:pPr>
            <w:r>
              <w:rPr>
                <w:rFonts w:ascii="Arial" w:hAnsi="Arial" w:cs="Arial"/>
                <w:rtl/>
              </w:rPr>
            </w:r>
            <w:r>
              <w:rPr>
                <w:rFonts w:ascii="Arial" w:hAnsi="Arial" w:cs="Arial"/>
                <w:b w:val="0"/>
                <w:sz w:val="17"/>
                <w:rtl/>
              </w:rPr>
              <w:t>تداوم کسب‌وکار و بازیابی از بحران</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MOL</w:t>
            </w:r>
          </w:p>
        </w:tc>
        <w:tc>
          <w:tcPr>
            <w:tcW w:type="dxa" w:w="4309"/>
          </w:tcPr>
          <w:p>
            <w:pPr>
              <w:jc w:val="left"/>
            </w:pPr>
            <w:r/>
            <w:r>
              <w:rPr>
                <w:b w:val="0"/>
                <w:sz w:val="17"/>
              </w:rPr>
              <w:t>NIST CSF 2.0: RC.RP, RC.CO | ISO/IEC 27001:2022: Annex A 5.29, 5.30 | ISO/IEC 27031; ISO 22301 | AICPA TSC: CC9, A1 | ISA 570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C19</w:t>
            </w:r>
          </w:p>
        </w:tc>
        <w:tc>
          <w:tcPr>
            <w:tcW w:type="dxa" w:w="2211"/>
          </w:tcPr>
          <w:p>
            <w:pPr>
              <w:bidi/>
              <w:jc w:val="right"/>
            </w:pPr>
            <w:r>
              <w:rPr>
                <w:rFonts w:ascii="Arial" w:hAnsi="Arial" w:cs="Arial"/>
                <w:rtl/>
              </w:rPr>
            </w:r>
            <w:r>
              <w:rPr>
                <w:rFonts w:ascii="Arial" w:hAnsi="Arial" w:cs="Arial"/>
                <w:b w:val="0"/>
                <w:sz w:val="17"/>
                <w:rtl/>
              </w:rPr>
              <w:t>انطباق با الزامات قانونی و حریم خصوصی</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Context</w:t>
            </w:r>
          </w:p>
        </w:tc>
        <w:tc>
          <w:tcPr>
            <w:tcW w:type="dxa" w:w="4309"/>
          </w:tcPr>
          <w:p>
            <w:pPr>
              <w:jc w:val="left"/>
            </w:pPr>
            <w:r/>
            <w:r>
              <w:rPr>
                <w:b w:val="0"/>
                <w:sz w:val="17"/>
              </w:rPr>
              <w:t>NIST CSF 2.0: GV.OC | ISO/IEC 27001:2022: Annex A legal and privacy controls | ISO/IEC 29134 | AICPA TSC: privacy series | ISA 250</w:t>
            </w:r>
          </w:p>
        </w:tc>
        <w:tc>
          <w:tcPr>
            <w:tcW w:type="dxa" w:w="3969"/>
          </w:tcPr>
          <w:p>
            <w:pPr>
              <w:jc w:val="left"/>
            </w:pPr>
            <w:r/>
            <w:r>
              <w:rPr>
                <w:b w:val="0"/>
                <w:sz w:val="17"/>
              </w:rPr>
              <w:t>Vuko et al. (2024)</w:t>
            </w:r>
          </w:p>
        </w:tc>
        <w:tc>
          <w:tcPr>
            <w:tcW w:type="dxa" w:w="907"/>
          </w:tcPr>
          <w:p>
            <w:pPr>
              <w:jc w:val="left"/>
            </w:pPr>
            <w:r/>
            <w:r>
              <w:rPr>
                <w:b w:val="0"/>
                <w:sz w:val="17"/>
              </w:rPr>
              <w:t>S+R</w:t>
            </w:r>
          </w:p>
        </w:tc>
      </w:tr>
      <w:tr>
        <w:tc>
          <w:tcPr>
            <w:tcW w:type="dxa" w:w="680"/>
          </w:tcPr>
          <w:p>
            <w:pPr>
              <w:jc w:val="left"/>
            </w:pPr>
            <w:r/>
            <w:r>
              <w:rPr>
                <w:b w:val="0"/>
                <w:sz w:val="17"/>
              </w:rPr>
              <w:t>C20</w:t>
            </w:r>
          </w:p>
        </w:tc>
        <w:tc>
          <w:tcPr>
            <w:tcW w:type="dxa" w:w="2211"/>
          </w:tcPr>
          <w:p>
            <w:pPr>
              <w:bidi/>
              <w:jc w:val="right"/>
            </w:pPr>
            <w:r>
              <w:rPr>
                <w:rFonts w:ascii="Arial" w:hAnsi="Arial" w:cs="Arial"/>
                <w:rtl/>
              </w:rPr>
            </w:r>
            <w:r>
              <w:rPr>
                <w:rFonts w:ascii="Arial" w:hAnsi="Arial" w:cs="Arial"/>
                <w:b w:val="0"/>
                <w:sz w:val="17"/>
                <w:rtl/>
              </w:rPr>
              <w:t>بهبود مستمر و ارزیابی اثربخشی</w:t>
            </w:r>
          </w:p>
        </w:tc>
        <w:tc>
          <w:tcPr>
            <w:tcW w:type="dxa" w:w="1361"/>
          </w:tcPr>
          <w:p>
            <w:pPr>
              <w:bidi/>
              <w:jc w:val="right"/>
            </w:pPr>
            <w:r>
              <w:rPr>
                <w:rFonts w:ascii="Arial" w:hAnsi="Arial" w:cs="Arial"/>
                <w:rtl/>
              </w:rPr>
            </w:r>
            <w:r>
              <w:rPr>
                <w:rFonts w:ascii="Arial" w:hAnsi="Arial" w:cs="Arial"/>
                <w:b w:val="0"/>
                <w:sz w:val="17"/>
                <w:rtl/>
              </w:rPr>
              <w:t>سازمان</w:t>
            </w:r>
          </w:p>
        </w:tc>
        <w:tc>
          <w:tcPr>
            <w:tcW w:type="dxa" w:w="964"/>
          </w:tcPr>
          <w:p>
            <w:pPr>
              <w:jc w:val="left"/>
            </w:pPr>
            <w:r/>
            <w:r>
              <w:rPr>
                <w:b w:val="0"/>
                <w:sz w:val="17"/>
              </w:rPr>
              <w:t>MOL</w:t>
            </w:r>
          </w:p>
        </w:tc>
        <w:tc>
          <w:tcPr>
            <w:tcW w:type="dxa" w:w="4309"/>
          </w:tcPr>
          <w:p>
            <w:pPr>
              <w:jc w:val="left"/>
            </w:pPr>
            <w:r/>
            <w:r>
              <w:rPr>
                <w:b w:val="0"/>
                <w:sz w:val="17"/>
              </w:rPr>
              <w:t>NIST CSF 2.0: ID.IM | ISO/IEC 27001:2022: cl. 9.2, 9.3, 10 | ISO 31000:2018 | AICPA TSC: CC4 | IIA GIAS 2024</w:t>
            </w:r>
          </w:p>
        </w:tc>
        <w:tc>
          <w:tcPr>
            <w:tcW w:type="dxa" w:w="3969"/>
          </w:tcPr>
          <w:p>
            <w:pPr>
              <w:jc w:val="left"/>
            </w:pPr>
            <w:r/>
            <w:r>
              <w:rPr>
                <w:b w:val="0"/>
                <w:sz w:val="17"/>
              </w:rPr>
              <w:t>Slapničar et al. (2022); Armenia et al. (2021)</w:t>
            </w:r>
          </w:p>
        </w:tc>
        <w:tc>
          <w:tcPr>
            <w:tcW w:type="dxa" w:w="907"/>
          </w:tcPr>
          <w:p>
            <w:pPr>
              <w:jc w:val="left"/>
            </w:pPr>
            <w:r/>
            <w:r>
              <w:rPr>
                <w:b w:val="0"/>
                <w:sz w:val="17"/>
              </w:rPr>
              <w:t>S+R</w:t>
            </w:r>
          </w:p>
        </w:tc>
      </w:tr>
      <w:tr>
        <w:tc>
          <w:tcPr>
            <w:tcW w:type="dxa" w:w="680"/>
          </w:tcPr>
          <w:p>
            <w:pPr>
              <w:jc w:val="left"/>
            </w:pPr>
            <w:r/>
            <w:r>
              <w:rPr>
                <w:b w:val="0"/>
                <w:sz w:val="17"/>
              </w:rPr>
              <w:t>C21</w:t>
            </w:r>
          </w:p>
        </w:tc>
        <w:tc>
          <w:tcPr>
            <w:tcW w:type="dxa" w:w="2211"/>
          </w:tcPr>
          <w:p>
            <w:pPr>
              <w:bidi/>
              <w:jc w:val="right"/>
            </w:pPr>
            <w:r>
              <w:rPr>
                <w:rFonts w:ascii="Arial" w:hAnsi="Arial" w:cs="Arial"/>
                <w:rtl/>
              </w:rPr>
            </w:r>
            <w:r>
              <w:rPr>
                <w:rFonts w:ascii="Arial" w:hAnsi="Arial" w:cs="Arial"/>
                <w:b w:val="0"/>
                <w:sz w:val="17"/>
                <w:rtl/>
              </w:rPr>
              <w:t>مستندسازی و گزارشگری ریسک</w:t>
            </w:r>
          </w:p>
        </w:tc>
        <w:tc>
          <w:tcPr>
            <w:tcW w:type="dxa" w:w="1361"/>
          </w:tcPr>
          <w:p>
            <w:pPr>
              <w:bidi/>
              <w:jc w:val="right"/>
            </w:pPr>
            <w:r>
              <w:rPr>
                <w:rFonts w:ascii="Arial" w:hAnsi="Arial" w:cs="Arial"/>
                <w:rtl/>
              </w:rPr>
            </w:r>
            <w:r>
              <w:rPr>
                <w:rFonts w:ascii="Arial" w:hAnsi="Arial" w:cs="Arial"/>
                <w:b w:val="0"/>
                <w:sz w:val="17"/>
                <w:rtl/>
              </w:rPr>
              <w:t>مشترک</w:t>
            </w:r>
          </w:p>
        </w:tc>
        <w:tc>
          <w:tcPr>
            <w:tcW w:type="dxa" w:w="964"/>
          </w:tcPr>
          <w:p>
            <w:pPr>
              <w:jc w:val="left"/>
            </w:pPr>
            <w:r/>
            <w:r>
              <w:rPr>
                <w:b w:val="0"/>
                <w:sz w:val="17"/>
              </w:rPr>
              <w:t>PEF</w:t>
            </w:r>
          </w:p>
        </w:tc>
        <w:tc>
          <w:tcPr>
            <w:tcW w:type="dxa" w:w="4309"/>
          </w:tcPr>
          <w:p>
            <w:pPr>
              <w:jc w:val="left"/>
            </w:pPr>
            <w:r/>
            <w:r>
              <w:rPr>
                <w:b w:val="0"/>
                <w:sz w:val="17"/>
              </w:rPr>
              <w:t>NIST CSF 2.0: GV.OV | ISO/IEC 27001:2022: cl. 7.5, 9.3 | AICPA TSC: CC2; DC section 100 | ISA 260, 265</w:t>
            </w:r>
          </w:p>
        </w:tc>
        <w:tc>
          <w:tcPr>
            <w:tcW w:type="dxa" w:w="3969"/>
          </w:tcPr>
          <w:p>
            <w:pPr>
              <w:jc w:val="left"/>
            </w:pPr>
            <w:r/>
            <w:r>
              <w:rPr>
                <w:b w:val="0"/>
                <w:sz w:val="17"/>
              </w:rPr>
              <w:t>Slapničar et al. (2022); Sari et al. (2023)</w:t>
            </w:r>
          </w:p>
        </w:tc>
        <w:tc>
          <w:tcPr>
            <w:tcW w:type="dxa" w:w="907"/>
          </w:tcPr>
          <w:p>
            <w:pPr>
              <w:jc w:val="left"/>
            </w:pPr>
            <w:r/>
            <w:r>
              <w:rPr>
                <w:b w:val="0"/>
                <w:sz w:val="17"/>
              </w:rPr>
              <w:t>S+R</w:t>
            </w:r>
          </w:p>
        </w:tc>
      </w:tr>
      <w:tr>
        <w:tc>
          <w:tcPr>
            <w:tcW w:type="dxa" w:w="680"/>
          </w:tcPr>
          <w:p>
            <w:pPr>
              <w:jc w:val="left"/>
            </w:pPr>
            <w:r/>
            <w:r>
              <w:rPr>
                <w:b w:val="0"/>
                <w:sz w:val="17"/>
              </w:rPr>
              <w:t>A01</w:t>
            </w:r>
          </w:p>
        </w:tc>
        <w:tc>
          <w:tcPr>
            <w:tcW w:type="dxa" w:w="2211"/>
          </w:tcPr>
          <w:p>
            <w:pPr>
              <w:bidi/>
              <w:jc w:val="right"/>
            </w:pPr>
            <w:r>
              <w:rPr>
                <w:rFonts w:ascii="Arial" w:hAnsi="Arial" w:cs="Arial"/>
                <w:rtl/>
              </w:rPr>
            </w:r>
            <w:r>
              <w:rPr>
                <w:rFonts w:ascii="Arial" w:hAnsi="Arial" w:cs="Arial"/>
                <w:b w:val="0"/>
                <w:sz w:val="17"/>
                <w:rtl/>
              </w:rPr>
              <w:t>درک سازمان، محیط IT و سیستم اطلاعاتی</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TVI</w:t>
            </w:r>
          </w:p>
        </w:tc>
        <w:tc>
          <w:tcPr>
            <w:tcW w:type="dxa" w:w="4309"/>
          </w:tcPr>
          <w:p>
            <w:pPr>
              <w:jc w:val="left"/>
            </w:pPr>
            <w:r/>
            <w:r>
              <w:rPr>
                <w:b w:val="0"/>
                <w:sz w:val="17"/>
              </w:rPr>
              <w:t>ISA 315 (Revised 2019); AU-C 315; PCAOB AS 2110</w:t>
            </w:r>
          </w:p>
        </w:tc>
        <w:tc>
          <w:tcPr>
            <w:tcW w:type="dxa" w:w="3969"/>
          </w:tcPr>
          <w:p>
            <w:pPr>
              <w:jc w:val="left"/>
            </w:pPr>
            <w:r/>
            <w:r>
              <w:rPr>
                <w:b w:val="0"/>
                <w:sz w:val="17"/>
              </w:rPr>
              <w:t>Hermanson et al. (2000); Bedard et al. (2005)</w:t>
            </w:r>
          </w:p>
        </w:tc>
        <w:tc>
          <w:tcPr>
            <w:tcW w:type="dxa" w:w="907"/>
          </w:tcPr>
          <w:p>
            <w:pPr>
              <w:jc w:val="left"/>
            </w:pPr>
            <w:r/>
            <w:r>
              <w:rPr>
                <w:b w:val="0"/>
                <w:sz w:val="17"/>
              </w:rPr>
              <w:t>S+R</w:t>
            </w:r>
          </w:p>
        </w:tc>
      </w:tr>
      <w:tr>
        <w:tc>
          <w:tcPr>
            <w:tcW w:type="dxa" w:w="680"/>
          </w:tcPr>
          <w:p>
            <w:pPr>
              <w:jc w:val="left"/>
            </w:pPr>
            <w:r/>
            <w:r>
              <w:rPr>
                <w:b w:val="0"/>
                <w:sz w:val="17"/>
              </w:rPr>
              <w:t>A02</w:t>
            </w:r>
          </w:p>
        </w:tc>
        <w:tc>
          <w:tcPr>
            <w:tcW w:type="dxa" w:w="2211"/>
          </w:tcPr>
          <w:p>
            <w:pPr>
              <w:bidi/>
              <w:jc w:val="right"/>
            </w:pPr>
            <w:r>
              <w:rPr>
                <w:rFonts w:ascii="Arial" w:hAnsi="Arial" w:cs="Arial"/>
                <w:rtl/>
              </w:rPr>
            </w:r>
            <w:r>
              <w:rPr>
                <w:rFonts w:ascii="Arial" w:hAnsi="Arial" w:cs="Arial"/>
                <w:b w:val="0"/>
                <w:sz w:val="17"/>
                <w:rtl/>
              </w:rPr>
              <w:t>ارزیابی اثر ریسک سایبری بر ریسک تحریف با اهمیت</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RRJ</w:t>
            </w:r>
          </w:p>
        </w:tc>
        <w:tc>
          <w:tcPr>
            <w:tcW w:type="dxa" w:w="4309"/>
          </w:tcPr>
          <w:p>
            <w:pPr>
              <w:jc w:val="left"/>
            </w:pPr>
            <w:r/>
            <w:r>
              <w:rPr>
                <w:b w:val="0"/>
                <w:sz w:val="17"/>
              </w:rPr>
              <w:t>ISA 315 (Revised 2019); ISA 240; ISA 450</w:t>
            </w:r>
          </w:p>
        </w:tc>
        <w:tc>
          <w:tcPr>
            <w:tcW w:type="dxa" w:w="3969"/>
          </w:tcPr>
          <w:p>
            <w:pPr>
              <w:jc w:val="left"/>
            </w:pPr>
            <w:r/>
            <w:r>
              <w:rPr>
                <w:b w:val="0"/>
                <w:sz w:val="17"/>
              </w:rPr>
              <w:t>Bedard et al. (2005); Li et al. (2020)</w:t>
            </w:r>
          </w:p>
        </w:tc>
        <w:tc>
          <w:tcPr>
            <w:tcW w:type="dxa" w:w="907"/>
          </w:tcPr>
          <w:p>
            <w:pPr>
              <w:jc w:val="left"/>
            </w:pPr>
            <w:r/>
            <w:r>
              <w:rPr>
                <w:b w:val="0"/>
                <w:sz w:val="17"/>
              </w:rPr>
              <w:t>S+R</w:t>
            </w:r>
          </w:p>
        </w:tc>
      </w:tr>
      <w:tr>
        <w:tc>
          <w:tcPr>
            <w:tcW w:type="dxa" w:w="680"/>
          </w:tcPr>
          <w:p>
            <w:pPr>
              <w:jc w:val="left"/>
            </w:pPr>
            <w:r/>
            <w:r>
              <w:rPr>
                <w:b w:val="0"/>
                <w:sz w:val="17"/>
              </w:rPr>
              <w:t>A03</w:t>
            </w:r>
          </w:p>
        </w:tc>
        <w:tc>
          <w:tcPr>
            <w:tcW w:type="dxa" w:w="2211"/>
          </w:tcPr>
          <w:p>
            <w:pPr>
              <w:bidi/>
              <w:jc w:val="right"/>
            </w:pPr>
            <w:r>
              <w:rPr>
                <w:rFonts w:ascii="Arial" w:hAnsi="Arial" w:cs="Arial"/>
                <w:rtl/>
              </w:rPr>
            </w:r>
            <w:r>
              <w:rPr>
                <w:rFonts w:ascii="Arial" w:hAnsi="Arial" w:cs="Arial"/>
                <w:b w:val="0"/>
                <w:sz w:val="17"/>
                <w:rtl/>
              </w:rPr>
              <w:t>ارزیابی طراحی و اثربخشی کنترل‌های عمومی IT</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CCE</w:t>
            </w:r>
          </w:p>
        </w:tc>
        <w:tc>
          <w:tcPr>
            <w:tcW w:type="dxa" w:w="4309"/>
          </w:tcPr>
          <w:p>
            <w:pPr>
              <w:jc w:val="left"/>
            </w:pPr>
            <w:r/>
            <w:r>
              <w:rPr>
                <w:b w:val="0"/>
                <w:sz w:val="17"/>
              </w:rPr>
              <w:t>ISA 315; ISA 330; PCAOB AS 2201 (ITGC)</w:t>
            </w:r>
          </w:p>
        </w:tc>
        <w:tc>
          <w:tcPr>
            <w:tcW w:type="dxa" w:w="3969"/>
          </w:tcPr>
          <w:p>
            <w:pPr>
              <w:jc w:val="left"/>
            </w:pPr>
            <w:r/>
            <w:r>
              <w:rPr>
                <w:b w:val="0"/>
                <w:sz w:val="17"/>
              </w:rPr>
              <w:t>Hermanson et al. (2000); Slapničar et al. (2022)</w:t>
            </w:r>
          </w:p>
        </w:tc>
        <w:tc>
          <w:tcPr>
            <w:tcW w:type="dxa" w:w="907"/>
          </w:tcPr>
          <w:p>
            <w:pPr>
              <w:jc w:val="left"/>
            </w:pPr>
            <w:r/>
            <w:r>
              <w:rPr>
                <w:b w:val="0"/>
                <w:sz w:val="17"/>
              </w:rPr>
              <w:t>S+R</w:t>
            </w:r>
          </w:p>
        </w:tc>
      </w:tr>
      <w:tr>
        <w:tc>
          <w:tcPr>
            <w:tcW w:type="dxa" w:w="680"/>
          </w:tcPr>
          <w:p>
            <w:pPr>
              <w:jc w:val="left"/>
            </w:pPr>
            <w:r/>
            <w:r>
              <w:rPr>
                <w:b w:val="0"/>
                <w:sz w:val="17"/>
              </w:rPr>
              <w:t>A04</w:t>
            </w:r>
          </w:p>
        </w:tc>
        <w:tc>
          <w:tcPr>
            <w:tcW w:type="dxa" w:w="2211"/>
          </w:tcPr>
          <w:p>
            <w:pPr>
              <w:bidi/>
              <w:jc w:val="right"/>
            </w:pPr>
            <w:r>
              <w:rPr>
                <w:rFonts w:ascii="Arial" w:hAnsi="Arial" w:cs="Arial"/>
                <w:rtl/>
              </w:rPr>
            </w:r>
            <w:r>
              <w:rPr>
                <w:rFonts w:ascii="Arial" w:hAnsi="Arial" w:cs="Arial"/>
                <w:b w:val="0"/>
                <w:sz w:val="17"/>
                <w:rtl/>
              </w:rPr>
              <w:t>کفایت و قابلیت اتکای شواهد الکترونیکی</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CCE</w:t>
            </w:r>
          </w:p>
        </w:tc>
        <w:tc>
          <w:tcPr>
            <w:tcW w:type="dxa" w:w="4309"/>
          </w:tcPr>
          <w:p>
            <w:pPr>
              <w:jc w:val="left"/>
            </w:pPr>
            <w:r/>
            <w:r>
              <w:rPr>
                <w:b w:val="0"/>
                <w:sz w:val="17"/>
              </w:rPr>
              <w:t>ISA 500; ISA 230</w:t>
            </w:r>
          </w:p>
        </w:tc>
        <w:tc>
          <w:tcPr>
            <w:tcW w:type="dxa" w:w="3969"/>
          </w:tcPr>
          <w:p>
            <w:pPr>
              <w:jc w:val="left"/>
            </w:pPr>
            <w:r/>
            <w:r>
              <w:rPr>
                <w:b w:val="0"/>
                <w:sz w:val="17"/>
              </w:rPr>
              <w:t>—</w:t>
            </w:r>
          </w:p>
        </w:tc>
        <w:tc>
          <w:tcPr>
            <w:tcW w:type="dxa" w:w="907"/>
          </w:tcPr>
          <w:p>
            <w:pPr>
              <w:jc w:val="left"/>
            </w:pPr>
            <w:r/>
            <w:r>
              <w:rPr>
                <w:b w:val="0"/>
                <w:sz w:val="17"/>
              </w:rPr>
              <w:t>S</w:t>
            </w:r>
          </w:p>
        </w:tc>
      </w:tr>
      <w:tr>
        <w:tc>
          <w:tcPr>
            <w:tcW w:type="dxa" w:w="680"/>
          </w:tcPr>
          <w:p>
            <w:pPr>
              <w:jc w:val="left"/>
            </w:pPr>
            <w:r/>
            <w:r>
              <w:rPr>
                <w:b w:val="0"/>
                <w:sz w:val="17"/>
              </w:rPr>
              <w:t>A05</w:t>
            </w:r>
          </w:p>
        </w:tc>
        <w:tc>
          <w:tcPr>
            <w:tcW w:type="dxa" w:w="2211"/>
          </w:tcPr>
          <w:p>
            <w:pPr>
              <w:bidi/>
              <w:jc w:val="right"/>
            </w:pPr>
            <w:r>
              <w:rPr>
                <w:rFonts w:ascii="Arial" w:hAnsi="Arial" w:cs="Arial"/>
                <w:rtl/>
              </w:rPr>
            </w:r>
            <w:r>
              <w:rPr>
                <w:rFonts w:ascii="Arial" w:hAnsi="Arial" w:cs="Arial"/>
                <w:b w:val="0"/>
                <w:sz w:val="17"/>
                <w:rtl/>
              </w:rPr>
              <w:t>اتکا به گزارش‌های سازمان خدماتی</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COL</w:t>
            </w:r>
          </w:p>
        </w:tc>
        <w:tc>
          <w:tcPr>
            <w:tcW w:type="dxa" w:w="4309"/>
          </w:tcPr>
          <w:p>
            <w:pPr>
              <w:jc w:val="left"/>
            </w:pPr>
            <w:r/>
            <w:r>
              <w:rPr>
                <w:b w:val="0"/>
                <w:sz w:val="17"/>
              </w:rPr>
              <w:t>ISA 402; AICPA SOC 2 and SOC for Cybersecurity reports</w:t>
            </w:r>
          </w:p>
        </w:tc>
        <w:tc>
          <w:tcPr>
            <w:tcW w:type="dxa" w:w="3969"/>
          </w:tcPr>
          <w:p>
            <w:pPr>
              <w:jc w:val="left"/>
            </w:pPr>
            <w:r/>
            <w:r>
              <w:rPr>
                <w:b w:val="0"/>
                <w:sz w:val="17"/>
              </w:rPr>
              <w:t>Kahyaoğlu &amp; Çalıyurt (2018)</w:t>
            </w:r>
          </w:p>
        </w:tc>
        <w:tc>
          <w:tcPr>
            <w:tcW w:type="dxa" w:w="907"/>
          </w:tcPr>
          <w:p>
            <w:pPr>
              <w:jc w:val="left"/>
            </w:pPr>
            <w:r/>
            <w:r>
              <w:rPr>
                <w:b w:val="0"/>
                <w:sz w:val="17"/>
              </w:rPr>
              <w:t>S+R</w:t>
            </w:r>
          </w:p>
        </w:tc>
      </w:tr>
      <w:tr>
        <w:tc>
          <w:tcPr>
            <w:tcW w:type="dxa" w:w="680"/>
          </w:tcPr>
          <w:p>
            <w:pPr>
              <w:jc w:val="left"/>
            </w:pPr>
            <w:r/>
            <w:r>
              <w:rPr>
                <w:b w:val="0"/>
                <w:sz w:val="17"/>
              </w:rPr>
              <w:t>A06</w:t>
            </w:r>
          </w:p>
        </w:tc>
        <w:tc>
          <w:tcPr>
            <w:tcW w:type="dxa" w:w="2211"/>
          </w:tcPr>
          <w:p>
            <w:pPr>
              <w:bidi/>
              <w:jc w:val="right"/>
            </w:pPr>
            <w:r>
              <w:rPr>
                <w:rFonts w:ascii="Arial" w:hAnsi="Arial" w:cs="Arial"/>
                <w:rtl/>
              </w:rPr>
            </w:r>
            <w:r>
              <w:rPr>
                <w:rFonts w:ascii="Arial" w:hAnsi="Arial" w:cs="Arial"/>
                <w:b w:val="0"/>
                <w:sz w:val="17"/>
                <w:rtl/>
              </w:rPr>
              <w:t>شایستگی فنی حسابرس و استفاده از کارشناس</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COL</w:t>
            </w:r>
          </w:p>
        </w:tc>
        <w:tc>
          <w:tcPr>
            <w:tcW w:type="dxa" w:w="4309"/>
          </w:tcPr>
          <w:p>
            <w:pPr>
              <w:jc w:val="left"/>
            </w:pPr>
            <w:r/>
            <w:r>
              <w:rPr>
                <w:b w:val="0"/>
                <w:sz w:val="17"/>
              </w:rPr>
              <w:t>ISA 620; ISA 220; ISQM 1; IIA GIAS 2024</w:t>
            </w:r>
          </w:p>
        </w:tc>
        <w:tc>
          <w:tcPr>
            <w:tcW w:type="dxa" w:w="3969"/>
          </w:tcPr>
          <w:p>
            <w:pPr>
              <w:jc w:val="left"/>
            </w:pPr>
            <w:r/>
            <w:r>
              <w:rPr>
                <w:b w:val="0"/>
                <w:sz w:val="17"/>
              </w:rPr>
              <w:t>Islam et al. (2018); Steinbart et al. (2018); Hermanson et al. (2000)</w:t>
            </w:r>
          </w:p>
        </w:tc>
        <w:tc>
          <w:tcPr>
            <w:tcW w:type="dxa" w:w="907"/>
          </w:tcPr>
          <w:p>
            <w:pPr>
              <w:jc w:val="left"/>
            </w:pPr>
            <w:r/>
            <w:r>
              <w:rPr>
                <w:b w:val="0"/>
                <w:sz w:val="17"/>
              </w:rPr>
              <w:t>S+R</w:t>
            </w:r>
          </w:p>
        </w:tc>
      </w:tr>
      <w:tr>
        <w:tc>
          <w:tcPr>
            <w:tcW w:type="dxa" w:w="680"/>
          </w:tcPr>
          <w:p>
            <w:pPr>
              <w:jc w:val="left"/>
            </w:pPr>
            <w:r/>
            <w:r>
              <w:rPr>
                <w:b w:val="0"/>
                <w:sz w:val="17"/>
              </w:rPr>
              <w:t>A07</w:t>
            </w:r>
          </w:p>
        </w:tc>
        <w:tc>
          <w:tcPr>
            <w:tcW w:type="dxa" w:w="2211"/>
          </w:tcPr>
          <w:p>
            <w:pPr>
              <w:bidi/>
              <w:jc w:val="right"/>
            </w:pPr>
            <w:r>
              <w:rPr>
                <w:rFonts w:ascii="Arial" w:hAnsi="Arial" w:cs="Arial"/>
                <w:rtl/>
              </w:rPr>
            </w:r>
            <w:r>
              <w:rPr>
                <w:rFonts w:ascii="Arial" w:hAnsi="Arial" w:cs="Arial"/>
                <w:b w:val="0"/>
                <w:sz w:val="17"/>
                <w:rtl/>
              </w:rPr>
              <w:t>ارزیابی اثر حوادث سایبری بر صورت‌های مالی و افشا</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PEF</w:t>
            </w:r>
          </w:p>
        </w:tc>
        <w:tc>
          <w:tcPr>
            <w:tcW w:type="dxa" w:w="4309"/>
          </w:tcPr>
          <w:p>
            <w:pPr>
              <w:jc w:val="left"/>
            </w:pPr>
            <w:r/>
            <w:r>
              <w:rPr>
                <w:b w:val="0"/>
                <w:sz w:val="17"/>
              </w:rPr>
              <w:t>ISA 450; ISA 560; ISA 570; ISA 250</w:t>
            </w:r>
          </w:p>
        </w:tc>
        <w:tc>
          <w:tcPr>
            <w:tcW w:type="dxa" w:w="3969"/>
          </w:tcPr>
          <w:p>
            <w:pPr>
              <w:jc w:val="left"/>
            </w:pPr>
            <w:r/>
            <w:r>
              <w:rPr>
                <w:b w:val="0"/>
                <w:sz w:val="17"/>
              </w:rPr>
              <w:t>Li et al. (2020); Sari et al. (2023)</w:t>
            </w:r>
          </w:p>
        </w:tc>
        <w:tc>
          <w:tcPr>
            <w:tcW w:type="dxa" w:w="907"/>
          </w:tcPr>
          <w:p>
            <w:pPr>
              <w:jc w:val="left"/>
            </w:pPr>
            <w:r/>
            <w:r>
              <w:rPr>
                <w:b w:val="0"/>
                <w:sz w:val="17"/>
              </w:rPr>
              <w:t>S+R</w:t>
            </w:r>
          </w:p>
        </w:tc>
      </w:tr>
      <w:tr>
        <w:tc>
          <w:tcPr>
            <w:tcW w:type="dxa" w:w="680"/>
          </w:tcPr>
          <w:p>
            <w:pPr>
              <w:jc w:val="left"/>
            </w:pPr>
            <w:r/>
            <w:r>
              <w:rPr>
                <w:b w:val="0"/>
                <w:sz w:val="17"/>
              </w:rPr>
              <w:t>A08</w:t>
            </w:r>
          </w:p>
        </w:tc>
        <w:tc>
          <w:tcPr>
            <w:tcW w:type="dxa" w:w="2211"/>
          </w:tcPr>
          <w:p>
            <w:pPr>
              <w:bidi/>
              <w:jc w:val="right"/>
            </w:pPr>
            <w:r>
              <w:rPr>
                <w:rFonts w:ascii="Arial" w:hAnsi="Arial" w:cs="Arial"/>
                <w:rtl/>
              </w:rPr>
            </w:r>
            <w:r>
              <w:rPr>
                <w:rFonts w:ascii="Arial" w:hAnsi="Arial" w:cs="Arial"/>
                <w:b w:val="0"/>
                <w:sz w:val="17"/>
                <w:rtl/>
              </w:rPr>
              <w:t>ارتباط با راهبران و گزارش نقاط ضعف کنترلی</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PEF</w:t>
            </w:r>
          </w:p>
        </w:tc>
        <w:tc>
          <w:tcPr>
            <w:tcW w:type="dxa" w:w="4309"/>
          </w:tcPr>
          <w:p>
            <w:pPr>
              <w:jc w:val="left"/>
            </w:pPr>
            <w:r/>
            <w:r>
              <w:rPr>
                <w:b w:val="0"/>
                <w:sz w:val="17"/>
              </w:rPr>
              <w:t>ISA 260; ISA 265; IIA GIAS 2024</w:t>
            </w:r>
          </w:p>
        </w:tc>
        <w:tc>
          <w:tcPr>
            <w:tcW w:type="dxa" w:w="3969"/>
          </w:tcPr>
          <w:p>
            <w:pPr>
              <w:jc w:val="left"/>
            </w:pPr>
            <w:r/>
            <w:r>
              <w:rPr>
                <w:b w:val="0"/>
                <w:sz w:val="17"/>
              </w:rPr>
              <w:t>Slapničar et al. (2022); Islam et al. (2018)</w:t>
            </w:r>
          </w:p>
        </w:tc>
        <w:tc>
          <w:tcPr>
            <w:tcW w:type="dxa" w:w="907"/>
          </w:tcPr>
          <w:p>
            <w:pPr>
              <w:jc w:val="left"/>
            </w:pPr>
            <w:r/>
            <w:r>
              <w:rPr>
                <w:b w:val="0"/>
                <w:sz w:val="17"/>
              </w:rPr>
              <w:t>S+R</w:t>
            </w:r>
          </w:p>
        </w:tc>
      </w:tr>
      <w:tr>
        <w:tc>
          <w:tcPr>
            <w:tcW w:type="dxa" w:w="680"/>
          </w:tcPr>
          <w:p>
            <w:pPr>
              <w:jc w:val="left"/>
            </w:pPr>
            <w:r/>
            <w:r>
              <w:rPr>
                <w:b w:val="0"/>
                <w:sz w:val="17"/>
              </w:rPr>
              <w:t>A09</w:t>
            </w:r>
          </w:p>
        </w:tc>
        <w:tc>
          <w:tcPr>
            <w:tcW w:type="dxa" w:w="2211"/>
          </w:tcPr>
          <w:p>
            <w:pPr>
              <w:bidi/>
              <w:jc w:val="right"/>
            </w:pPr>
            <w:r>
              <w:rPr>
                <w:rFonts w:ascii="Arial" w:hAnsi="Arial" w:cs="Arial"/>
                <w:rtl/>
              </w:rPr>
            </w:r>
            <w:r>
              <w:rPr>
                <w:rFonts w:ascii="Arial" w:hAnsi="Arial" w:cs="Arial"/>
                <w:b w:val="0"/>
                <w:sz w:val="17"/>
                <w:rtl/>
              </w:rPr>
              <w:t>قضاوت و تردید حرفه‌ای در ریسک سایبری</w:t>
            </w:r>
          </w:p>
        </w:tc>
        <w:tc>
          <w:tcPr>
            <w:tcW w:type="dxa" w:w="1361"/>
          </w:tcPr>
          <w:p>
            <w:pPr>
              <w:bidi/>
              <w:jc w:val="right"/>
            </w:pPr>
            <w:r>
              <w:rPr>
                <w:rFonts w:ascii="Arial" w:hAnsi="Arial" w:cs="Arial"/>
                <w:rtl/>
              </w:rPr>
            </w:r>
            <w:r>
              <w:rPr>
                <w:rFonts w:ascii="Arial" w:hAnsi="Arial" w:cs="Arial"/>
                <w:b w:val="0"/>
                <w:sz w:val="17"/>
                <w:rtl/>
              </w:rPr>
              <w:t>حسابرس</w:t>
            </w:r>
          </w:p>
        </w:tc>
        <w:tc>
          <w:tcPr>
            <w:tcW w:type="dxa" w:w="964"/>
          </w:tcPr>
          <w:p>
            <w:pPr>
              <w:jc w:val="left"/>
            </w:pPr>
            <w:r/>
            <w:r>
              <w:rPr>
                <w:b w:val="0"/>
                <w:sz w:val="17"/>
              </w:rPr>
              <w:t>PEF</w:t>
            </w:r>
          </w:p>
        </w:tc>
        <w:tc>
          <w:tcPr>
            <w:tcW w:type="dxa" w:w="4309"/>
          </w:tcPr>
          <w:p>
            <w:pPr>
              <w:jc w:val="left"/>
            </w:pPr>
            <w:r/>
            <w:r>
              <w:rPr>
                <w:b w:val="0"/>
                <w:sz w:val="17"/>
              </w:rPr>
              <w:t>ISA 200</w:t>
            </w:r>
          </w:p>
        </w:tc>
        <w:tc>
          <w:tcPr>
            <w:tcW w:type="dxa" w:w="3969"/>
          </w:tcPr>
          <w:p>
            <w:pPr>
              <w:jc w:val="left"/>
            </w:pPr>
            <w:r/>
            <w:r>
              <w:rPr>
                <w:b w:val="0"/>
                <w:sz w:val="17"/>
              </w:rPr>
              <w:t>—</w:t>
            </w:r>
          </w:p>
        </w:tc>
        <w:tc>
          <w:tcPr>
            <w:tcW w:type="dxa" w:w="907"/>
          </w:tcPr>
          <w:p>
            <w:pPr>
              <w:jc w:val="left"/>
            </w:pPr>
            <w:r/>
            <w:r>
              <w:rPr>
                <w:b w:val="0"/>
                <w:sz w:val="17"/>
              </w:rPr>
              <w:t>S</w:t>
            </w:r>
          </w:p>
        </w:tc>
      </w:tr>
    </w:tbl>
    <w:p/>
    <w:p>
      <w:r>
        <w:br w:type="page"/>
      </w:r>
    </w:p>
    <w:p>
      <w:pPr>
        <w:spacing w:after="140" w:line="288" w:lineRule="auto"/>
        <w:jc w:val="left"/>
      </w:pPr>
      <w:r>
        <w:rPr>
          <w:b/>
          <w:i w:val="0"/>
          <w:color w:val="1F3864"/>
          <w:sz w:val="26"/>
        </w:rPr>
        <w:t>References</w:t>
      </w:r>
    </w:p>
    <w:p>
      <w:pPr>
        <w:spacing w:after="60" w:line="264" w:lineRule="auto"/>
        <w:ind w:left="567" w:hanging="567"/>
        <w:jc w:val="left"/>
      </w:pPr>
      <w:r>
        <w:rPr>
          <w:b w:val="0"/>
          <w:i w:val="0"/>
          <w:sz w:val="20"/>
        </w:rPr>
        <w:t>Armenia, S., Angelini, M., Nonino, F., Palombi, G., &amp; Schlitzer, M. F. (2021). A dynamic simulation approach to support the evaluation of cyber risks and security investments in SMEs. Decision Support Systems, 147, 113580. https://doi.org/10.1016/j.dss.2021.113580</w:t>
      </w:r>
    </w:p>
    <w:p>
      <w:pPr>
        <w:spacing w:after="60" w:line="264" w:lineRule="auto"/>
        <w:ind w:left="567" w:hanging="567"/>
        <w:jc w:val="left"/>
      </w:pPr>
      <w:r>
        <w:rPr>
          <w:b w:val="0"/>
          <w:i w:val="0"/>
          <w:sz w:val="20"/>
        </w:rPr>
        <w:t>Barney, J. (1991). Firm resources and sustained competitive advantage. Journal of Management, 17(1), 99–120.</w:t>
      </w:r>
    </w:p>
    <w:p>
      <w:pPr>
        <w:spacing w:after="60" w:line="264" w:lineRule="auto"/>
        <w:ind w:left="567" w:hanging="567"/>
        <w:jc w:val="left"/>
      </w:pPr>
      <w:r>
        <w:rPr>
          <w:b w:val="0"/>
          <w:i w:val="0"/>
          <w:sz w:val="20"/>
        </w:rPr>
        <w:t>Bedard, J. C., Graham, L., &amp; Jackson, C. (2005). Information systems risk and audit planning. International Journal of Auditing, 9, 147–163. https://doi.org/10.1111/j.1099-1123.2005.00267.x</w:t>
      </w:r>
    </w:p>
    <w:p>
      <w:pPr>
        <w:spacing w:after="60" w:line="264" w:lineRule="auto"/>
        <w:ind w:left="567" w:hanging="567"/>
        <w:jc w:val="left"/>
      </w:pPr>
      <w:r>
        <w:rPr>
          <w:b w:val="0"/>
          <w:i w:val="0"/>
          <w:sz w:val="20"/>
        </w:rPr>
        <w:t>Cremer, F., Sheehan, B., Fortmann, M., Kia, A. N., Mullins, M., Murphy, F., &amp; Materne, S. (2022). Cyber risk and cybersecurity: A systematic review of data availability. The Geneva Papers on Risk and Insurance – Issues and Practice, 47(3), 698–736. https://doi.org/10.1057/s41288-022-00266-6</w:t>
      </w:r>
    </w:p>
    <w:p>
      <w:pPr>
        <w:spacing w:after="60" w:line="264" w:lineRule="auto"/>
        <w:ind w:left="567" w:hanging="567"/>
        <w:jc w:val="left"/>
      </w:pPr>
      <w:r>
        <w:rPr>
          <w:b w:val="0"/>
          <w:i w:val="0"/>
          <w:sz w:val="20"/>
        </w:rPr>
        <w:t>DiMaggio, P. J., &amp; Powell, W. W. (1983). The iron cage revisited: Institutional isomorphism and collective rationality in organizational fields. American Sociological Review, 48(2), 147–160.</w:t>
      </w:r>
    </w:p>
    <w:p>
      <w:pPr>
        <w:spacing w:after="60" w:line="264" w:lineRule="auto"/>
        <w:ind w:left="567" w:hanging="567"/>
        <w:jc w:val="left"/>
      </w:pPr>
      <w:r>
        <w:rPr>
          <w:b w:val="0"/>
          <w:i w:val="0"/>
          <w:sz w:val="20"/>
        </w:rPr>
        <w:t>Donaldson, L. (2001). The contingency theory of organizations. Sage.</w:t>
      </w:r>
    </w:p>
    <w:p>
      <w:pPr>
        <w:spacing w:after="60" w:line="264" w:lineRule="auto"/>
        <w:ind w:left="567" w:hanging="567"/>
        <w:jc w:val="left"/>
      </w:pPr>
      <w:r>
        <w:rPr>
          <w:b w:val="0"/>
          <w:i w:val="0"/>
          <w:sz w:val="20"/>
        </w:rPr>
        <w:t>Ganin, A. A., Quach, P., Panwar, M., Collier, Z. A., Keisler, J. M., Marchese, D., &amp; Linkov, I. (2020). Multicriteria decision framework for cybersecurity risk assessment and management. Risk Analysis, 40(1), 183–199.</w:t>
      </w:r>
    </w:p>
    <w:p>
      <w:pPr>
        <w:spacing w:after="60" w:line="264" w:lineRule="auto"/>
        <w:ind w:left="567" w:hanging="567"/>
        <w:jc w:val="left"/>
      </w:pPr>
      <w:r>
        <w:rPr>
          <w:b w:val="0"/>
          <w:i w:val="0"/>
          <w:sz w:val="20"/>
        </w:rPr>
        <w:t>Gordon, L. A., &amp; Loeb, M. P. (2002). The economics of information security investment. ACM Transactions on Information and System Security, 5(4), 438–457. https://doi.org/10.1145/581271.581274</w:t>
      </w:r>
    </w:p>
    <w:p>
      <w:pPr>
        <w:spacing w:after="60" w:line="264" w:lineRule="auto"/>
        <w:ind w:left="567" w:hanging="567"/>
        <w:jc w:val="left"/>
      </w:pPr>
      <w:r>
        <w:rPr>
          <w:b w:val="0"/>
          <w:i w:val="0"/>
          <w:sz w:val="20"/>
        </w:rPr>
        <w:t>Hermanson, D. R., Hill, M. C., &amp; Ivancevich, D. M. (2000). Information technology-related activities of internal auditors. Journal of Information Systems, 14(Supplement), 40–53.</w:t>
      </w:r>
    </w:p>
    <w:p>
      <w:pPr>
        <w:spacing w:after="60" w:line="264" w:lineRule="auto"/>
        <w:ind w:left="567" w:hanging="567"/>
        <w:jc w:val="left"/>
      </w:pPr>
      <w:r>
        <w:rPr>
          <w:b w:val="0"/>
          <w:i w:val="0"/>
          <w:sz w:val="20"/>
        </w:rPr>
        <w:t>Higgs, J. L., Pinsker, R. E., Smith, T. J., &amp; Young, G. R. (2016). The relationship between board-level technology committees and reported security breaches. Journal of Information Systems, 30(3), 79–98. https://doi.org/10.2308/isys-51402</w:t>
      </w:r>
    </w:p>
    <w:p>
      <w:pPr>
        <w:spacing w:after="60" w:line="264" w:lineRule="auto"/>
        <w:ind w:left="567" w:hanging="567"/>
        <w:jc w:val="left"/>
      </w:pPr>
      <w:r>
        <w:rPr>
          <w:b w:val="0"/>
          <w:i w:val="0"/>
          <w:sz w:val="20"/>
        </w:rPr>
        <w:t>Islam, M. S., Farah, N., &amp; Stafford, T. F. (2018). Factors associated with security/cybersecurity audit by internal audit function: An international study. Managerial Auditing Journal, 33(4), 377–409. https://doi.org/10.1108/MAJ-07-2017-1595</w:t>
      </w:r>
    </w:p>
    <w:p>
      <w:pPr>
        <w:spacing w:after="60" w:line="264" w:lineRule="auto"/>
        <w:ind w:left="567" w:hanging="567"/>
        <w:jc w:val="left"/>
      </w:pPr>
      <w:r>
        <w:rPr>
          <w:b w:val="0"/>
          <w:i w:val="0"/>
          <w:sz w:val="20"/>
        </w:rPr>
        <w:t>Jensen, M. C., &amp; Meckling, W. H. (1976). Theory of the firm: Managerial behavior, agency costs and ownership structure. Journal of Financial Economics, 3(4), 305–360.</w:t>
      </w:r>
    </w:p>
    <w:p>
      <w:pPr>
        <w:spacing w:after="60" w:line="264" w:lineRule="auto"/>
        <w:ind w:left="567" w:hanging="567"/>
        <w:jc w:val="left"/>
      </w:pPr>
      <w:r>
        <w:rPr>
          <w:b w:val="0"/>
          <w:i w:val="0"/>
          <w:sz w:val="20"/>
        </w:rPr>
        <w:t>Kahyaoğlu, S. B., &amp; Çalıyurt, K. (2018). Cyber security assurance process from the internal audit perspective. Managerial Auditing Journal, 33(4), 360–376. https://doi.org/10.1108/MAJ-02-2018-1804</w:t>
      </w:r>
    </w:p>
    <w:p>
      <w:pPr>
        <w:spacing w:after="60" w:line="264" w:lineRule="auto"/>
        <w:ind w:left="567" w:hanging="567"/>
        <w:jc w:val="left"/>
      </w:pPr>
      <w:r>
        <w:rPr>
          <w:b w:val="0"/>
          <w:i w:val="0"/>
          <w:sz w:val="20"/>
        </w:rPr>
        <w:t>Li, H., No, W. G., &amp; Boritz, J. E. (2020). Are external auditors concerned about cyber incidents? Evidence from audit fees. Auditing: A Journal of Practice &amp; Theory, 39(1), 151–171.</w:t>
      </w:r>
    </w:p>
    <w:p>
      <w:pPr>
        <w:spacing w:after="60" w:line="264" w:lineRule="auto"/>
        <w:ind w:left="567" w:hanging="567"/>
        <w:jc w:val="left"/>
      </w:pPr>
      <w:r>
        <w:rPr>
          <w:b w:val="0"/>
          <w:i w:val="0"/>
          <w:sz w:val="20"/>
        </w:rPr>
        <w:t>Sari, Y. P., Suhardjanto, D., Probohudono, A. N., &amp; Honggowati, S. (2023). Cyber risk management disclosure of state-owned enterprises. Jurnal Dinamika Akuntansi, 15(2), 180–190. https://doi.org/10.15294/jda.v15i2.44817</w:t>
      </w:r>
    </w:p>
    <w:p>
      <w:pPr>
        <w:spacing w:after="60" w:line="264" w:lineRule="auto"/>
        <w:ind w:left="567" w:hanging="567"/>
        <w:jc w:val="left"/>
      </w:pPr>
      <w:r>
        <w:rPr>
          <w:b w:val="0"/>
          <w:i w:val="0"/>
          <w:sz w:val="20"/>
        </w:rPr>
        <w:t>Slapničar, S., Vuko, T., Čular, M., &amp; Drašček, M. (2022). Effectiveness of cybersecurity audit. International Journal of Accounting Information Systems, 44, 100548. https://doi.org/10.1016/j.accinf.2021.100548</w:t>
      </w:r>
    </w:p>
    <w:p>
      <w:pPr>
        <w:spacing w:after="60" w:line="264" w:lineRule="auto"/>
        <w:ind w:left="567" w:hanging="567"/>
        <w:jc w:val="left"/>
      </w:pPr>
      <w:r>
        <w:rPr>
          <w:b w:val="0"/>
          <w:i w:val="0"/>
          <w:sz w:val="20"/>
        </w:rPr>
        <w:t>Steinbart, P. J., Raschke, R. L., Gal, G., &amp; Dilla, W. N. (2018). The influence of a good relationship between the internal audit and information security functions on information security outcomes. Accounting, Organizations and Society, 71, 15–29. https://doi.org/10.1016/j.aos.2018.04.005</w:t>
      </w:r>
    </w:p>
    <w:p>
      <w:pPr>
        <w:spacing w:after="60" w:line="264" w:lineRule="auto"/>
        <w:ind w:left="567" w:hanging="567"/>
        <w:jc w:val="left"/>
      </w:pPr>
      <w:r>
        <w:rPr>
          <w:b w:val="0"/>
          <w:i w:val="0"/>
          <w:sz w:val="20"/>
        </w:rPr>
        <w:t>Teece, D. J., Pisano, G., &amp; Shuen, A. (1997). Dynamic capabilities and strategic management. Strategic Management Journal, 18(7), 509–533.</w:t>
      </w:r>
    </w:p>
    <w:p>
      <w:pPr>
        <w:spacing w:after="60" w:line="264" w:lineRule="auto"/>
        <w:ind w:left="567" w:hanging="567"/>
        <w:jc w:val="left"/>
      </w:pPr>
      <w:r>
        <w:rPr>
          <w:b w:val="0"/>
          <w:i w:val="0"/>
          <w:sz w:val="20"/>
        </w:rPr>
        <w:t>Vuko, T., Slapničar, S., Čular, M., &amp; Drašček, M. (2024). Key drivers of cybersecurity audit effectiveness: A neo-institutional perspective. International Journal of Auditing, 29(1), 188–206. https://doi.org/10.1111/ijau.12365</w:t>
      </w:r>
    </w:p>
    <w:p>
      <w:pPr>
        <w:spacing w:after="60" w:line="264" w:lineRule="auto"/>
        <w:ind w:left="567" w:hanging="567"/>
        <w:jc w:val="left"/>
      </w:pPr>
      <w:r>
        <w:rPr>
          <w:b w:val="0"/>
          <w:i w:val="0"/>
          <w:sz w:val="20"/>
        </w:rPr>
        <w:t>Wang, J., Neil, M., &amp; Fenton, N. (2020). A Bayesian network approach for cybersecurity risk assessment implementing and extending the FAIR model. Computers &amp; Security, 89, 101659. https://doi.org/10.1016/j.cose.2019.101659</w:t>
      </w:r>
    </w:p>
    <w:p>
      <w:pPr>
        <w:spacing w:after="60" w:line="264" w:lineRule="auto"/>
        <w:ind w:left="567" w:hanging="567"/>
        <w:jc w:val="left"/>
      </w:pPr>
      <w:r>
        <w:rPr>
          <w:b w:val="0"/>
          <w:i w:val="0"/>
          <w:sz w:val="20"/>
        </w:rPr>
        <w:t>Wangen, G., Hallstensen, C., &amp; Snekkenes, E. (2018). A framework for estimating information security risk assessment method completeness: Core Unified Risk Framework, CURF. International Journal of Information Security, 17(6), 681–699. https://doi.org/10.1007/s10207-017-0382-0</w:t>
      </w:r>
    </w:p>
    <w:p>
      <w:pPr>
        <w:spacing w:after="60" w:line="288" w:lineRule="auto"/>
        <w:jc w:val="left"/>
      </w:pPr>
      <w:r>
        <w:rPr>
          <w:b/>
          <w:i w:val="0"/>
          <w:sz w:val="22"/>
        </w:rPr>
        <w:t>Standards and guidelines cited</w:t>
      </w:r>
    </w:p>
    <w:p>
      <w:pPr>
        <w:spacing w:after="60" w:line="264" w:lineRule="auto"/>
        <w:ind w:left="567" w:hanging="567"/>
        <w:jc w:val="left"/>
      </w:pPr>
      <w:r>
        <w:rPr>
          <w:b w:val="0"/>
          <w:i w:val="0"/>
          <w:sz w:val="20"/>
        </w:rPr>
        <w:t>AICPA. (2017). Description criteria for management's description of an entity's cybersecurity risk management program (DC section 100); 2017 Trust Services Criteria (with revised points of focus, 2022).</w:t>
      </w:r>
    </w:p>
    <w:p>
      <w:pPr>
        <w:spacing w:after="60" w:line="264" w:lineRule="auto"/>
        <w:ind w:left="567" w:hanging="567"/>
        <w:jc w:val="left"/>
      </w:pPr>
      <w:r>
        <w:rPr>
          <w:b w:val="0"/>
          <w:i w:val="0"/>
          <w:sz w:val="20"/>
        </w:rPr>
        <w:t>IAASB. (2019). International Standard on Auditing 315 (Revised 2019); and ISA 200, 220, 230, 240, 250, 260, 265, 330, 402, 450, 500, 560, 570, 620; ISQM 1.</w:t>
      </w:r>
    </w:p>
    <w:p>
      <w:pPr>
        <w:spacing w:after="60" w:line="264" w:lineRule="auto"/>
        <w:ind w:left="567" w:hanging="567"/>
        <w:jc w:val="left"/>
      </w:pPr>
      <w:r>
        <w:rPr>
          <w:b w:val="0"/>
          <w:i w:val="0"/>
          <w:sz w:val="20"/>
        </w:rPr>
        <w:t>IIA. (2024). Global Internal Audit Standards. IIA. (2025). Cybersecurity topical requirement.</w:t>
      </w:r>
    </w:p>
    <w:p>
      <w:pPr>
        <w:spacing w:after="60" w:line="264" w:lineRule="auto"/>
        <w:ind w:left="567" w:hanging="567"/>
        <w:jc w:val="left"/>
      </w:pPr>
      <w:r>
        <w:rPr>
          <w:b w:val="0"/>
          <w:i w:val="0"/>
          <w:sz w:val="20"/>
        </w:rPr>
        <w:t>ISO. (2018). ISO 31000:2018 Risk management — Guidelines. ISO/IEC. (2022). ISO/IEC 27001:2022; ISO/IEC 27005:2022; ISO/IEC 27002:2022. Also ISO/IEC 27031, 27033, 27036, 29134; ISO 22301; IEC/ISO 31010.</w:t>
      </w:r>
    </w:p>
    <w:p>
      <w:pPr>
        <w:spacing w:after="60" w:line="264" w:lineRule="auto"/>
        <w:ind w:left="567" w:hanging="567"/>
        <w:jc w:val="left"/>
      </w:pPr>
      <w:r>
        <w:rPr>
          <w:b w:val="0"/>
          <w:i w:val="0"/>
          <w:sz w:val="20"/>
        </w:rPr>
        <w:t>NIST. (2024). The NIST Cybersecurity Framework (CSF) 2.0 (CSWP 29). NIST SP 800-30 Rev. 1; NIST SP 800-61 Rev. 3.</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