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88" w:lineRule="auto"/>
        <w:jc w:val="left"/>
      </w:pPr>
      <w:r>
        <w:rPr>
          <w:b/>
          <w:i w:val="0"/>
          <w:color w:val="1F3864"/>
          <w:sz w:val="30"/>
        </w:rPr>
        <w:t>1. Introduction</w:t>
      </w:r>
    </w:p>
    <w:p>
      <w:pPr>
        <w:spacing w:after="160" w:line="288" w:lineRule="auto"/>
        <w:jc w:val="left"/>
      </w:pPr>
      <w:r>
        <w:rPr>
          <w:b w:val="0"/>
          <w:i/>
          <w:color w:val="5A5A5A"/>
          <w:sz w:val="20"/>
        </w:rPr>
        <w:t>Working title: Components of cyber risk assessment in auditing: A two-panel Delphi study in Iran</w:t>
      </w:r>
    </w:p>
    <w:p>
      <w:pPr>
        <w:spacing w:after="160" w:line="360" w:lineRule="auto"/>
        <w:jc w:val="both"/>
      </w:pPr>
      <w:r>
        <w:rPr>
          <w:b w:val="0"/>
          <w:i w:val="0"/>
        </w:rPr>
        <w:t>Financial reporting depends on information systems, and information systems depend on security. When an entity's systems are compromised, the reliability of the data that feed its financial statements, the effectiveness of the controls that protect them, and the continuity of the operations behind them are all placed in question. Cyber risk has therefore moved from being a concern of the information technology (IT) department to being a matter of audit planning, internal control evaluation and assurance reporting.</w:t>
      </w:r>
    </w:p>
    <w:p>
      <w:pPr>
        <w:spacing w:after="160" w:line="360" w:lineRule="auto"/>
        <w:jc w:val="both"/>
      </w:pPr>
      <w:r>
        <w:rPr>
          <w:b w:val="0"/>
          <w:i w:val="0"/>
        </w:rPr>
        <w:t>Standard setters have responded. ISA 315 (Revised 2019), effective for periods beginning on or after 15 December 2021, requires the auditor to understand the entity's IT environment and general IT controls and to identify the risks arising from IT when assessing the risks of material misstatement (IAASB, 2019). Internal auditing has moved in the same direction: the Global Internal Audit Standards took effect on 9 January 2025 (IIA, 2024), and the Cybersecurity Topical Requirement, issued on 5 February 2025, became effective on 5 February 2026 (IIA, 2025).</w:t>
      </w:r>
    </w:p>
    <w:p>
      <w:pPr>
        <w:spacing w:after="160" w:line="360" w:lineRule="auto"/>
        <w:jc w:val="both"/>
      </w:pPr>
      <w:r>
        <w:rPr>
          <w:b w:val="0"/>
          <w:i w:val="0"/>
        </w:rPr>
        <w:t>The guidance available to auditors, however, is organized around two different vantage points. Frameworks such as the NIST Cybersecurity Framework 2.0, which added a Govern function (NIST, 2024), ISO/IEC 27005:2022, which is aligned with ISO/IEC 27001:2022 and ISO 31000:2018 (ISO/IEC, 2022), and the AICPA description criteria for a cybersecurity risk management program (AICPA, 2017) describe what an entity should do. Auditing standards describe what an auditor should understand, assess and report. To our knowledge, no source integrates the two into a single account of what the assessment of cyber risk in an audit comprises.</w:t>
      </w:r>
    </w:p>
    <w:p>
      <w:pPr>
        <w:spacing w:after="160" w:line="360" w:lineRule="auto"/>
        <w:jc w:val="both"/>
      </w:pPr>
      <w:r>
        <w:rPr>
          <w:b w:val="0"/>
          <w:i w:val="0"/>
        </w:rPr>
        <w:t>Prior research mirrors this division. Early evidence showed internal auditors concentrating on traditional IT risks such as safeguarding assets, application processing and data integrity (Hermanson et al., 2000), and linked information systems risk to audit planning (Bedard et al., 2005). Later work derived assurance models from COBIT, ISO, AICPA and NIST (Kahyaoğlu &amp; Çalıyurt, 2018), examined the characteristics of internal audit functions associated with cybersecurity audit (Islam et al., 2018), and asked whether the relationship between the internal audit and information security functions matters for security outcomes (Steinbart et al., 2018). Slapničar et al. (2022) built an index of cybersecurity audit effectiveness covering planning, performing and reporting. The mean score was 58 on a 100-point scale, planning and performing were strongly related, and reporting to the board was less closely tied to them. The drivers of that effectiveness have since been examined through a neo-institutional lens (Vuko et al., 2024), and external auditors' response to cyber incidents has been studied through audit fees (Li et al., 2020).</w:t>
      </w:r>
    </w:p>
    <w:p>
      <w:pPr>
        <w:spacing w:after="160" w:line="360" w:lineRule="auto"/>
        <w:jc w:val="both"/>
      </w:pPr>
      <w:r>
        <w:rPr>
          <w:b w:val="0"/>
          <w:i w:val="0"/>
        </w:rPr>
        <w:t>A parallel literature on risk assessment methods points to the same difficulty from the other side. Information security risk assessment methods differ in how completely they cover risk identification, estimation and evaluation (Wangen et al., 2018). Decision-analytic and probabilistic approaches have been proposed (Ganin et al., 2020; Wang et al., 2020), static framework-based views have been criticized for missing organizational and threat dynamics (Armenia et al., 2021), and the scarcity of open data limits quantification: a systematic review of 5,219 studies identified only 79 datasets (Cremer et al., 2022). Methods are plentiful, but what an auditor should assess, and who should assess it, remains scattered.</w:t>
      </w:r>
    </w:p>
    <w:p>
      <w:pPr>
        <w:spacing w:after="160" w:line="360" w:lineRule="auto"/>
        <w:jc w:val="both"/>
      </w:pPr>
      <w:r>
        <w:rPr>
          <w:b w:val="0"/>
          <w:i w:val="0"/>
        </w:rPr>
        <w:t>We identify three limitations. First, the components of cyber risk assessment are spread across frameworks, standards and studies that use different vocabularies and boundaries. Second, existing work usually adopts a single vantage point, that of the entity's security management or that of the auditor, so we know little about where the two agree on what matters. Third, evidence on how the components are weighed outside the settings in which most studies were conducted is thin.</w:t>
      </w:r>
    </w:p>
    <w:p>
      <w:pPr>
        <w:spacing w:after="160" w:line="360" w:lineRule="auto"/>
        <w:jc w:val="both"/>
      </w:pPr>
      <w:r>
        <w:rPr>
          <w:b w:val="0"/>
          <w:i w:val="0"/>
        </w:rPr>
        <w:t>Context matters for each of these limitations. Institutional theory suggests that the adoption of standards responds to coercive, mimetic and normative pressures (DiMaggio &amp; Powell, 1983), and contingency theory suggests that the applicability of control practices depends on organizational circumstances (Donaldson, 2001). Iranian entities and auditors operate under regulatory, infrastructure and sanctions conditions that differ from those in which most of the evidence above was gathered, so it cannot be assumed that the importance and feasibility of each component transfer unchanged. To the best of our knowledge, no study has examined, from both the audited entity's and the auditor's perspective, which components make up the assessment of cyber risk in audits in Iran.</w:t>
      </w:r>
    </w:p>
    <w:p>
      <w:pPr>
        <w:spacing w:after="160" w:line="360" w:lineRule="auto"/>
        <w:jc w:val="both"/>
      </w:pPr>
      <w:r>
        <w:rPr>
          <w:b w:val="0"/>
          <w:i w:val="0"/>
        </w:rPr>
        <w:t>We therefore ask three questions. RQ1: Which components of cyber risk assessment in auditing appear in international frameworks, auditing standards and prior research? RQ2: Which of these components do Iranian experts consider important and feasible, and which additional local components do they identify? RQ3: How do the perspectives of audited entities and of auditors differ in the importance they attach to the components? We proceed in three steps. First, we synthesize the literature and map candidate components against the AICPA, NIST, ISO and auditing-standard sources above, which yields 30 components in seven dimensions. Second, we validate and localize them in a Delphi study with two expert panels, one drawn from audited entities and one from auditors. Third, we compare the panels component by component.</w:t>
      </w:r>
    </w:p>
    <w:p>
      <w:pPr>
        <w:spacing w:after="160" w:line="360" w:lineRule="auto"/>
        <w:jc w:val="both"/>
      </w:pPr>
      <w:r>
        <w:rPr>
          <w:b w:val="0"/>
          <w:i w:val="0"/>
          <w:color w:val="C00000"/>
        </w:rPr>
        <w:t>[Insert one or two sentences summarizing the principal findings once the analysis is complete: the components that reached consensus, those added by the experts, and the largest gaps between the two panels.]</w:t>
      </w:r>
    </w:p>
    <w:p>
      <w:pPr>
        <w:spacing w:after="160" w:line="360" w:lineRule="auto"/>
        <w:jc w:val="both"/>
      </w:pPr>
      <w:r>
        <w:rPr>
          <w:b w:val="0"/>
          <w:i w:val="0"/>
        </w:rPr>
        <w:t>This study contributes in three ways. Theoretically, it integrates entity-centred frameworks and auditing standards into a three-layer account of cyber risk assessment (risk model, management cycle and assurance) and shows where the two vantage points converge and diverge. Methodologically, it offers a traceable mapping from standards and prior research to components and uses a two-panel Delphi design that makes the comparison of perspectives explicit rather than assumed. Practically, the validated components give auditors and audit firms a structured basis for planning cyber risk assessments, give entities a view of what auditors are likely to examine, and give regulators and professional bodies in Iran evidence for training, guidance and standard setting. The components also provide the measurement foundation for follow-up research that tests structural relations among them.</w:t>
      </w:r>
    </w:p>
    <w:p>
      <w:pPr>
        <w:spacing w:after="160" w:line="360" w:lineRule="auto"/>
        <w:jc w:val="both"/>
      </w:pPr>
      <w:r>
        <w:rPr>
          <w:b w:val="0"/>
          <w:i w:val="0"/>
        </w:rPr>
        <w:t>The remainder of the paper is organized as follows. Section 2 develops the theoretical background and the candidate components. Section 3 describes the research design, the expert panels and the consensus criteria. Section 4 reports the results, including the comparison of the two panels. Section 5 discusses the findings, their implications and limitations, and directions for future research.</w:t>
      </w:r>
    </w:p>
    <w:p>
      <w:pPr>
        <w:spacing w:after="160" w:line="288" w:lineRule="auto"/>
        <w:jc w:val="left"/>
      </w:pPr>
      <w:r>
        <w:rPr>
          <w:b/>
          <w:i w:val="0"/>
          <w:color w:val="1F3864"/>
          <w:sz w:val="26"/>
        </w:rPr>
        <w:t>References</w:t>
      </w:r>
    </w:p>
    <w:p>
      <w:pPr>
        <w:spacing w:after="80" w:line="276" w:lineRule="auto"/>
        <w:ind w:left="567" w:hanging="567"/>
        <w:jc w:val="left"/>
      </w:pPr>
      <w:r>
        <w:rPr>
          <w:b w:val="0"/>
          <w:i w:val="0"/>
          <w:sz w:val="20"/>
        </w:rPr>
        <w:t>AICPA. (2017). Description criteria for management's description of an entity's cybersecurity risk management program (DC section 100). American Institute of Certified Public Accountants.</w:t>
      </w:r>
    </w:p>
    <w:p>
      <w:pPr>
        <w:spacing w:after="80" w:line="276" w:lineRule="auto"/>
        <w:ind w:left="567" w:hanging="567"/>
        <w:jc w:val="left"/>
      </w:pPr>
      <w:r>
        <w:rPr>
          <w:b w:val="0"/>
          <w:i w:val="0"/>
          <w:sz w:val="20"/>
        </w:rPr>
        <w:t>Armenia, S., Angelini, M., Nonino, F., Palombi, G., &amp; Schlitzer, M. F. (2021). A dynamic simulation approach to support the evaluation of cyber risks and security investments in SMEs. Decision Support Systems, 147, 113580. https://doi.org/10.1016/j.dss.2021.113580</w:t>
      </w:r>
    </w:p>
    <w:p>
      <w:pPr>
        <w:spacing w:after="80" w:line="276" w:lineRule="auto"/>
        <w:ind w:left="567" w:hanging="567"/>
        <w:jc w:val="left"/>
      </w:pPr>
      <w:r>
        <w:rPr>
          <w:b w:val="0"/>
          <w:i w:val="0"/>
          <w:sz w:val="20"/>
        </w:rPr>
        <w:t>Bedard, J. C., Graham, L., &amp; Jackson, C. (2005). Information systems risk and audit planning. International Journal of Auditing, 9, 147–163. https://doi.org/10.1111/j.1099-1123.2005.00267.x</w:t>
      </w:r>
    </w:p>
    <w:p>
      <w:pPr>
        <w:spacing w:after="80" w:line="276" w:lineRule="auto"/>
        <w:ind w:left="567" w:hanging="567"/>
        <w:jc w:val="left"/>
      </w:pPr>
      <w:r>
        <w:rPr>
          <w:b w:val="0"/>
          <w:i w:val="0"/>
          <w:sz w:val="20"/>
        </w:rPr>
        <w:t>Cremer, F., Sheehan, B., Fortmann, M., Kia, A. N., Mullins, M., Murphy, F., &amp; Materne, S. (2022). Cyber risk and cybersecurity: A systematic review of data availability. The Geneva Papers on Risk and Insurance – Issues and Practice, 47(3), 698–736. https://doi.org/10.1057/s41288-022-00266-6</w:t>
      </w:r>
    </w:p>
    <w:p>
      <w:pPr>
        <w:spacing w:after="80" w:line="276" w:lineRule="auto"/>
        <w:ind w:left="567" w:hanging="567"/>
        <w:jc w:val="left"/>
      </w:pPr>
      <w:r>
        <w:rPr>
          <w:b w:val="0"/>
          <w:i w:val="0"/>
          <w:sz w:val="20"/>
        </w:rPr>
        <w:t>DiMaggio, P. J., &amp; Powell, W. W. (1983). The iron cage revisited: Institutional isomorphism and collective rationality in organizational fields. American Sociological Review, 48(2), 147–160.</w:t>
      </w:r>
    </w:p>
    <w:p>
      <w:pPr>
        <w:spacing w:after="80" w:line="276" w:lineRule="auto"/>
        <w:ind w:left="567" w:hanging="567"/>
        <w:jc w:val="left"/>
      </w:pPr>
      <w:r>
        <w:rPr>
          <w:b w:val="0"/>
          <w:i w:val="0"/>
          <w:sz w:val="20"/>
        </w:rPr>
        <w:t>Donaldson, L. (2001). The contingency theory of organizations. Sage.</w:t>
      </w:r>
    </w:p>
    <w:p>
      <w:pPr>
        <w:spacing w:after="80" w:line="276" w:lineRule="auto"/>
        <w:ind w:left="567" w:hanging="567"/>
        <w:jc w:val="left"/>
      </w:pPr>
      <w:r>
        <w:rPr>
          <w:b w:val="0"/>
          <w:i w:val="0"/>
          <w:sz w:val="20"/>
        </w:rPr>
        <w:t>Ganin, A. A., Quach, P., Panwar, M., Collier, Z. A., Keisler, J. M., Marchese, D., &amp; Linkov, I. (2020). Multicriteria decision framework for cybersecurity risk assessment and management. Risk Analysis, 40(1), 183–199.</w:t>
      </w:r>
    </w:p>
    <w:p>
      <w:pPr>
        <w:spacing w:after="80" w:line="276" w:lineRule="auto"/>
        <w:ind w:left="567" w:hanging="567"/>
        <w:jc w:val="left"/>
      </w:pPr>
      <w:r>
        <w:rPr>
          <w:b w:val="0"/>
          <w:i w:val="0"/>
          <w:sz w:val="20"/>
        </w:rPr>
        <w:t>Hermanson, D. R., Hill, M. C., &amp; Ivancevich, D. M. (2000). Information technology-related activities of internal auditors. Journal of Information Systems, 14(Supplement), 40–53.</w:t>
      </w:r>
    </w:p>
    <w:p>
      <w:pPr>
        <w:spacing w:after="80" w:line="276" w:lineRule="auto"/>
        <w:ind w:left="567" w:hanging="567"/>
        <w:jc w:val="left"/>
      </w:pPr>
      <w:r>
        <w:rPr>
          <w:b w:val="0"/>
          <w:i w:val="0"/>
          <w:sz w:val="20"/>
        </w:rPr>
        <w:t>IAASB. (2019). International Standard on Auditing 315 (Revised 2019): Identifying and assessing the risks of material misstatement. International Auditing and Assurance Standards Board.</w:t>
      </w:r>
    </w:p>
    <w:p>
      <w:pPr>
        <w:spacing w:after="80" w:line="276" w:lineRule="auto"/>
        <w:ind w:left="567" w:hanging="567"/>
        <w:jc w:val="left"/>
      </w:pPr>
      <w:r>
        <w:rPr>
          <w:b w:val="0"/>
          <w:i w:val="0"/>
          <w:sz w:val="20"/>
        </w:rPr>
        <w:t>IIA. (2024). Global Internal Audit Standards. Institute of Internal Auditors.</w:t>
      </w:r>
    </w:p>
    <w:p>
      <w:pPr>
        <w:spacing w:after="80" w:line="276" w:lineRule="auto"/>
        <w:ind w:left="567" w:hanging="567"/>
        <w:jc w:val="left"/>
      </w:pPr>
      <w:r>
        <w:rPr>
          <w:b w:val="0"/>
          <w:i w:val="0"/>
          <w:sz w:val="20"/>
        </w:rPr>
        <w:t>IIA. (2025). Cybersecurity topical requirement. Institute of Internal Auditors.</w:t>
      </w:r>
    </w:p>
    <w:p>
      <w:pPr>
        <w:spacing w:after="80" w:line="276" w:lineRule="auto"/>
        <w:ind w:left="567" w:hanging="567"/>
        <w:jc w:val="left"/>
      </w:pPr>
      <w:r>
        <w:rPr>
          <w:b w:val="0"/>
          <w:i w:val="0"/>
          <w:sz w:val="20"/>
        </w:rPr>
        <w:t>Islam, M. S., Farah, N., &amp; Stafford, T. F. (2018). Factors associated with security/cybersecurity audit by internal audit function: An international study. Managerial Auditing Journal, 33(4), 377–409. https://doi.org/10.1108/MAJ-07-2017-1595</w:t>
      </w:r>
    </w:p>
    <w:p>
      <w:pPr>
        <w:spacing w:after="80" w:line="276" w:lineRule="auto"/>
        <w:ind w:left="567" w:hanging="567"/>
        <w:jc w:val="left"/>
      </w:pPr>
      <w:r>
        <w:rPr>
          <w:b w:val="0"/>
          <w:i w:val="0"/>
          <w:sz w:val="20"/>
        </w:rPr>
        <w:t>ISO/IEC. (2022). ISO/IEC 27005:2022 Information security, cybersecurity and privacy protection — Guidance on managing information security risks (4th ed.). International Organization for Standardization.</w:t>
      </w:r>
    </w:p>
    <w:p>
      <w:pPr>
        <w:spacing w:after="80" w:line="276" w:lineRule="auto"/>
        <w:ind w:left="567" w:hanging="567"/>
        <w:jc w:val="left"/>
      </w:pPr>
      <w:r>
        <w:rPr>
          <w:b w:val="0"/>
          <w:i w:val="0"/>
          <w:sz w:val="20"/>
        </w:rPr>
        <w:t>Kahyaoğlu, S. B., &amp; Çalıyurt, K. (2018). Cyber security assurance process from the internal audit perspective. Managerial Auditing Journal, 33(4), 360–376. https://doi.org/10.1108/MAJ-02-2018-1804</w:t>
      </w:r>
    </w:p>
    <w:p>
      <w:pPr>
        <w:spacing w:after="80" w:line="276" w:lineRule="auto"/>
        <w:ind w:left="567" w:hanging="567"/>
        <w:jc w:val="left"/>
      </w:pPr>
      <w:r>
        <w:rPr>
          <w:b w:val="0"/>
          <w:i w:val="0"/>
          <w:sz w:val="20"/>
        </w:rPr>
        <w:t>Li, H., No, W. G., &amp; Boritz, J. E. (2020). Are external auditors concerned about cyber incidents? Evidence from audit fees. Auditing: A Journal of Practice &amp; Theory, 39(1), 151–171.</w:t>
      </w:r>
    </w:p>
    <w:p>
      <w:pPr>
        <w:spacing w:after="80" w:line="276" w:lineRule="auto"/>
        <w:ind w:left="567" w:hanging="567"/>
        <w:jc w:val="left"/>
      </w:pPr>
      <w:r>
        <w:rPr>
          <w:b w:val="0"/>
          <w:i w:val="0"/>
          <w:sz w:val="20"/>
        </w:rPr>
        <w:t>NIST. (2024). The NIST Cybersecurity Framework (CSF) 2.0 (NIST CSWP 29). National Institute of Standards and Technology. https://doi.org/10.6028/NIST.CSWP.29</w:t>
      </w:r>
    </w:p>
    <w:p>
      <w:pPr>
        <w:spacing w:after="80" w:line="276" w:lineRule="auto"/>
        <w:ind w:left="567" w:hanging="567"/>
        <w:jc w:val="left"/>
      </w:pPr>
      <w:r>
        <w:rPr>
          <w:b w:val="0"/>
          <w:i w:val="0"/>
          <w:sz w:val="20"/>
        </w:rPr>
        <w:t>Slapničar, S., Vuko, T., Čular, M., &amp; Drašček, M. (2022). Effectiveness of cybersecurity audit. International Journal of Accounting Information Systems, 44, 100548. https://doi.org/10.1016/j.accinf.2021.100548</w:t>
      </w:r>
    </w:p>
    <w:p>
      <w:pPr>
        <w:spacing w:after="80" w:line="276" w:lineRule="auto"/>
        <w:ind w:left="567" w:hanging="567"/>
        <w:jc w:val="left"/>
      </w:pPr>
      <w:r>
        <w:rPr>
          <w:b w:val="0"/>
          <w:i w:val="0"/>
          <w:sz w:val="20"/>
        </w:rPr>
        <w:t>Steinbart, P. J., Raschke, R. L., Gal, G., &amp; Dilla, W. N. (2018). The influence of a good relationship between the internal audit and information security functions on information security outcomes. Accounting, Organizations and Society, 71, 15–29. https://doi.org/10.1016/j.aos.2018.04.005</w:t>
      </w:r>
    </w:p>
    <w:p>
      <w:pPr>
        <w:spacing w:after="80" w:line="276" w:lineRule="auto"/>
        <w:ind w:left="567" w:hanging="567"/>
        <w:jc w:val="left"/>
      </w:pPr>
      <w:r>
        <w:rPr>
          <w:b w:val="0"/>
          <w:i w:val="0"/>
          <w:sz w:val="20"/>
        </w:rPr>
        <w:t>Vuko, T., Slapničar, S., Čular, M., &amp; Drašček, M. (2024). Key drivers of cybersecurity audit effectiveness: A neo-institutional perspective. International Journal of Auditing, 29(1), 188–206. https://doi.org/10.1111/ijau.12365</w:t>
      </w:r>
    </w:p>
    <w:p>
      <w:pPr>
        <w:spacing w:after="80" w:line="276" w:lineRule="auto"/>
        <w:ind w:left="567" w:hanging="567"/>
        <w:jc w:val="left"/>
      </w:pPr>
      <w:r>
        <w:rPr>
          <w:b w:val="0"/>
          <w:i w:val="0"/>
          <w:sz w:val="20"/>
        </w:rPr>
        <w:t>Wang, J., Neil, M., &amp; Fenton, N. (2020). A Bayesian network approach for cybersecurity risk assessment implementing and extending the FAIR model. Computers &amp; Security, 89, 101659. https://doi.org/10.1016/j.cose.2019.101659</w:t>
      </w:r>
    </w:p>
    <w:p>
      <w:pPr>
        <w:spacing w:after="80" w:line="276" w:lineRule="auto"/>
        <w:ind w:left="567" w:hanging="567"/>
        <w:jc w:val="left"/>
      </w:pPr>
      <w:r>
        <w:rPr>
          <w:b w:val="0"/>
          <w:i w:val="0"/>
          <w:sz w:val="20"/>
        </w:rPr>
        <w:t>Wangen, G., Hallstensen, C., &amp; Snekkenes, E. (2018). A framework for estimating information security risk assessment method completeness: Core Unified Risk Framework, CURF. International Journal of Information Security, 17(6), 681–699. https://doi.org/10.1007/s10207-017-0382-0</w:t>
      </w:r>
    </w:p>
    <w:p>
      <w:r>
        <w:br w:type="page"/>
      </w:r>
    </w:p>
    <w:p>
      <w:pPr>
        <w:spacing w:after="160" w:line="288" w:lineRule="auto"/>
        <w:jc w:val="both"/>
      </w:pPr>
      <w:r>
        <w:rPr>
          <w:b/>
          <w:i w:val="0"/>
          <w:color w:val="C00000"/>
          <w:sz w:val="24"/>
        </w:rPr>
        <w:t>Structure map (delete before submission)</w:t>
      </w:r>
    </w:p>
    <w:tbl>
      <w:tblPr>
        <w:tblStyle w:val="TableGrid"/>
        <w:tblW w:type="auto" w:w="0"/>
        <w:tblLayout w:type="fixed"/>
        <w:tblLook w:firstColumn="1" w:firstRow="1" w:lastColumn="0" w:lastRow="0" w:noHBand="0" w:noVBand="1" w:val="04A0"/>
      </w:tblPr>
      <w:tblGrid>
        <w:gridCol w:w="567"/>
        <w:gridCol w:w="1984"/>
        <w:gridCol w:w="3118"/>
        <w:gridCol w:w="3402"/>
      </w:tblGrid>
      <w:tr>
        <w:tc>
          <w:tcPr>
            <w:tcW w:type="dxa" w:w="567"/>
            <w:shd w:val="clear" w:color="auto" w:fill="1F3864"/>
          </w:tcPr>
          <w:p>
            <w:pPr>
              <w:jc w:val="left"/>
            </w:pPr>
            <w:r/>
            <w:r>
              <w:rPr>
                <w:b/>
                <w:color w:val="FFFFFF"/>
                <w:sz w:val="18"/>
              </w:rPr>
              <w:t>#</w:t>
            </w:r>
          </w:p>
        </w:tc>
        <w:tc>
          <w:tcPr>
            <w:tcW w:type="dxa" w:w="1984"/>
            <w:shd w:val="clear" w:color="auto" w:fill="1F3864"/>
          </w:tcPr>
          <w:p>
            <w:pPr>
              <w:jc w:val="left"/>
            </w:pPr>
            <w:r/>
            <w:r>
              <w:rPr>
                <w:b/>
                <w:color w:val="FFFFFF"/>
                <w:sz w:val="18"/>
              </w:rPr>
              <w:t>Move</w:t>
            </w:r>
          </w:p>
        </w:tc>
        <w:tc>
          <w:tcPr>
            <w:tcW w:type="dxa" w:w="3118"/>
            <w:shd w:val="clear" w:color="auto" w:fill="1F3864"/>
          </w:tcPr>
          <w:p>
            <w:pPr>
              <w:jc w:val="left"/>
            </w:pPr>
            <w:r/>
            <w:r>
              <w:rPr>
                <w:b/>
                <w:color w:val="FFFFFF"/>
                <w:sz w:val="18"/>
              </w:rPr>
              <w:t>Function</w:t>
            </w:r>
          </w:p>
        </w:tc>
        <w:tc>
          <w:tcPr>
            <w:tcW w:type="dxa" w:w="3402"/>
            <w:shd w:val="clear" w:color="auto" w:fill="1F3864"/>
          </w:tcPr>
          <w:p>
            <w:pPr>
              <w:jc w:val="left"/>
            </w:pPr>
            <w:r/>
            <w:r>
              <w:rPr>
                <w:b/>
                <w:color w:val="FFFFFF"/>
                <w:sz w:val="18"/>
              </w:rPr>
              <w:t>Sources</w:t>
            </w:r>
          </w:p>
        </w:tc>
      </w:tr>
      <w:tr>
        <w:tc>
          <w:tcPr>
            <w:tcW w:type="dxa" w:w="567"/>
          </w:tcPr>
          <w:p>
            <w:pPr>
              <w:jc w:val="left"/>
            </w:pPr>
            <w:r/>
            <w:r>
              <w:rPr>
                <w:b w:val="0"/>
                <w:sz w:val="18"/>
              </w:rPr>
              <w:t>1</w:t>
            </w:r>
          </w:p>
        </w:tc>
        <w:tc>
          <w:tcPr>
            <w:tcW w:type="dxa" w:w="1984"/>
          </w:tcPr>
          <w:p>
            <w:pPr>
              <w:jc w:val="left"/>
            </w:pPr>
            <w:r/>
            <w:r>
              <w:rPr>
                <w:b w:val="0"/>
                <w:sz w:val="18"/>
              </w:rPr>
              <w:t>Motivation (territory)</w:t>
            </w:r>
          </w:p>
        </w:tc>
        <w:tc>
          <w:tcPr>
            <w:tcW w:type="dxa" w:w="3118"/>
          </w:tcPr>
          <w:p>
            <w:pPr>
              <w:jc w:val="left"/>
            </w:pPr>
            <w:r/>
            <w:r>
              <w:rPr>
                <w:b w:val="0"/>
                <w:sz w:val="18"/>
              </w:rPr>
              <w:t>Why cyber risk matters to financial reporting and assurance</w:t>
            </w:r>
          </w:p>
        </w:tc>
        <w:tc>
          <w:tcPr>
            <w:tcW w:type="dxa" w:w="3402"/>
          </w:tcPr>
          <w:p>
            <w:pPr>
              <w:jc w:val="left"/>
            </w:pPr>
            <w:r/>
            <w:r>
              <w:rPr>
                <w:b w:val="0"/>
                <w:sz w:val="18"/>
              </w:rPr>
              <w:t>—</w:t>
            </w:r>
          </w:p>
        </w:tc>
      </w:tr>
      <w:tr>
        <w:tc>
          <w:tcPr>
            <w:tcW w:type="dxa" w:w="567"/>
          </w:tcPr>
          <w:p>
            <w:pPr>
              <w:jc w:val="left"/>
            </w:pPr>
            <w:r/>
            <w:r>
              <w:rPr>
                <w:b w:val="0"/>
                <w:sz w:val="18"/>
              </w:rPr>
              <w:t>2</w:t>
            </w:r>
          </w:p>
        </w:tc>
        <w:tc>
          <w:tcPr>
            <w:tcW w:type="dxa" w:w="1984"/>
          </w:tcPr>
          <w:p>
            <w:pPr>
              <w:jc w:val="left"/>
            </w:pPr>
            <w:r/>
            <w:r>
              <w:rPr>
                <w:b w:val="0"/>
                <w:sz w:val="18"/>
              </w:rPr>
              <w:t>Regulatory setting</w:t>
            </w:r>
          </w:p>
        </w:tc>
        <w:tc>
          <w:tcPr>
            <w:tcW w:type="dxa" w:w="3118"/>
          </w:tcPr>
          <w:p>
            <w:pPr>
              <w:jc w:val="left"/>
            </w:pPr>
            <w:r/>
            <w:r>
              <w:rPr>
                <w:b w:val="0"/>
                <w:sz w:val="18"/>
              </w:rPr>
              <w:t>Shows the topic is current and mandated</w:t>
            </w:r>
          </w:p>
        </w:tc>
        <w:tc>
          <w:tcPr>
            <w:tcW w:type="dxa" w:w="3402"/>
          </w:tcPr>
          <w:p>
            <w:pPr>
              <w:jc w:val="left"/>
            </w:pPr>
            <w:r/>
            <w:r>
              <w:rPr>
                <w:b w:val="0"/>
                <w:sz w:val="18"/>
              </w:rPr>
              <w:t>ISA 315 (Rev. 2019); IIA GIAS 2024; IIA Cybersecurity TR 2025</w:t>
            </w:r>
          </w:p>
        </w:tc>
      </w:tr>
      <w:tr>
        <w:tc>
          <w:tcPr>
            <w:tcW w:type="dxa" w:w="567"/>
          </w:tcPr>
          <w:p>
            <w:pPr>
              <w:jc w:val="left"/>
            </w:pPr>
            <w:r/>
            <w:r>
              <w:rPr>
                <w:b w:val="0"/>
                <w:sz w:val="18"/>
              </w:rPr>
              <w:t>3</w:t>
            </w:r>
          </w:p>
        </w:tc>
        <w:tc>
          <w:tcPr>
            <w:tcW w:type="dxa" w:w="1984"/>
          </w:tcPr>
          <w:p>
            <w:pPr>
              <w:jc w:val="left"/>
            </w:pPr>
            <w:r/>
            <w:r>
              <w:rPr>
                <w:b w:val="0"/>
                <w:sz w:val="18"/>
              </w:rPr>
              <w:t>Problem framing</w:t>
            </w:r>
          </w:p>
        </w:tc>
        <w:tc>
          <w:tcPr>
            <w:tcW w:type="dxa" w:w="3118"/>
          </w:tcPr>
          <w:p>
            <w:pPr>
              <w:jc w:val="left"/>
            </w:pPr>
            <w:r/>
            <w:r>
              <w:rPr>
                <w:b w:val="0"/>
                <w:sz w:val="18"/>
              </w:rPr>
              <w:t>Two vantage points, no integration</w:t>
            </w:r>
          </w:p>
        </w:tc>
        <w:tc>
          <w:tcPr>
            <w:tcW w:type="dxa" w:w="3402"/>
          </w:tcPr>
          <w:p>
            <w:pPr>
              <w:jc w:val="left"/>
            </w:pPr>
            <w:r/>
            <w:r>
              <w:rPr>
                <w:b w:val="0"/>
                <w:sz w:val="18"/>
              </w:rPr>
              <w:t>NIST CSF 2.0; ISO/IEC 27005:2022; AICPA DC section 100</w:t>
            </w:r>
          </w:p>
        </w:tc>
      </w:tr>
      <w:tr>
        <w:tc>
          <w:tcPr>
            <w:tcW w:type="dxa" w:w="567"/>
          </w:tcPr>
          <w:p>
            <w:pPr>
              <w:jc w:val="left"/>
            </w:pPr>
            <w:r/>
            <w:r>
              <w:rPr>
                <w:b w:val="0"/>
                <w:sz w:val="18"/>
              </w:rPr>
              <w:t>4</w:t>
            </w:r>
          </w:p>
        </w:tc>
        <w:tc>
          <w:tcPr>
            <w:tcW w:type="dxa" w:w="1984"/>
          </w:tcPr>
          <w:p>
            <w:pPr>
              <w:jc w:val="left"/>
            </w:pPr>
            <w:r/>
            <w:r>
              <w:rPr>
                <w:b w:val="0"/>
                <w:sz w:val="18"/>
              </w:rPr>
              <w:t>Prior audit research</w:t>
            </w:r>
          </w:p>
        </w:tc>
        <w:tc>
          <w:tcPr>
            <w:tcW w:type="dxa" w:w="3118"/>
          </w:tcPr>
          <w:p>
            <w:pPr>
              <w:jc w:val="left"/>
            </w:pPr>
            <w:r/>
            <w:r>
              <w:rPr>
                <w:b w:val="0"/>
                <w:sz w:val="18"/>
              </w:rPr>
              <w:t>What is known, in order</w:t>
            </w:r>
          </w:p>
        </w:tc>
        <w:tc>
          <w:tcPr>
            <w:tcW w:type="dxa" w:w="3402"/>
          </w:tcPr>
          <w:p>
            <w:pPr>
              <w:jc w:val="left"/>
            </w:pPr>
            <w:r/>
            <w:r>
              <w:rPr>
                <w:b w:val="0"/>
                <w:sz w:val="18"/>
              </w:rPr>
              <w:t>Hermanson 2000; Bedard 2005; Kahyaoğlu 2018; Islam 2018; Steinbart 2018; Slapničar 2022; Vuko 2024; Li 2020</w:t>
            </w:r>
          </w:p>
        </w:tc>
      </w:tr>
      <w:tr>
        <w:tc>
          <w:tcPr>
            <w:tcW w:type="dxa" w:w="567"/>
          </w:tcPr>
          <w:p>
            <w:pPr>
              <w:jc w:val="left"/>
            </w:pPr>
            <w:r/>
            <w:r>
              <w:rPr>
                <w:b w:val="0"/>
                <w:sz w:val="18"/>
              </w:rPr>
              <w:t>5</w:t>
            </w:r>
          </w:p>
        </w:tc>
        <w:tc>
          <w:tcPr>
            <w:tcW w:type="dxa" w:w="1984"/>
          </w:tcPr>
          <w:p>
            <w:pPr>
              <w:jc w:val="left"/>
            </w:pPr>
            <w:r/>
            <w:r>
              <w:rPr>
                <w:b w:val="0"/>
                <w:sz w:val="18"/>
              </w:rPr>
              <w:t>Prior methods research</w:t>
            </w:r>
          </w:p>
        </w:tc>
        <w:tc>
          <w:tcPr>
            <w:tcW w:type="dxa" w:w="3118"/>
          </w:tcPr>
          <w:p>
            <w:pPr>
              <w:jc w:val="left"/>
            </w:pPr>
            <w:r/>
            <w:r>
              <w:rPr>
                <w:b w:val="0"/>
                <w:sz w:val="18"/>
              </w:rPr>
              <w:t>Same difficulty from the methods side</w:t>
            </w:r>
          </w:p>
        </w:tc>
        <w:tc>
          <w:tcPr>
            <w:tcW w:type="dxa" w:w="3402"/>
          </w:tcPr>
          <w:p>
            <w:pPr>
              <w:jc w:val="left"/>
            </w:pPr>
            <w:r/>
            <w:r>
              <w:rPr>
                <w:b w:val="0"/>
                <w:sz w:val="18"/>
              </w:rPr>
              <w:t>Wangen 2018; Ganin 2020; Wang 2020; Armenia 2021; Cremer 2022</w:t>
            </w:r>
          </w:p>
        </w:tc>
      </w:tr>
      <w:tr>
        <w:tc>
          <w:tcPr>
            <w:tcW w:type="dxa" w:w="567"/>
          </w:tcPr>
          <w:p>
            <w:pPr>
              <w:jc w:val="left"/>
            </w:pPr>
            <w:r/>
            <w:r>
              <w:rPr>
                <w:b w:val="0"/>
                <w:sz w:val="18"/>
              </w:rPr>
              <w:t>6</w:t>
            </w:r>
          </w:p>
        </w:tc>
        <w:tc>
          <w:tcPr>
            <w:tcW w:type="dxa" w:w="1984"/>
          </w:tcPr>
          <w:p>
            <w:pPr>
              <w:jc w:val="left"/>
            </w:pPr>
            <w:r/>
            <w:r>
              <w:rPr>
                <w:b w:val="0"/>
                <w:sz w:val="18"/>
              </w:rPr>
              <w:t>Niche (gaps)</w:t>
            </w:r>
          </w:p>
        </w:tc>
        <w:tc>
          <w:tcPr>
            <w:tcW w:type="dxa" w:w="3118"/>
          </w:tcPr>
          <w:p>
            <w:pPr>
              <w:jc w:val="left"/>
            </w:pPr>
            <w:r/>
            <w:r>
              <w:rPr>
                <w:b w:val="0"/>
                <w:sz w:val="18"/>
              </w:rPr>
              <w:t>Three limitations</w:t>
            </w:r>
          </w:p>
        </w:tc>
        <w:tc>
          <w:tcPr>
            <w:tcW w:type="dxa" w:w="3402"/>
          </w:tcPr>
          <w:p>
            <w:pPr>
              <w:jc w:val="left"/>
            </w:pPr>
            <w:r/>
            <w:r>
              <w:rPr>
                <w:b w:val="0"/>
                <w:sz w:val="18"/>
              </w:rPr>
              <w:t>—</w:t>
            </w:r>
          </w:p>
        </w:tc>
      </w:tr>
      <w:tr>
        <w:tc>
          <w:tcPr>
            <w:tcW w:type="dxa" w:w="567"/>
          </w:tcPr>
          <w:p>
            <w:pPr>
              <w:jc w:val="left"/>
            </w:pPr>
            <w:r/>
            <w:r>
              <w:rPr>
                <w:b w:val="0"/>
                <w:sz w:val="18"/>
              </w:rPr>
              <w:t>7</w:t>
            </w:r>
          </w:p>
        </w:tc>
        <w:tc>
          <w:tcPr>
            <w:tcW w:type="dxa" w:w="1984"/>
          </w:tcPr>
          <w:p>
            <w:pPr>
              <w:jc w:val="left"/>
            </w:pPr>
            <w:r/>
            <w:r>
              <w:rPr>
                <w:b w:val="0"/>
                <w:sz w:val="18"/>
              </w:rPr>
              <w:t>Context</w:t>
            </w:r>
          </w:p>
        </w:tc>
        <w:tc>
          <w:tcPr>
            <w:tcW w:type="dxa" w:w="3118"/>
          </w:tcPr>
          <w:p>
            <w:pPr>
              <w:jc w:val="left"/>
            </w:pPr>
            <w:r/>
            <w:r>
              <w:rPr>
                <w:b w:val="0"/>
                <w:sz w:val="18"/>
              </w:rPr>
              <w:t>Why Iran, why theory matters</w:t>
            </w:r>
          </w:p>
        </w:tc>
        <w:tc>
          <w:tcPr>
            <w:tcW w:type="dxa" w:w="3402"/>
          </w:tcPr>
          <w:p>
            <w:pPr>
              <w:jc w:val="left"/>
            </w:pPr>
            <w:r/>
            <w:r>
              <w:rPr>
                <w:b w:val="0"/>
                <w:sz w:val="18"/>
              </w:rPr>
              <w:t>DiMaggio &amp; Powell 1983; Donaldson 2001</w:t>
            </w:r>
          </w:p>
        </w:tc>
      </w:tr>
      <w:tr>
        <w:tc>
          <w:tcPr>
            <w:tcW w:type="dxa" w:w="567"/>
          </w:tcPr>
          <w:p>
            <w:pPr>
              <w:jc w:val="left"/>
            </w:pPr>
            <w:r/>
            <w:r>
              <w:rPr>
                <w:b w:val="0"/>
                <w:sz w:val="18"/>
              </w:rPr>
              <w:t>8</w:t>
            </w:r>
          </w:p>
        </w:tc>
        <w:tc>
          <w:tcPr>
            <w:tcW w:type="dxa" w:w="1984"/>
          </w:tcPr>
          <w:p>
            <w:pPr>
              <w:jc w:val="left"/>
            </w:pPr>
            <w:r/>
            <w:r>
              <w:rPr>
                <w:b w:val="0"/>
                <w:sz w:val="18"/>
              </w:rPr>
              <w:t>Occupying the niche</w:t>
            </w:r>
          </w:p>
        </w:tc>
        <w:tc>
          <w:tcPr>
            <w:tcW w:type="dxa" w:w="3118"/>
          </w:tcPr>
          <w:p>
            <w:pPr>
              <w:jc w:val="left"/>
            </w:pPr>
            <w:r/>
            <w:r>
              <w:rPr>
                <w:b w:val="0"/>
                <w:sz w:val="18"/>
              </w:rPr>
              <w:t>Research questions and three-step design</w:t>
            </w:r>
          </w:p>
        </w:tc>
        <w:tc>
          <w:tcPr>
            <w:tcW w:type="dxa" w:w="3402"/>
          </w:tcPr>
          <w:p>
            <w:pPr>
              <w:jc w:val="left"/>
            </w:pPr>
            <w:r/>
            <w:r>
              <w:rPr>
                <w:b w:val="0"/>
                <w:sz w:val="18"/>
              </w:rPr>
              <w:t>—</w:t>
            </w:r>
          </w:p>
        </w:tc>
      </w:tr>
      <w:tr>
        <w:tc>
          <w:tcPr>
            <w:tcW w:type="dxa" w:w="567"/>
          </w:tcPr>
          <w:p>
            <w:pPr>
              <w:jc w:val="left"/>
            </w:pPr>
            <w:r/>
            <w:r>
              <w:rPr>
                <w:b w:val="0"/>
                <w:sz w:val="18"/>
              </w:rPr>
              <w:t>9</w:t>
            </w:r>
          </w:p>
        </w:tc>
        <w:tc>
          <w:tcPr>
            <w:tcW w:type="dxa" w:w="1984"/>
          </w:tcPr>
          <w:p>
            <w:pPr>
              <w:jc w:val="left"/>
            </w:pPr>
            <w:r/>
            <w:r>
              <w:rPr>
                <w:b w:val="0"/>
                <w:sz w:val="18"/>
              </w:rPr>
              <w:t>Findings preview</w:t>
            </w:r>
          </w:p>
        </w:tc>
        <w:tc>
          <w:tcPr>
            <w:tcW w:type="dxa" w:w="3118"/>
          </w:tcPr>
          <w:p>
            <w:pPr>
              <w:jc w:val="left"/>
            </w:pPr>
            <w:r/>
            <w:r>
              <w:rPr>
                <w:b w:val="0"/>
                <w:sz w:val="18"/>
              </w:rPr>
              <w:t>To be written after the analysis</w:t>
            </w:r>
          </w:p>
        </w:tc>
        <w:tc>
          <w:tcPr>
            <w:tcW w:type="dxa" w:w="3402"/>
          </w:tcPr>
          <w:p>
            <w:pPr>
              <w:jc w:val="left"/>
            </w:pPr>
            <w:r/>
            <w:r>
              <w:rPr>
                <w:b w:val="0"/>
                <w:sz w:val="18"/>
              </w:rPr>
              <w:t>—</w:t>
            </w:r>
          </w:p>
        </w:tc>
      </w:tr>
      <w:tr>
        <w:tc>
          <w:tcPr>
            <w:tcW w:type="dxa" w:w="567"/>
          </w:tcPr>
          <w:p>
            <w:pPr>
              <w:jc w:val="left"/>
            </w:pPr>
            <w:r/>
            <w:r>
              <w:rPr>
                <w:b w:val="0"/>
                <w:sz w:val="18"/>
              </w:rPr>
              <w:t>10</w:t>
            </w:r>
          </w:p>
        </w:tc>
        <w:tc>
          <w:tcPr>
            <w:tcW w:type="dxa" w:w="1984"/>
          </w:tcPr>
          <w:p>
            <w:pPr>
              <w:jc w:val="left"/>
            </w:pPr>
            <w:r/>
            <w:r>
              <w:rPr>
                <w:b w:val="0"/>
                <w:sz w:val="18"/>
              </w:rPr>
              <w:t>Contributions</w:t>
            </w:r>
          </w:p>
        </w:tc>
        <w:tc>
          <w:tcPr>
            <w:tcW w:type="dxa" w:w="3118"/>
          </w:tcPr>
          <w:p>
            <w:pPr>
              <w:jc w:val="left"/>
            </w:pPr>
            <w:r/>
            <w:r>
              <w:rPr>
                <w:b w:val="0"/>
                <w:sz w:val="18"/>
              </w:rPr>
              <w:t>Theory, method, practice</w:t>
            </w:r>
          </w:p>
        </w:tc>
        <w:tc>
          <w:tcPr>
            <w:tcW w:type="dxa" w:w="3402"/>
          </w:tcPr>
          <w:p>
            <w:pPr>
              <w:jc w:val="left"/>
            </w:pPr>
            <w:r/>
            <w:r>
              <w:rPr>
                <w:b w:val="0"/>
                <w:sz w:val="18"/>
              </w:rPr>
              <w:t>—</w:t>
            </w:r>
          </w:p>
        </w:tc>
      </w:tr>
      <w:tr>
        <w:tc>
          <w:tcPr>
            <w:tcW w:type="dxa" w:w="567"/>
          </w:tcPr>
          <w:p>
            <w:pPr>
              <w:jc w:val="left"/>
            </w:pPr>
            <w:r/>
            <w:r>
              <w:rPr>
                <w:b w:val="0"/>
                <w:sz w:val="18"/>
              </w:rPr>
              <w:t>11</w:t>
            </w:r>
          </w:p>
        </w:tc>
        <w:tc>
          <w:tcPr>
            <w:tcW w:type="dxa" w:w="1984"/>
          </w:tcPr>
          <w:p>
            <w:pPr>
              <w:jc w:val="left"/>
            </w:pPr>
            <w:r/>
            <w:r>
              <w:rPr>
                <w:b w:val="0"/>
                <w:sz w:val="18"/>
              </w:rPr>
              <w:t>Roadmap</w:t>
            </w:r>
          </w:p>
        </w:tc>
        <w:tc>
          <w:tcPr>
            <w:tcW w:type="dxa" w:w="3118"/>
          </w:tcPr>
          <w:p>
            <w:pPr>
              <w:jc w:val="left"/>
            </w:pPr>
            <w:r/>
            <w:r>
              <w:rPr>
                <w:b w:val="0"/>
                <w:sz w:val="18"/>
              </w:rPr>
              <w:t>Section outline</w:t>
            </w:r>
          </w:p>
        </w:tc>
        <w:tc>
          <w:tcPr>
            <w:tcW w:type="dxa" w:w="3402"/>
          </w:tcPr>
          <w:p>
            <w:pPr>
              <w:jc w:val="left"/>
            </w:pPr>
            <w:r/>
            <w:r>
              <w:rPr>
                <w:b w:val="0"/>
                <w:sz w:val="18"/>
              </w:rPr>
              <w:t>—</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