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88" w:lineRule="auto"/>
        <w:bidi/>
        <w:jc w:val="right"/>
      </w:pPr>
      <w:r>
        <w:rPr>
          <w:rFonts w:ascii="Arial" w:hAnsi="Arial" w:cs="Arial"/>
          <w:b/>
          <w:i w:val="0"/>
          <w:color w:val="1F3864"/>
          <w:sz w:val="30"/>
          <w:rtl/>
        </w:rPr>
        <w:t>مقدمه</w:t>
      </w:r>
    </w:p>
    <w:p>
      <w:pPr>
        <w:spacing w:after="160" w:line="288" w:lineRule="auto"/>
        <w:bidi/>
        <w:jc w:val="right"/>
      </w:pPr>
      <w:r>
        <w:rPr>
          <w:rFonts w:ascii="Arial" w:hAnsi="Arial" w:cs="Arial"/>
          <w:b w:val="0"/>
          <w:i/>
          <w:color w:val="5A5A5A"/>
          <w:sz w:val="20"/>
          <w:rtl/>
        </w:rPr>
        <w:t>عنوان کاری مقاله: مولفه‌های ارزیابی ریسک سایبری در حسابرسی: یک مطالعه دلفی دوپانلی در ایران</w:t>
      </w:r>
    </w:p>
    <w:p>
      <w:pPr>
        <w:spacing w:after="160" w:line="360" w:lineRule="auto"/>
        <w:bidi/>
        <w:jc w:val="right"/>
      </w:pPr>
      <w:r>
        <w:rPr>
          <w:rFonts w:ascii="Arial" w:hAnsi="Arial" w:cs="Arial"/>
          <w:b w:val="0"/>
          <w:i w:val="0"/>
          <w:rtl/>
        </w:rPr>
        <w:t>گزارشگری مالی به سیستم‌های اطلاعاتی وابسته است و سیستم‌های اطلاعاتی به امنیت. وقتی سیستم‌های یک واحد تجاری آسیب می‌بینند، اتکاپذیری داده‌هایی که صورت‌های مالی را می‌سازند، اثربخشی کنترل‌هایی که از آن‌ها محافظت می‌کنند و تداوم عملیاتی که پشت آن‌هاست زیر سؤال می‌رود. به همین دلیل ریسک سایبری از دغدغه واحد فناوری اطلاعات (IT) به موضوعی برای برنامه‌ریزی حسابرسی، ارزیابی کنترل داخلی و گزارش اطمینان‌بخشی تبدیل شده است.</w:t>
      </w:r>
    </w:p>
    <w:p>
      <w:pPr>
        <w:spacing w:after="160" w:line="360" w:lineRule="auto"/>
        <w:bidi/>
        <w:jc w:val="right"/>
      </w:pPr>
      <w:r>
        <w:rPr>
          <w:rFonts w:ascii="Arial" w:hAnsi="Arial" w:cs="Arial"/>
          <w:b w:val="0"/>
          <w:i w:val="0"/>
          <w:rtl/>
        </w:rPr>
        <w:t>تدوین‌کنندگان استاندارد واکنش نشان داده‌اند. ISA 315 (بازنگری 2019) که برای دوره‌های مالی شروع‌شده از 15 دسامبر 2021 به بعد لازم‌الاجراست، از حسابرس می‌خواهد محیط IT و کنترل‌های عمومی IT واحد مورد رسیدگی را بشناسد و هنگام ارزیابی ریسک تحریف با اهمیت، ریسک‌های ناشی از IT را شناسایی کند (IAASB, 2019). حسابرسی داخلی نیز در همین مسیر است: استانداردهای جهانی حسابرسی داخلی از 9 ژانویه 2025 لازم‌الاجرا شد (IIA, 2024) و «الزام موضوعی امنیت سایبری» که 5 فوریه 2025 صادر شد، از 5 فوریه 2026 اجرایی شد (IIA, 2025).</w:t>
      </w:r>
    </w:p>
    <w:p>
      <w:pPr>
        <w:spacing w:after="160" w:line="360" w:lineRule="auto"/>
        <w:bidi/>
        <w:jc w:val="right"/>
      </w:pPr>
      <w:r>
        <w:rPr>
          <w:rFonts w:ascii="Arial" w:hAnsi="Arial" w:cs="Arial"/>
          <w:b w:val="0"/>
          <w:i w:val="0"/>
          <w:rtl/>
        </w:rPr>
        <w:t>با این حال، راهنماهای در دسترس حسابرسان حول دو نقطه دید متفاوت سازمان‌یافته‌اند. چارچوب‌هایی مانند NIST CSF 2.0 که کارکرد Govern را افزود (NIST, 2024)، ISO/IEC 27005:2022 که با ISO/IEC 27001:2022 و ISO 31000:2018 همسو شده است (ISO/IEC, 2022) و معیارهای توصیف برنامه مدیریت ریسک سایبری AICPA (AICPA, 2017) می‌گویند یک سازمان چه باید بکند. استانداردهای حسابرسی می‌گویند حسابرس چه چیزی را باید بشناسد، ارزیابی کند و گزارش دهد. تا آنجا که می‌دانیم، منبعی این دو را در یک روایت واحد از آنچه ارزیابی ریسک سایبری در حسابرسی شامل می‌شود، ادغام نکرده است.</w:t>
      </w:r>
    </w:p>
    <w:p>
      <w:pPr>
        <w:spacing w:after="160" w:line="360" w:lineRule="auto"/>
        <w:bidi/>
        <w:jc w:val="right"/>
      </w:pPr>
      <w:r>
        <w:rPr>
          <w:rFonts w:ascii="Arial" w:hAnsi="Arial" w:cs="Arial"/>
          <w:b w:val="0"/>
          <w:i w:val="0"/>
          <w:rtl/>
        </w:rPr>
        <w:t>پیشینه پژوهش همین تقسیم را بازتاب می‌دهد. شواهد اولیه نشان داد حسابرسان داخلی بر ریسک‌های سنتی IT مانند حفاظت از دارایی، پردازش برنامه‌ها و یکپارچگی داده تمرکز دارند (Hermanson et al., 2000) و ریسک سیستم‌های اطلاعاتی را به برنامه‌ریزی حسابرسی پیوند دادند (Bedard et al., 2005). پژوهش‌های بعدی مدل‌های اطمینان‌بخشی را از COBIT، ISO، AICPA و NIST استخراج کردند (Kahyaoğlu &amp; Çalıyurt, 2018)، ویژگی‌های واحد حسابرسی داخلی مرتبط با حسابرسی امنیت سایبری را بررسی کردند (Islam et al., 2018) و پرسیدند آیا رابطه حسابرسی داخلی و امنیت اطلاعات بر پیامدهای امنیتی اثر دارد (Steinbart et al., 2018). Slapničar et al. (2022) شاخصی از اثربخشی حسابرسی امنیت سایبری با سه بخش برنامه‌ریزی، اجرا و گزارشگری ساختند. میانگین امتیاز 58 از 100 بود، برنامه‌ریزی و اجرا پیوند قوی داشتند و گزارشگری به هیئت‌مدیره پیوند ضعیف‌تری با آن‌ها نشان داد. پس از آن، عوامل مؤثر بر این اثربخشی با لنز نو‌نهادگرا بررسی شده (Vuko et al., 2024) و واکنش حسابرسان مستقل به حوادث سایبری از طریق حق‌الزحمه حسابرسی مطالعه شده است (Li et al., 2020).</w:t>
      </w:r>
    </w:p>
    <w:p>
      <w:pPr>
        <w:spacing w:after="160" w:line="360" w:lineRule="auto"/>
        <w:bidi/>
        <w:jc w:val="right"/>
      </w:pPr>
      <w:r>
        <w:rPr>
          <w:rFonts w:ascii="Arial" w:hAnsi="Arial" w:cs="Arial"/>
          <w:b w:val="0"/>
          <w:i w:val="0"/>
          <w:rtl/>
        </w:rPr>
        <w:t>ادبیات موازی درباره روش‌های ارزیابی ریسک از طرف دیگر به همان دشواری می‌رسد. روش‌های ارزیابی ریسک امنیت اطلاعات در میزان پوشش شناسایی، برآورد و ارزیابی ریسک تفاوت دارند (Wangen et al., 2018). رویکردهای تحلیل تصمیم و احتمالاتی پیشنهاد شده است (Ganin et al., 2020; Wang et al., 2020)، دیدگاه ایستای مبتنی بر چارچوب به‌دلیل نادیده‌گرفتن پویایی سازمان و تهدید نقد شده است (Armenia et al., 2021) و کمبود داده باز اندازه‌گیری کمی را محدود می‌کند: یک مرور نظام‌مند از 5219 مطالعه فقط 79 مجموعه داده یافت (Cremer et al., 2022). روش‌ها فراوان‌اند، اما اینکه حسابرس چه چیزی را باید ارزیابی کند و چه کسی باید آن را ارزیابی کند، پراکنده مانده است.</w:t>
      </w:r>
    </w:p>
    <w:p>
      <w:pPr>
        <w:spacing w:after="160" w:line="360" w:lineRule="auto"/>
        <w:bidi/>
        <w:jc w:val="right"/>
      </w:pPr>
      <w:r>
        <w:rPr>
          <w:rFonts w:ascii="Arial" w:hAnsi="Arial" w:cs="Arial"/>
          <w:b w:val="0"/>
          <w:i w:val="0"/>
          <w:rtl/>
        </w:rPr>
        <w:t>سه محدودیت می‌بینیم. نخست، مولفه‌های ارزیابی ریسک سایبری میان چارچوب‌ها، استانداردها و پژوهش‌هایی پراکنده است که واژگان و مرزهای متفاوت دارند. دوم، پژوهش‌های موجود معمولاً یک نقطه دید را می‌گیرند، یا مدیریت امنیت سازمان یا حسابرس، و درباره اینکه دو طرف در اهمیت چه مواردی توافق دارند اطلاع کمی داریم. سوم، شواهد درباره وزن‌دهی مولفه‌ها در محیط‌هایی غیر از آنچه بیشتر مطالعات در آن انجام شده‌اند اندک است.</w:t>
      </w:r>
    </w:p>
    <w:p>
      <w:pPr>
        <w:spacing w:after="160" w:line="360" w:lineRule="auto"/>
        <w:bidi/>
        <w:jc w:val="right"/>
      </w:pPr>
      <w:r>
        <w:rPr>
          <w:rFonts w:ascii="Arial" w:hAnsi="Arial" w:cs="Arial"/>
          <w:b w:val="0"/>
          <w:i w:val="0"/>
          <w:rtl/>
        </w:rPr>
        <w:t>زمینه برای هر سه محدودیت اهمیت دارد. نظریه نهادی می‌گوید پذیرش استانداردها به فشارهای قانونی، تقلیدی و هنجاری پاسخ می‌دهد (DiMaggio &amp; Powell, 1983) و نظریه اقتضایی می‌گوید کاربرد رویه‌های کنترلی به شرایط سازمان بستگی دارد (Donaldson, 2001). واحدهای تجاری و حسابرسان ایرانی در شرایط مقرراتی، زیرساختی و تحریمی کار می‌کنند که با محیط شکل‌گیری بیشتر شواهد بالا متفاوت است؛ پس نمی‌توان فرض کرد اهمیت و قابلیت اجرای هر مولفه بدون تغییر منتقل شود. تا آنجا که می‌دانیم، مطالعه‌ای از هر دو دیدگاه سازمان مورد رسیدگی و حسابرس بررسی نکرده است که ارزیابی ریسک سایبری در حسابرسی ایران از چه مولفه‌هایی تشکیل می‌شود.</w:t>
      </w:r>
    </w:p>
    <w:p>
      <w:pPr>
        <w:spacing w:after="160" w:line="360" w:lineRule="auto"/>
        <w:bidi/>
        <w:jc w:val="right"/>
      </w:pPr>
      <w:r>
        <w:rPr>
          <w:rFonts w:ascii="Arial" w:hAnsi="Arial" w:cs="Arial"/>
          <w:b w:val="0"/>
          <w:i w:val="0"/>
          <w:rtl/>
        </w:rPr>
        <w:t>بنابراین سه پرسش مطرح می‌کنیم. RQ1: چه مولفه‌هایی از ارزیابی ریسک سایبری در حسابرسی در چارچوب‌های بین‌المللی، استانداردهای حسابرسی و پیشینه پژوهش آمده‌اند؟ RQ2: خبرگان ایرانی کدام مولفه‌ها را مهم و قابل اجرا می‌دانند و چه مولفه‌های بومی دیگری را شناسایی می‌کنند؟ RQ3: دیدگاه سازمان‌های مورد رسیدگی و دیدگاه حسابرسان در اهمیتی که به مولفه‌ها می‌دهند چه تفاوتی دارد؟ در سه گام پیش می‌رویم. نخست، پیشینه را ترکیب می‌کنیم و مولفه‌های کاندید را با منابع AICPA، NIST، ISO و استانداردهای حسابرسی بالا نگاشت می‌کنیم که 30 مولفه در هفت بُعد می‌دهد. دوم، آن‌ها را در یک مطالعه دلفی با دو پانل خبره، یکی از سازمان‌های مورد رسیدگی و یکی از حسابرسان، اعتبارسنجی و بومی‌سازی می‌کنیم. سوم، پانل‌ها را مولفه‌به‌مولفه مقایسه می‌کنیم.</w:t>
      </w:r>
    </w:p>
    <w:p>
      <w:pPr>
        <w:spacing w:after="160" w:line="360" w:lineRule="auto"/>
        <w:bidi/>
        <w:jc w:val="right"/>
      </w:pPr>
      <w:r>
        <w:rPr>
          <w:rFonts w:ascii="Arial" w:hAnsi="Arial" w:cs="Arial"/>
          <w:b w:val="0"/>
          <w:i w:val="0"/>
          <w:color w:val="C00000"/>
          <w:rtl/>
        </w:rPr>
        <w:t>[یک یا دو جمله درباره یافته‌های اصلی پس از تکمیل تحلیل اضافه شود: مولفه‌هایی که به اجماع رسیدند، مولفه‌هایی که خبرگان افزودند و بیشترین شکاف بین دو پانل.]</w:t>
      </w:r>
    </w:p>
    <w:p>
      <w:pPr>
        <w:spacing w:after="160" w:line="360" w:lineRule="auto"/>
        <w:bidi/>
        <w:jc w:val="right"/>
      </w:pPr>
      <w:r>
        <w:rPr>
          <w:rFonts w:ascii="Arial" w:hAnsi="Arial" w:cs="Arial"/>
          <w:b w:val="0"/>
          <w:i w:val="0"/>
          <w:rtl/>
        </w:rPr>
        <w:t>این مطالعه از سه جهت سهم دارد. از نظر نظری، چارچوب‌های سازمان‌محور و استانداردهای حسابرسی را در یک روایت سه‌لایه از ارزیابی ریسک سایبری (مدل ریسک، چرخه مدیریت و اطمینان‌بخشی) ادغام می‌کند و نشان می‌دهد دو نقطه دید کجا به هم می‌رسند و کجا فاصله می‌گیرند. از نظر روش‌شناختی، نگاشتی ردیابی‌پذیر از استانداردها و پیشینه به مولفه‌ها ارائه می‌دهد و با طرح دلفی دوپانلی، مقایسه دیدگاه‌ها را صریح می‌کند، نه مفروض. از نظر عملی، مولفه‌های اعتبارسنجی‌شده به حسابرسان و موسسات حسابرسی مبنایی ساختاریافته برای برنامه‌ریزی ارزیابی ریسک سایبری می‌دهند، به سازمان‌ها تصویری از آنچه حسابرسان احتمالاً بررسی می‌کنند ارائه می‌کنند و به نهادهای ناظر و حرفه‌ای ایران شواهدی برای آموزش، راهنما و استانداردگذاری می‌دهند. این مولفه‌ها همچنین مبنای اندازه‌گیری برای پژوهش بعدی‌اند که روابط ساختاری میان آن‌ها را آزمون می‌کند.</w:t>
      </w:r>
    </w:p>
    <w:p>
      <w:pPr>
        <w:spacing w:after="160" w:line="360" w:lineRule="auto"/>
        <w:bidi/>
        <w:jc w:val="right"/>
      </w:pPr>
      <w:r>
        <w:rPr>
          <w:rFonts w:ascii="Arial" w:hAnsi="Arial" w:cs="Arial"/>
          <w:b w:val="0"/>
          <w:i w:val="0"/>
          <w:rtl/>
        </w:rPr>
        <w:t>ادامه مقاله به این صورت سازمان یافته است. بخش 2 مبانی نظری و مولفه‌های کاندید را توسعه می‌دهد. بخش 3 طرح پژوهش، پانل‌های خبره و معیارهای اجماع را توضیح می‌دهد. بخش 4 نتایج را همراه با مقایسه دو پانل گزارش می‌کند. بخش 5 یافته‌ها، پیامدها، محدودیت‌ها و مسیرهای پژوهش آینده را بحث می‌کند.</w:t>
      </w:r>
    </w:p>
    <w:p>
      <w:pPr>
        <w:spacing w:after="160" w:line="288" w:lineRule="auto"/>
        <w:jc w:val="left"/>
      </w:pPr>
      <w:r>
        <w:rPr>
          <w:b/>
          <w:i w:val="0"/>
          <w:color w:val="1F3864"/>
          <w:sz w:val="26"/>
        </w:rPr>
        <w:t>References</w:t>
      </w:r>
    </w:p>
    <w:p>
      <w:pPr>
        <w:spacing w:after="80" w:line="276" w:lineRule="auto"/>
        <w:ind w:left="567" w:hanging="567"/>
        <w:jc w:val="left"/>
      </w:pPr>
      <w:r>
        <w:rPr>
          <w:b w:val="0"/>
          <w:i w:val="0"/>
          <w:sz w:val="20"/>
        </w:rPr>
        <w:t>AICPA. (2017). Description criteria for management's description of an entity's cybersecurity risk management program (DC section 100). American Institute of Certified Public Accountants.</w:t>
      </w:r>
    </w:p>
    <w:p>
      <w:pPr>
        <w:spacing w:after="80" w:line="276" w:lineRule="auto"/>
        <w:ind w:left="567" w:hanging="567"/>
        <w:jc w:val="left"/>
      </w:pPr>
      <w:r>
        <w:rPr>
          <w:b w:val="0"/>
          <w:i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80" w:line="276" w:lineRule="auto"/>
        <w:ind w:left="567" w:hanging="567"/>
        <w:jc w:val="left"/>
      </w:pPr>
      <w:r>
        <w:rPr>
          <w:b w:val="0"/>
          <w:i w:val="0"/>
          <w:sz w:val="20"/>
        </w:rPr>
        <w:t>Bedard, J. C., Graham, L., &amp; Jackson, C. (2005). Information systems risk and audit planning. International Journal of Auditing, 9, 147–163. https://doi.org/10.1111/j.1099-1123.2005.00267.x</w:t>
      </w:r>
    </w:p>
    <w:p>
      <w:pPr>
        <w:spacing w:after="80" w:line="276" w:lineRule="auto"/>
        <w:ind w:left="567" w:hanging="567"/>
        <w:jc w:val="left"/>
      </w:pPr>
      <w:r>
        <w:rPr>
          <w:b w:val="0"/>
          <w:i w:val="0"/>
          <w:sz w:val="20"/>
        </w:rPr>
        <w:t>Cremer, F., Sheehan, B., Fortmann, M., Kia, A. N., Mullins, M., Murphy, F., &amp; Materne, S. (2022). Cyber risk and cybersecurity: A systematic review of data availability. The Geneva Papers on Risk and Insurance – Issues and Practice, 47(3), 698–736. https://doi.org/10.1057/s41288-022-00266-6</w:t>
      </w:r>
    </w:p>
    <w:p>
      <w:pPr>
        <w:spacing w:after="80" w:line="276" w:lineRule="auto"/>
        <w:ind w:left="567" w:hanging="567"/>
        <w:jc w:val="left"/>
      </w:pPr>
      <w:r>
        <w:rPr>
          <w:b w:val="0"/>
          <w:i w:val="0"/>
          <w:sz w:val="20"/>
        </w:rPr>
        <w:t>DiMaggio, P. J., &amp; Powell, W. W. (1983). The iron cage revisited: Institutional isomorphism and collective rationality in organizational fields. American Sociological Review, 48(2), 147–160.</w:t>
      </w:r>
    </w:p>
    <w:p>
      <w:pPr>
        <w:spacing w:after="80" w:line="276" w:lineRule="auto"/>
        <w:ind w:left="567" w:hanging="567"/>
        <w:jc w:val="left"/>
      </w:pPr>
      <w:r>
        <w:rPr>
          <w:b w:val="0"/>
          <w:i w:val="0"/>
          <w:sz w:val="20"/>
        </w:rPr>
        <w:t>Donaldson, L. (2001). The contingency theory of organizations. Sage.</w:t>
      </w:r>
    </w:p>
    <w:p>
      <w:pPr>
        <w:spacing w:after="80" w:line="276" w:lineRule="auto"/>
        <w:ind w:left="567" w:hanging="567"/>
        <w:jc w:val="left"/>
      </w:pPr>
      <w:r>
        <w:rPr>
          <w:b w:val="0"/>
          <w:i w:val="0"/>
          <w:sz w:val="20"/>
        </w:rPr>
        <w:t>Ganin, A. A., Quach, P., Panwar, M., Collier, Z. A., Keisler, J. M., Marchese, D., &amp; Linkov, I. (2020). Multicriteria decision framework for cybersecurity risk assessment and management. Risk Analysis, 40(1), 183–199.</w:t>
      </w:r>
    </w:p>
    <w:p>
      <w:pPr>
        <w:spacing w:after="80" w:line="276" w:lineRule="auto"/>
        <w:ind w:left="567" w:hanging="567"/>
        <w:jc w:val="left"/>
      </w:pPr>
      <w:r>
        <w:rPr>
          <w:b w:val="0"/>
          <w:i w:val="0"/>
          <w:sz w:val="20"/>
        </w:rPr>
        <w:t>Hermanson, D. R., Hill, M. C., &amp; Ivancevich, D. M. (2000). Information technology-related activities of internal auditors. Journal of Information Systems, 14(Supplement), 40–53.</w:t>
      </w:r>
    </w:p>
    <w:p>
      <w:pPr>
        <w:spacing w:after="80" w:line="276" w:lineRule="auto"/>
        <w:ind w:left="567" w:hanging="567"/>
        <w:jc w:val="left"/>
      </w:pPr>
      <w:r>
        <w:rPr>
          <w:b w:val="0"/>
          <w:i w:val="0"/>
          <w:sz w:val="20"/>
        </w:rPr>
        <w:t>IAASB. (2019). International Standard on Auditing 315 (Revised 2019): Identifying and assessing the risks of material misstatement. International Auditing and Assurance Standards Board.</w:t>
      </w:r>
    </w:p>
    <w:p>
      <w:pPr>
        <w:spacing w:after="80" w:line="276" w:lineRule="auto"/>
        <w:ind w:left="567" w:hanging="567"/>
        <w:jc w:val="left"/>
      </w:pPr>
      <w:r>
        <w:rPr>
          <w:b w:val="0"/>
          <w:i w:val="0"/>
          <w:sz w:val="20"/>
        </w:rPr>
        <w:t>IIA. (2024). Global Internal Audit Standards. Institute of Internal Auditors.</w:t>
      </w:r>
    </w:p>
    <w:p>
      <w:pPr>
        <w:spacing w:after="80" w:line="276" w:lineRule="auto"/>
        <w:ind w:left="567" w:hanging="567"/>
        <w:jc w:val="left"/>
      </w:pPr>
      <w:r>
        <w:rPr>
          <w:b w:val="0"/>
          <w:i w:val="0"/>
          <w:sz w:val="20"/>
        </w:rPr>
        <w:t>IIA. (2025). Cybersecurity topical requirement. Institute of Internal Auditors.</w:t>
      </w:r>
    </w:p>
    <w:p>
      <w:pPr>
        <w:spacing w:after="80" w:line="276" w:lineRule="auto"/>
        <w:ind w:left="567" w:hanging="567"/>
        <w:jc w:val="left"/>
      </w:pPr>
      <w:r>
        <w:rPr>
          <w:b w:val="0"/>
          <w:i w:val="0"/>
          <w:sz w:val="20"/>
        </w:rPr>
        <w:t>Islam, M. S., Farah, N., &amp; Stafford, T. F. (2018). Factors associated with security/cybersecurity audit by internal audit function: An international study. Managerial Auditing Journal, 33(4), 377–409. https://doi.org/10.1108/MAJ-07-2017-1595</w:t>
      </w:r>
    </w:p>
    <w:p>
      <w:pPr>
        <w:spacing w:after="80" w:line="276" w:lineRule="auto"/>
        <w:ind w:left="567" w:hanging="567"/>
        <w:jc w:val="left"/>
      </w:pPr>
      <w:r>
        <w:rPr>
          <w:b w:val="0"/>
          <w:i w:val="0"/>
          <w:sz w:val="20"/>
        </w:rPr>
        <w:t>ISO/IEC. (2022). ISO/IEC 27005:2022 Information security, cybersecurity and privacy protection — Guidance on managing information security risks (4th ed.). International Organization for Standardization.</w:t>
      </w:r>
    </w:p>
    <w:p>
      <w:pPr>
        <w:spacing w:after="80" w:line="276" w:lineRule="auto"/>
        <w:ind w:left="567" w:hanging="567"/>
        <w:jc w:val="left"/>
      </w:pPr>
      <w:r>
        <w:rPr>
          <w:b w:val="0"/>
          <w:i w:val="0"/>
          <w:sz w:val="20"/>
        </w:rPr>
        <w:t>Kahyaoğlu, S. B., &amp; Çalıyurt, K. (2018). Cyber security assurance process from the internal audit perspective. Managerial Auditing Journal, 33(4), 360–376. https://doi.org/10.1108/MAJ-02-2018-1804</w:t>
      </w:r>
    </w:p>
    <w:p>
      <w:pPr>
        <w:spacing w:after="80" w:line="276" w:lineRule="auto"/>
        <w:ind w:left="567" w:hanging="567"/>
        <w:jc w:val="left"/>
      </w:pPr>
      <w:r>
        <w:rPr>
          <w:b w:val="0"/>
          <w:i w:val="0"/>
          <w:sz w:val="20"/>
        </w:rPr>
        <w:t>Li, H., No, W. G., &amp; Boritz, J. E. (2020). Are external auditors concerned about cyber incidents? Evidence from audit fees. Auditing: A Journal of Practice &amp; Theory, 39(1), 151–171.</w:t>
      </w:r>
    </w:p>
    <w:p>
      <w:pPr>
        <w:spacing w:after="80" w:line="276" w:lineRule="auto"/>
        <w:ind w:left="567" w:hanging="567"/>
        <w:jc w:val="left"/>
      </w:pPr>
      <w:r>
        <w:rPr>
          <w:b w:val="0"/>
          <w:i w:val="0"/>
          <w:sz w:val="20"/>
        </w:rPr>
        <w:t>NIST. (2024). The NIST Cybersecurity Framework (CSF) 2.0 (NIST CSWP 29). National Institute of Standards and Technology. https://doi.org/10.6028/NIST.CSWP.29</w:t>
      </w:r>
    </w:p>
    <w:p>
      <w:pPr>
        <w:spacing w:after="80" w:line="276" w:lineRule="auto"/>
        <w:ind w:left="567" w:hanging="567"/>
        <w:jc w:val="left"/>
      </w:pPr>
      <w:r>
        <w:rPr>
          <w:b w:val="0"/>
          <w:i w:val="0"/>
          <w:sz w:val="20"/>
        </w:rPr>
        <w:t>Slapničar, S., Vuko, T., Čular, M., &amp; Drašček, M. (2022). Effectiveness of cybersecurity audit. International Journal of Accounting Information Systems, 44, 100548. https://doi.org/10.1016/j.accinf.2021.100548</w:t>
      </w:r>
    </w:p>
    <w:p>
      <w:pPr>
        <w:spacing w:after="80" w:line="276" w:lineRule="auto"/>
        <w:ind w:left="567" w:hanging="567"/>
        <w:jc w:val="left"/>
      </w:pPr>
      <w:r>
        <w:rPr>
          <w:b w:val="0"/>
          <w:i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80" w:line="276" w:lineRule="auto"/>
        <w:ind w:left="567" w:hanging="567"/>
        <w:jc w:val="left"/>
      </w:pPr>
      <w:r>
        <w:rPr>
          <w:b w:val="0"/>
          <w:i w:val="0"/>
          <w:sz w:val="20"/>
        </w:rPr>
        <w:t>Vuko, T., Slapničar, S., Čular, M., &amp; Drašček, M. (2024). Key drivers of cybersecurity audit effectiveness: A neo-institutional perspective. International Journal of Auditing, 29(1), 188–206. https://doi.org/10.1111/ijau.12365</w:t>
      </w:r>
    </w:p>
    <w:p>
      <w:pPr>
        <w:spacing w:after="80" w:line="276" w:lineRule="auto"/>
        <w:ind w:left="567" w:hanging="567"/>
        <w:jc w:val="left"/>
      </w:pPr>
      <w:r>
        <w:rPr>
          <w:b w:val="0"/>
          <w:i w:val="0"/>
          <w:sz w:val="20"/>
        </w:rPr>
        <w:t>Wang, J., Neil, M., &amp; Fenton, N. (2020). A Bayesian network approach for cybersecurity risk assessment implementing and extending the FAIR model. Computers &amp; Security, 89, 101659. https://doi.org/10.1016/j.cose.2019.101659</w:t>
      </w:r>
    </w:p>
    <w:p>
      <w:pPr>
        <w:spacing w:after="80" w:line="276" w:lineRule="auto"/>
        <w:ind w:left="567" w:hanging="567"/>
        <w:jc w:val="left"/>
      </w:pPr>
      <w:r>
        <w:rPr>
          <w:b w:val="0"/>
          <w:i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p>
      <w:r>
        <w:br w:type="page"/>
      </w:r>
    </w:p>
    <w:p>
      <w:pPr>
        <w:spacing w:after="160" w:line="288" w:lineRule="auto"/>
        <w:bidi/>
        <w:jc w:val="right"/>
      </w:pPr>
      <w:r>
        <w:rPr>
          <w:rFonts w:ascii="Arial" w:hAnsi="Arial" w:cs="Arial"/>
          <w:b/>
          <w:i w:val="0"/>
          <w:color w:val="C00000"/>
          <w:sz w:val="24"/>
          <w:rtl/>
        </w:rPr>
        <w:t>نقشه ساختار (پیش از ارسال حذف شود)</w:t>
      </w:r>
    </w:p>
    <w:tbl>
      <w:tblPr>
        <w:tblStyle w:val="TableGrid"/>
        <w:tblW w:type="auto" w:w="0"/>
        <w:tblLayout w:type="fixed"/>
        <w:tblLook w:firstColumn="1" w:firstRow="1" w:lastColumn="0" w:lastRow="0" w:noHBand="0" w:noVBand="1" w:val="04A0"/>
        <w:bidiVisual/>
      </w:tblPr>
      <w:tblGrid>
        <w:gridCol w:w="567"/>
        <w:gridCol w:w="1984"/>
        <w:gridCol w:w="3118"/>
        <w:gridCol w:w="3402"/>
      </w:tblGrid>
      <w:tr>
        <w:tc>
          <w:tcPr>
            <w:tcW w:type="dxa" w:w="567"/>
            <w:shd w:val="clear" w:color="auto" w:fill="1F3864"/>
          </w:tcPr>
          <w:p>
            <w:pPr>
              <w:bidi/>
              <w:jc w:val="right"/>
            </w:pPr>
            <w:r>
              <w:rPr>
                <w:rFonts w:ascii="Arial" w:hAnsi="Arial" w:cs="Arial"/>
                <w:rtl/>
              </w:rPr>
            </w:r>
            <w:r>
              <w:rPr>
                <w:rFonts w:ascii="Arial" w:hAnsi="Arial" w:cs="Arial"/>
                <w:b/>
                <w:color w:val="FFFFFF"/>
                <w:sz w:val="18"/>
                <w:rtl/>
              </w:rPr>
              <w:t>#</w:t>
            </w:r>
          </w:p>
        </w:tc>
        <w:tc>
          <w:tcPr>
            <w:tcW w:type="dxa" w:w="1984"/>
            <w:shd w:val="clear" w:color="auto" w:fill="1F3864"/>
          </w:tcPr>
          <w:p>
            <w:pPr>
              <w:bidi/>
              <w:jc w:val="right"/>
            </w:pPr>
            <w:r>
              <w:rPr>
                <w:rFonts w:ascii="Arial" w:hAnsi="Arial" w:cs="Arial"/>
                <w:rtl/>
              </w:rPr>
            </w:r>
            <w:r>
              <w:rPr>
                <w:rFonts w:ascii="Arial" w:hAnsi="Arial" w:cs="Arial"/>
                <w:b/>
                <w:color w:val="FFFFFF"/>
                <w:sz w:val="18"/>
                <w:rtl/>
              </w:rPr>
              <w:t>گام</w:t>
            </w:r>
          </w:p>
        </w:tc>
        <w:tc>
          <w:tcPr>
            <w:tcW w:type="dxa" w:w="3118"/>
            <w:shd w:val="clear" w:color="auto" w:fill="1F3864"/>
          </w:tcPr>
          <w:p>
            <w:pPr>
              <w:bidi/>
              <w:jc w:val="right"/>
            </w:pPr>
            <w:r>
              <w:rPr>
                <w:rFonts w:ascii="Arial" w:hAnsi="Arial" w:cs="Arial"/>
                <w:rtl/>
              </w:rPr>
            </w:r>
            <w:r>
              <w:rPr>
                <w:rFonts w:ascii="Arial" w:hAnsi="Arial" w:cs="Arial"/>
                <w:b/>
                <w:color w:val="FFFFFF"/>
                <w:sz w:val="18"/>
                <w:rtl/>
              </w:rPr>
              <w:t>کارکرد</w:t>
            </w:r>
          </w:p>
        </w:tc>
        <w:tc>
          <w:tcPr>
            <w:tcW w:type="dxa" w:w="3402"/>
            <w:shd w:val="clear" w:color="auto" w:fill="1F3864"/>
          </w:tcPr>
          <w:p>
            <w:pPr>
              <w:bidi/>
              <w:jc w:val="right"/>
            </w:pPr>
            <w:r>
              <w:rPr>
                <w:rFonts w:ascii="Arial" w:hAnsi="Arial" w:cs="Arial"/>
                <w:rtl/>
              </w:rPr>
            </w:r>
            <w:r>
              <w:rPr>
                <w:rFonts w:ascii="Arial" w:hAnsi="Arial" w:cs="Arial"/>
                <w:b/>
                <w:color w:val="FFFFFF"/>
                <w:sz w:val="18"/>
                <w:rtl/>
              </w:rPr>
              <w:t>منابع</w:t>
            </w:r>
          </w:p>
        </w:tc>
      </w:tr>
      <w:tr>
        <w:tc>
          <w:tcPr>
            <w:tcW w:type="dxa" w:w="567"/>
          </w:tcPr>
          <w:p>
            <w:pPr>
              <w:bidi/>
              <w:jc w:val="right"/>
            </w:pPr>
            <w:r>
              <w:rPr>
                <w:rFonts w:ascii="Arial" w:hAnsi="Arial" w:cs="Arial"/>
                <w:rtl/>
              </w:rPr>
            </w:r>
            <w:r>
              <w:rPr>
                <w:rFonts w:ascii="Arial" w:hAnsi="Arial" w:cs="Arial"/>
                <w:b w:val="0"/>
                <w:sz w:val="18"/>
                <w:rtl/>
              </w:rPr>
              <w:t>1</w:t>
            </w:r>
          </w:p>
        </w:tc>
        <w:tc>
          <w:tcPr>
            <w:tcW w:type="dxa" w:w="1984"/>
          </w:tcPr>
          <w:p>
            <w:pPr>
              <w:bidi/>
              <w:jc w:val="right"/>
            </w:pPr>
            <w:r>
              <w:rPr>
                <w:rFonts w:ascii="Arial" w:hAnsi="Arial" w:cs="Arial"/>
                <w:rtl/>
              </w:rPr>
            </w:r>
            <w:r>
              <w:rPr>
                <w:rFonts w:ascii="Arial" w:hAnsi="Arial" w:cs="Arial"/>
                <w:b w:val="0"/>
                <w:sz w:val="18"/>
                <w:rtl/>
              </w:rPr>
              <w:t>انگیزه (قلمرو)</w:t>
            </w:r>
          </w:p>
        </w:tc>
        <w:tc>
          <w:tcPr>
            <w:tcW w:type="dxa" w:w="3118"/>
          </w:tcPr>
          <w:p>
            <w:pPr>
              <w:bidi/>
              <w:jc w:val="right"/>
            </w:pPr>
            <w:r>
              <w:rPr>
                <w:rFonts w:ascii="Arial" w:hAnsi="Arial" w:cs="Arial"/>
                <w:rtl/>
              </w:rPr>
            </w:r>
            <w:r>
              <w:rPr>
                <w:rFonts w:ascii="Arial" w:hAnsi="Arial" w:cs="Arial"/>
                <w:b w:val="0"/>
                <w:sz w:val="18"/>
                <w:rtl/>
              </w:rPr>
              <w:t>چرا ریسک سایبری برای گزارشگری مالی و اطمینان‌بخشی مهم است</w:t>
            </w:r>
          </w:p>
        </w:tc>
        <w:tc>
          <w:tcPr>
            <w:tcW w:type="dxa" w:w="3402"/>
          </w:tcPr>
          <w:p>
            <w:pPr>
              <w:bidi/>
              <w:jc w:val="right"/>
            </w:pPr>
            <w:r>
              <w:rPr>
                <w:rFonts w:ascii="Arial" w:hAnsi="Arial" w:cs="Arial"/>
                <w:rtl/>
              </w:rPr>
            </w:r>
            <w:r>
              <w:rPr>
                <w:rFonts w:ascii="Arial" w:hAnsi="Arial" w:cs="Arial"/>
                <w:b w:val="0"/>
                <w:sz w:val="18"/>
                <w:rtl/>
              </w:rPr>
              <w:t>—</w:t>
            </w:r>
          </w:p>
        </w:tc>
      </w:tr>
      <w:tr>
        <w:tc>
          <w:tcPr>
            <w:tcW w:type="dxa" w:w="567"/>
          </w:tcPr>
          <w:p>
            <w:pPr>
              <w:bidi/>
              <w:jc w:val="right"/>
            </w:pPr>
            <w:r>
              <w:rPr>
                <w:rFonts w:ascii="Arial" w:hAnsi="Arial" w:cs="Arial"/>
                <w:rtl/>
              </w:rPr>
            </w:r>
            <w:r>
              <w:rPr>
                <w:rFonts w:ascii="Arial" w:hAnsi="Arial" w:cs="Arial"/>
                <w:b w:val="0"/>
                <w:sz w:val="18"/>
                <w:rtl/>
              </w:rPr>
              <w:t>2</w:t>
            </w:r>
          </w:p>
        </w:tc>
        <w:tc>
          <w:tcPr>
            <w:tcW w:type="dxa" w:w="1984"/>
          </w:tcPr>
          <w:p>
            <w:pPr>
              <w:bidi/>
              <w:jc w:val="right"/>
            </w:pPr>
            <w:r>
              <w:rPr>
                <w:rFonts w:ascii="Arial" w:hAnsi="Arial" w:cs="Arial"/>
                <w:rtl/>
              </w:rPr>
            </w:r>
            <w:r>
              <w:rPr>
                <w:rFonts w:ascii="Arial" w:hAnsi="Arial" w:cs="Arial"/>
                <w:b w:val="0"/>
                <w:sz w:val="18"/>
                <w:rtl/>
              </w:rPr>
              <w:t>بافت مقرراتی</w:t>
            </w:r>
          </w:p>
        </w:tc>
        <w:tc>
          <w:tcPr>
            <w:tcW w:type="dxa" w:w="3118"/>
          </w:tcPr>
          <w:p>
            <w:pPr>
              <w:bidi/>
              <w:jc w:val="right"/>
            </w:pPr>
            <w:r>
              <w:rPr>
                <w:rFonts w:ascii="Arial" w:hAnsi="Arial" w:cs="Arial"/>
                <w:rtl/>
              </w:rPr>
            </w:r>
            <w:r>
              <w:rPr>
                <w:rFonts w:ascii="Arial" w:hAnsi="Arial" w:cs="Arial"/>
                <w:b w:val="0"/>
                <w:sz w:val="18"/>
                <w:rtl/>
              </w:rPr>
              <w:t>نشان می‌دهد موضوع به‌روز و الزام‌آور است</w:t>
            </w:r>
          </w:p>
        </w:tc>
        <w:tc>
          <w:tcPr>
            <w:tcW w:type="dxa" w:w="3402"/>
          </w:tcPr>
          <w:p>
            <w:pPr>
              <w:bidi/>
              <w:jc w:val="right"/>
            </w:pPr>
            <w:r>
              <w:rPr>
                <w:rFonts w:ascii="Arial" w:hAnsi="Arial" w:cs="Arial"/>
                <w:rtl/>
              </w:rPr>
            </w:r>
            <w:r>
              <w:rPr>
                <w:rFonts w:ascii="Arial" w:hAnsi="Arial" w:cs="Arial"/>
                <w:b w:val="0"/>
                <w:sz w:val="18"/>
                <w:rtl/>
              </w:rPr>
              <w:t>ISA 315; IIA 2024; IIA 2025</w:t>
            </w:r>
          </w:p>
        </w:tc>
      </w:tr>
      <w:tr>
        <w:tc>
          <w:tcPr>
            <w:tcW w:type="dxa" w:w="567"/>
          </w:tcPr>
          <w:p>
            <w:pPr>
              <w:bidi/>
              <w:jc w:val="right"/>
            </w:pPr>
            <w:r>
              <w:rPr>
                <w:rFonts w:ascii="Arial" w:hAnsi="Arial" w:cs="Arial"/>
                <w:rtl/>
              </w:rPr>
            </w:r>
            <w:r>
              <w:rPr>
                <w:rFonts w:ascii="Arial" w:hAnsi="Arial" w:cs="Arial"/>
                <w:b w:val="0"/>
                <w:sz w:val="18"/>
                <w:rtl/>
              </w:rPr>
              <w:t>3</w:t>
            </w:r>
          </w:p>
        </w:tc>
        <w:tc>
          <w:tcPr>
            <w:tcW w:type="dxa" w:w="1984"/>
          </w:tcPr>
          <w:p>
            <w:pPr>
              <w:bidi/>
              <w:jc w:val="right"/>
            </w:pPr>
            <w:r>
              <w:rPr>
                <w:rFonts w:ascii="Arial" w:hAnsi="Arial" w:cs="Arial"/>
                <w:rtl/>
              </w:rPr>
            </w:r>
            <w:r>
              <w:rPr>
                <w:rFonts w:ascii="Arial" w:hAnsi="Arial" w:cs="Arial"/>
                <w:b w:val="0"/>
                <w:sz w:val="18"/>
                <w:rtl/>
              </w:rPr>
              <w:t>چارچوب‌بندی مسئله</w:t>
            </w:r>
          </w:p>
        </w:tc>
        <w:tc>
          <w:tcPr>
            <w:tcW w:type="dxa" w:w="3118"/>
          </w:tcPr>
          <w:p>
            <w:pPr>
              <w:bidi/>
              <w:jc w:val="right"/>
            </w:pPr>
            <w:r>
              <w:rPr>
                <w:rFonts w:ascii="Arial" w:hAnsi="Arial" w:cs="Arial"/>
                <w:rtl/>
              </w:rPr>
            </w:r>
            <w:r>
              <w:rPr>
                <w:rFonts w:ascii="Arial" w:hAnsi="Arial" w:cs="Arial"/>
                <w:b w:val="0"/>
                <w:sz w:val="18"/>
                <w:rtl/>
              </w:rPr>
              <w:t>دو نقطه دید و نبود ادغام</w:t>
            </w:r>
          </w:p>
        </w:tc>
        <w:tc>
          <w:tcPr>
            <w:tcW w:type="dxa" w:w="3402"/>
          </w:tcPr>
          <w:p>
            <w:pPr>
              <w:bidi/>
              <w:jc w:val="right"/>
            </w:pPr>
            <w:r>
              <w:rPr>
                <w:rFonts w:ascii="Arial" w:hAnsi="Arial" w:cs="Arial"/>
                <w:rtl/>
              </w:rPr>
            </w:r>
            <w:r>
              <w:rPr>
                <w:rFonts w:ascii="Arial" w:hAnsi="Arial" w:cs="Arial"/>
                <w:b w:val="0"/>
                <w:sz w:val="18"/>
                <w:rtl/>
              </w:rPr>
              <w:t>NIST CSF 2.0; ISO/IEC 27005:2022; AICPA DC 100</w:t>
            </w:r>
          </w:p>
        </w:tc>
      </w:tr>
      <w:tr>
        <w:tc>
          <w:tcPr>
            <w:tcW w:type="dxa" w:w="567"/>
          </w:tcPr>
          <w:p>
            <w:pPr>
              <w:bidi/>
              <w:jc w:val="right"/>
            </w:pPr>
            <w:r>
              <w:rPr>
                <w:rFonts w:ascii="Arial" w:hAnsi="Arial" w:cs="Arial"/>
                <w:rtl/>
              </w:rPr>
            </w:r>
            <w:r>
              <w:rPr>
                <w:rFonts w:ascii="Arial" w:hAnsi="Arial" w:cs="Arial"/>
                <w:b w:val="0"/>
                <w:sz w:val="18"/>
                <w:rtl/>
              </w:rPr>
              <w:t>4</w:t>
            </w:r>
          </w:p>
        </w:tc>
        <w:tc>
          <w:tcPr>
            <w:tcW w:type="dxa" w:w="1984"/>
          </w:tcPr>
          <w:p>
            <w:pPr>
              <w:bidi/>
              <w:jc w:val="right"/>
            </w:pPr>
            <w:r>
              <w:rPr>
                <w:rFonts w:ascii="Arial" w:hAnsi="Arial" w:cs="Arial"/>
                <w:rtl/>
              </w:rPr>
            </w:r>
            <w:r>
              <w:rPr>
                <w:rFonts w:ascii="Arial" w:hAnsi="Arial" w:cs="Arial"/>
                <w:b w:val="0"/>
                <w:sz w:val="18"/>
                <w:rtl/>
              </w:rPr>
              <w:t>پیشینه حسابرسی</w:t>
            </w:r>
          </w:p>
        </w:tc>
        <w:tc>
          <w:tcPr>
            <w:tcW w:type="dxa" w:w="3118"/>
          </w:tcPr>
          <w:p>
            <w:pPr>
              <w:bidi/>
              <w:jc w:val="right"/>
            </w:pPr>
            <w:r>
              <w:rPr>
                <w:rFonts w:ascii="Arial" w:hAnsi="Arial" w:cs="Arial"/>
                <w:rtl/>
              </w:rPr>
            </w:r>
            <w:r>
              <w:rPr>
                <w:rFonts w:ascii="Arial" w:hAnsi="Arial" w:cs="Arial"/>
                <w:b w:val="0"/>
                <w:sz w:val="18"/>
                <w:rtl/>
              </w:rPr>
              <w:t>آنچه می‌دانیم، به ترتیب</w:t>
            </w:r>
          </w:p>
        </w:tc>
        <w:tc>
          <w:tcPr>
            <w:tcW w:type="dxa" w:w="3402"/>
          </w:tcPr>
          <w:p>
            <w:pPr>
              <w:bidi/>
              <w:jc w:val="right"/>
            </w:pPr>
            <w:r>
              <w:rPr>
                <w:rFonts w:ascii="Arial" w:hAnsi="Arial" w:cs="Arial"/>
                <w:rtl/>
              </w:rPr>
            </w:r>
            <w:r>
              <w:rPr>
                <w:rFonts w:ascii="Arial" w:hAnsi="Arial" w:cs="Arial"/>
                <w:b w:val="0"/>
                <w:sz w:val="18"/>
                <w:rtl/>
              </w:rPr>
              <w:t>Hermanson; Bedard; Kahyaoğlu; Islam; Steinbart; Slapničar; Vuko; Li</w:t>
            </w:r>
          </w:p>
        </w:tc>
      </w:tr>
      <w:tr>
        <w:tc>
          <w:tcPr>
            <w:tcW w:type="dxa" w:w="567"/>
          </w:tcPr>
          <w:p>
            <w:pPr>
              <w:bidi/>
              <w:jc w:val="right"/>
            </w:pPr>
            <w:r>
              <w:rPr>
                <w:rFonts w:ascii="Arial" w:hAnsi="Arial" w:cs="Arial"/>
                <w:rtl/>
              </w:rPr>
            </w:r>
            <w:r>
              <w:rPr>
                <w:rFonts w:ascii="Arial" w:hAnsi="Arial" w:cs="Arial"/>
                <w:b w:val="0"/>
                <w:sz w:val="18"/>
                <w:rtl/>
              </w:rPr>
              <w:t>5</w:t>
            </w:r>
          </w:p>
        </w:tc>
        <w:tc>
          <w:tcPr>
            <w:tcW w:type="dxa" w:w="1984"/>
          </w:tcPr>
          <w:p>
            <w:pPr>
              <w:bidi/>
              <w:jc w:val="right"/>
            </w:pPr>
            <w:r>
              <w:rPr>
                <w:rFonts w:ascii="Arial" w:hAnsi="Arial" w:cs="Arial"/>
                <w:rtl/>
              </w:rPr>
            </w:r>
            <w:r>
              <w:rPr>
                <w:rFonts w:ascii="Arial" w:hAnsi="Arial" w:cs="Arial"/>
                <w:b w:val="0"/>
                <w:sz w:val="18"/>
                <w:rtl/>
              </w:rPr>
              <w:t>پیشینه روش‌ها</w:t>
            </w:r>
          </w:p>
        </w:tc>
        <w:tc>
          <w:tcPr>
            <w:tcW w:type="dxa" w:w="3118"/>
          </w:tcPr>
          <w:p>
            <w:pPr>
              <w:bidi/>
              <w:jc w:val="right"/>
            </w:pPr>
            <w:r>
              <w:rPr>
                <w:rFonts w:ascii="Arial" w:hAnsi="Arial" w:cs="Arial"/>
                <w:rtl/>
              </w:rPr>
            </w:r>
            <w:r>
              <w:rPr>
                <w:rFonts w:ascii="Arial" w:hAnsi="Arial" w:cs="Arial"/>
                <w:b w:val="0"/>
                <w:sz w:val="18"/>
                <w:rtl/>
              </w:rPr>
              <w:t>همان دشواری از طرف روش‌ها</w:t>
            </w:r>
          </w:p>
        </w:tc>
        <w:tc>
          <w:tcPr>
            <w:tcW w:type="dxa" w:w="3402"/>
          </w:tcPr>
          <w:p>
            <w:pPr>
              <w:bidi/>
              <w:jc w:val="right"/>
            </w:pPr>
            <w:r>
              <w:rPr>
                <w:rFonts w:ascii="Arial" w:hAnsi="Arial" w:cs="Arial"/>
                <w:rtl/>
              </w:rPr>
            </w:r>
            <w:r>
              <w:rPr>
                <w:rFonts w:ascii="Arial" w:hAnsi="Arial" w:cs="Arial"/>
                <w:b w:val="0"/>
                <w:sz w:val="18"/>
                <w:rtl/>
              </w:rPr>
              <w:t>Wangen; Ganin; Wang; Armenia; Cremer</w:t>
            </w:r>
          </w:p>
        </w:tc>
      </w:tr>
      <w:tr>
        <w:tc>
          <w:tcPr>
            <w:tcW w:type="dxa" w:w="567"/>
          </w:tcPr>
          <w:p>
            <w:pPr>
              <w:bidi/>
              <w:jc w:val="right"/>
            </w:pPr>
            <w:r>
              <w:rPr>
                <w:rFonts w:ascii="Arial" w:hAnsi="Arial" w:cs="Arial"/>
                <w:rtl/>
              </w:rPr>
            </w:r>
            <w:r>
              <w:rPr>
                <w:rFonts w:ascii="Arial" w:hAnsi="Arial" w:cs="Arial"/>
                <w:b w:val="0"/>
                <w:sz w:val="18"/>
                <w:rtl/>
              </w:rPr>
              <w:t>6</w:t>
            </w:r>
          </w:p>
        </w:tc>
        <w:tc>
          <w:tcPr>
            <w:tcW w:type="dxa" w:w="1984"/>
          </w:tcPr>
          <w:p>
            <w:pPr>
              <w:bidi/>
              <w:jc w:val="right"/>
            </w:pPr>
            <w:r>
              <w:rPr>
                <w:rFonts w:ascii="Arial" w:hAnsi="Arial" w:cs="Arial"/>
                <w:rtl/>
              </w:rPr>
            </w:r>
            <w:r>
              <w:rPr>
                <w:rFonts w:ascii="Arial" w:hAnsi="Arial" w:cs="Arial"/>
                <w:b w:val="0"/>
                <w:sz w:val="18"/>
                <w:rtl/>
              </w:rPr>
              <w:t>شکاف (niche)</w:t>
            </w:r>
          </w:p>
        </w:tc>
        <w:tc>
          <w:tcPr>
            <w:tcW w:type="dxa" w:w="3118"/>
          </w:tcPr>
          <w:p>
            <w:pPr>
              <w:bidi/>
              <w:jc w:val="right"/>
            </w:pPr>
            <w:r>
              <w:rPr>
                <w:rFonts w:ascii="Arial" w:hAnsi="Arial" w:cs="Arial"/>
                <w:rtl/>
              </w:rPr>
            </w:r>
            <w:r>
              <w:rPr>
                <w:rFonts w:ascii="Arial" w:hAnsi="Arial" w:cs="Arial"/>
                <w:b w:val="0"/>
                <w:sz w:val="18"/>
                <w:rtl/>
              </w:rPr>
              <w:t>سه محدودیت</w:t>
            </w:r>
          </w:p>
        </w:tc>
        <w:tc>
          <w:tcPr>
            <w:tcW w:type="dxa" w:w="3402"/>
          </w:tcPr>
          <w:p>
            <w:pPr>
              <w:bidi/>
              <w:jc w:val="right"/>
            </w:pPr>
            <w:r>
              <w:rPr>
                <w:rFonts w:ascii="Arial" w:hAnsi="Arial" w:cs="Arial"/>
                <w:rtl/>
              </w:rPr>
            </w:r>
            <w:r>
              <w:rPr>
                <w:rFonts w:ascii="Arial" w:hAnsi="Arial" w:cs="Arial"/>
                <w:b w:val="0"/>
                <w:sz w:val="18"/>
                <w:rtl/>
              </w:rPr>
              <w:t>—</w:t>
            </w:r>
          </w:p>
        </w:tc>
      </w:tr>
      <w:tr>
        <w:tc>
          <w:tcPr>
            <w:tcW w:type="dxa" w:w="567"/>
          </w:tcPr>
          <w:p>
            <w:pPr>
              <w:bidi/>
              <w:jc w:val="right"/>
            </w:pPr>
            <w:r>
              <w:rPr>
                <w:rFonts w:ascii="Arial" w:hAnsi="Arial" w:cs="Arial"/>
                <w:rtl/>
              </w:rPr>
            </w:r>
            <w:r>
              <w:rPr>
                <w:rFonts w:ascii="Arial" w:hAnsi="Arial" w:cs="Arial"/>
                <w:b w:val="0"/>
                <w:sz w:val="18"/>
                <w:rtl/>
              </w:rPr>
              <w:t>7</w:t>
            </w:r>
          </w:p>
        </w:tc>
        <w:tc>
          <w:tcPr>
            <w:tcW w:type="dxa" w:w="1984"/>
          </w:tcPr>
          <w:p>
            <w:pPr>
              <w:bidi/>
              <w:jc w:val="right"/>
            </w:pPr>
            <w:r>
              <w:rPr>
                <w:rFonts w:ascii="Arial" w:hAnsi="Arial" w:cs="Arial"/>
                <w:rtl/>
              </w:rPr>
            </w:r>
            <w:r>
              <w:rPr>
                <w:rFonts w:ascii="Arial" w:hAnsi="Arial" w:cs="Arial"/>
                <w:b w:val="0"/>
                <w:sz w:val="18"/>
                <w:rtl/>
              </w:rPr>
              <w:t>زمینه</w:t>
            </w:r>
          </w:p>
        </w:tc>
        <w:tc>
          <w:tcPr>
            <w:tcW w:type="dxa" w:w="3118"/>
          </w:tcPr>
          <w:p>
            <w:pPr>
              <w:bidi/>
              <w:jc w:val="right"/>
            </w:pPr>
            <w:r>
              <w:rPr>
                <w:rFonts w:ascii="Arial" w:hAnsi="Arial" w:cs="Arial"/>
                <w:rtl/>
              </w:rPr>
            </w:r>
            <w:r>
              <w:rPr>
                <w:rFonts w:ascii="Arial" w:hAnsi="Arial" w:cs="Arial"/>
                <w:b w:val="0"/>
                <w:sz w:val="18"/>
                <w:rtl/>
              </w:rPr>
              <w:t>چرا ایران و چرا نظریه مهم است</w:t>
            </w:r>
          </w:p>
        </w:tc>
        <w:tc>
          <w:tcPr>
            <w:tcW w:type="dxa" w:w="3402"/>
          </w:tcPr>
          <w:p>
            <w:pPr>
              <w:bidi/>
              <w:jc w:val="right"/>
            </w:pPr>
            <w:r>
              <w:rPr>
                <w:rFonts w:ascii="Arial" w:hAnsi="Arial" w:cs="Arial"/>
                <w:rtl/>
              </w:rPr>
            </w:r>
            <w:r>
              <w:rPr>
                <w:rFonts w:ascii="Arial" w:hAnsi="Arial" w:cs="Arial"/>
                <w:b w:val="0"/>
                <w:sz w:val="18"/>
                <w:rtl/>
              </w:rPr>
              <w:t>DiMaggio &amp; Powell; Donaldson</w:t>
            </w:r>
          </w:p>
        </w:tc>
      </w:tr>
      <w:tr>
        <w:tc>
          <w:tcPr>
            <w:tcW w:type="dxa" w:w="567"/>
          </w:tcPr>
          <w:p>
            <w:pPr>
              <w:bidi/>
              <w:jc w:val="right"/>
            </w:pPr>
            <w:r>
              <w:rPr>
                <w:rFonts w:ascii="Arial" w:hAnsi="Arial" w:cs="Arial"/>
                <w:rtl/>
              </w:rPr>
            </w:r>
            <w:r>
              <w:rPr>
                <w:rFonts w:ascii="Arial" w:hAnsi="Arial" w:cs="Arial"/>
                <w:b w:val="0"/>
                <w:sz w:val="18"/>
                <w:rtl/>
              </w:rPr>
              <w:t>8</w:t>
            </w:r>
          </w:p>
        </w:tc>
        <w:tc>
          <w:tcPr>
            <w:tcW w:type="dxa" w:w="1984"/>
          </w:tcPr>
          <w:p>
            <w:pPr>
              <w:bidi/>
              <w:jc w:val="right"/>
            </w:pPr>
            <w:r>
              <w:rPr>
                <w:rFonts w:ascii="Arial" w:hAnsi="Arial" w:cs="Arial"/>
                <w:rtl/>
              </w:rPr>
            </w:r>
            <w:r>
              <w:rPr>
                <w:rFonts w:ascii="Arial" w:hAnsi="Arial" w:cs="Arial"/>
                <w:b w:val="0"/>
                <w:sz w:val="18"/>
                <w:rtl/>
              </w:rPr>
              <w:t>پر کردن شکاف</w:t>
            </w:r>
          </w:p>
        </w:tc>
        <w:tc>
          <w:tcPr>
            <w:tcW w:type="dxa" w:w="3118"/>
          </w:tcPr>
          <w:p>
            <w:pPr>
              <w:bidi/>
              <w:jc w:val="right"/>
            </w:pPr>
            <w:r>
              <w:rPr>
                <w:rFonts w:ascii="Arial" w:hAnsi="Arial" w:cs="Arial"/>
                <w:rtl/>
              </w:rPr>
            </w:r>
            <w:r>
              <w:rPr>
                <w:rFonts w:ascii="Arial" w:hAnsi="Arial" w:cs="Arial"/>
                <w:b w:val="0"/>
                <w:sz w:val="18"/>
                <w:rtl/>
              </w:rPr>
              <w:t>پرسش‌ها و طرح سه‌گامی</w:t>
            </w:r>
          </w:p>
        </w:tc>
        <w:tc>
          <w:tcPr>
            <w:tcW w:type="dxa" w:w="3402"/>
          </w:tcPr>
          <w:p>
            <w:pPr>
              <w:bidi/>
              <w:jc w:val="right"/>
            </w:pPr>
            <w:r>
              <w:rPr>
                <w:rFonts w:ascii="Arial" w:hAnsi="Arial" w:cs="Arial"/>
                <w:rtl/>
              </w:rPr>
            </w:r>
            <w:r>
              <w:rPr>
                <w:rFonts w:ascii="Arial" w:hAnsi="Arial" w:cs="Arial"/>
                <w:b w:val="0"/>
                <w:sz w:val="18"/>
                <w:rtl/>
              </w:rPr>
              <w:t>—</w:t>
            </w:r>
          </w:p>
        </w:tc>
      </w:tr>
      <w:tr>
        <w:tc>
          <w:tcPr>
            <w:tcW w:type="dxa" w:w="567"/>
          </w:tcPr>
          <w:p>
            <w:pPr>
              <w:bidi/>
              <w:jc w:val="right"/>
            </w:pPr>
            <w:r>
              <w:rPr>
                <w:rFonts w:ascii="Arial" w:hAnsi="Arial" w:cs="Arial"/>
                <w:rtl/>
              </w:rPr>
            </w:r>
            <w:r>
              <w:rPr>
                <w:rFonts w:ascii="Arial" w:hAnsi="Arial" w:cs="Arial"/>
                <w:b w:val="0"/>
                <w:sz w:val="18"/>
                <w:rtl/>
              </w:rPr>
              <w:t>9</w:t>
            </w:r>
          </w:p>
        </w:tc>
        <w:tc>
          <w:tcPr>
            <w:tcW w:type="dxa" w:w="1984"/>
          </w:tcPr>
          <w:p>
            <w:pPr>
              <w:bidi/>
              <w:jc w:val="right"/>
            </w:pPr>
            <w:r>
              <w:rPr>
                <w:rFonts w:ascii="Arial" w:hAnsi="Arial" w:cs="Arial"/>
                <w:rtl/>
              </w:rPr>
            </w:r>
            <w:r>
              <w:rPr>
                <w:rFonts w:ascii="Arial" w:hAnsi="Arial" w:cs="Arial"/>
                <w:b w:val="0"/>
                <w:sz w:val="18"/>
                <w:rtl/>
              </w:rPr>
              <w:t>پیش‌نمایش یافته‌ها</w:t>
            </w:r>
          </w:p>
        </w:tc>
        <w:tc>
          <w:tcPr>
            <w:tcW w:type="dxa" w:w="3118"/>
          </w:tcPr>
          <w:p>
            <w:pPr>
              <w:bidi/>
              <w:jc w:val="right"/>
            </w:pPr>
            <w:r>
              <w:rPr>
                <w:rFonts w:ascii="Arial" w:hAnsi="Arial" w:cs="Arial"/>
                <w:rtl/>
              </w:rPr>
            </w:r>
            <w:r>
              <w:rPr>
                <w:rFonts w:ascii="Arial" w:hAnsi="Arial" w:cs="Arial"/>
                <w:b w:val="0"/>
                <w:sz w:val="18"/>
                <w:rtl/>
              </w:rPr>
              <w:t>پس از تحلیل نوشته شود</w:t>
            </w:r>
          </w:p>
        </w:tc>
        <w:tc>
          <w:tcPr>
            <w:tcW w:type="dxa" w:w="3402"/>
          </w:tcPr>
          <w:p>
            <w:pPr>
              <w:bidi/>
              <w:jc w:val="right"/>
            </w:pPr>
            <w:r>
              <w:rPr>
                <w:rFonts w:ascii="Arial" w:hAnsi="Arial" w:cs="Arial"/>
                <w:rtl/>
              </w:rPr>
            </w:r>
            <w:r>
              <w:rPr>
                <w:rFonts w:ascii="Arial" w:hAnsi="Arial" w:cs="Arial"/>
                <w:b w:val="0"/>
                <w:sz w:val="18"/>
                <w:rtl/>
              </w:rPr>
              <w:t>—</w:t>
            </w:r>
          </w:p>
        </w:tc>
      </w:tr>
      <w:tr>
        <w:tc>
          <w:tcPr>
            <w:tcW w:type="dxa" w:w="567"/>
          </w:tcPr>
          <w:p>
            <w:pPr>
              <w:bidi/>
              <w:jc w:val="right"/>
            </w:pPr>
            <w:r>
              <w:rPr>
                <w:rFonts w:ascii="Arial" w:hAnsi="Arial" w:cs="Arial"/>
                <w:rtl/>
              </w:rPr>
            </w:r>
            <w:r>
              <w:rPr>
                <w:rFonts w:ascii="Arial" w:hAnsi="Arial" w:cs="Arial"/>
                <w:b w:val="0"/>
                <w:sz w:val="18"/>
                <w:rtl/>
              </w:rPr>
              <w:t>10</w:t>
            </w:r>
          </w:p>
        </w:tc>
        <w:tc>
          <w:tcPr>
            <w:tcW w:type="dxa" w:w="1984"/>
          </w:tcPr>
          <w:p>
            <w:pPr>
              <w:bidi/>
              <w:jc w:val="right"/>
            </w:pPr>
            <w:r>
              <w:rPr>
                <w:rFonts w:ascii="Arial" w:hAnsi="Arial" w:cs="Arial"/>
                <w:rtl/>
              </w:rPr>
            </w:r>
            <w:r>
              <w:rPr>
                <w:rFonts w:ascii="Arial" w:hAnsi="Arial" w:cs="Arial"/>
                <w:b w:val="0"/>
                <w:sz w:val="18"/>
                <w:rtl/>
              </w:rPr>
              <w:t>سهم پژوهش</w:t>
            </w:r>
          </w:p>
        </w:tc>
        <w:tc>
          <w:tcPr>
            <w:tcW w:type="dxa" w:w="3118"/>
          </w:tcPr>
          <w:p>
            <w:pPr>
              <w:bidi/>
              <w:jc w:val="right"/>
            </w:pPr>
            <w:r>
              <w:rPr>
                <w:rFonts w:ascii="Arial" w:hAnsi="Arial" w:cs="Arial"/>
                <w:rtl/>
              </w:rPr>
            </w:r>
            <w:r>
              <w:rPr>
                <w:rFonts w:ascii="Arial" w:hAnsi="Arial" w:cs="Arial"/>
                <w:b w:val="0"/>
                <w:sz w:val="18"/>
                <w:rtl/>
              </w:rPr>
              <w:t>نظری، روشی، عملی</w:t>
            </w:r>
          </w:p>
        </w:tc>
        <w:tc>
          <w:tcPr>
            <w:tcW w:type="dxa" w:w="3402"/>
          </w:tcPr>
          <w:p>
            <w:pPr>
              <w:bidi/>
              <w:jc w:val="right"/>
            </w:pPr>
            <w:r>
              <w:rPr>
                <w:rFonts w:ascii="Arial" w:hAnsi="Arial" w:cs="Arial"/>
                <w:rtl/>
              </w:rPr>
            </w:r>
            <w:r>
              <w:rPr>
                <w:rFonts w:ascii="Arial" w:hAnsi="Arial" w:cs="Arial"/>
                <w:b w:val="0"/>
                <w:sz w:val="18"/>
                <w:rtl/>
              </w:rPr>
              <w:t>—</w:t>
            </w:r>
          </w:p>
        </w:tc>
      </w:tr>
      <w:tr>
        <w:tc>
          <w:tcPr>
            <w:tcW w:type="dxa" w:w="567"/>
          </w:tcPr>
          <w:p>
            <w:pPr>
              <w:bidi/>
              <w:jc w:val="right"/>
            </w:pPr>
            <w:r>
              <w:rPr>
                <w:rFonts w:ascii="Arial" w:hAnsi="Arial" w:cs="Arial"/>
                <w:rtl/>
              </w:rPr>
            </w:r>
            <w:r>
              <w:rPr>
                <w:rFonts w:ascii="Arial" w:hAnsi="Arial" w:cs="Arial"/>
                <w:b w:val="0"/>
                <w:sz w:val="18"/>
                <w:rtl/>
              </w:rPr>
              <w:t>11</w:t>
            </w:r>
          </w:p>
        </w:tc>
        <w:tc>
          <w:tcPr>
            <w:tcW w:type="dxa" w:w="1984"/>
          </w:tcPr>
          <w:p>
            <w:pPr>
              <w:bidi/>
              <w:jc w:val="right"/>
            </w:pPr>
            <w:r>
              <w:rPr>
                <w:rFonts w:ascii="Arial" w:hAnsi="Arial" w:cs="Arial"/>
                <w:rtl/>
              </w:rPr>
            </w:r>
            <w:r>
              <w:rPr>
                <w:rFonts w:ascii="Arial" w:hAnsi="Arial" w:cs="Arial"/>
                <w:b w:val="0"/>
                <w:sz w:val="18"/>
                <w:rtl/>
              </w:rPr>
              <w:t>ساختار مقاله</w:t>
            </w:r>
          </w:p>
        </w:tc>
        <w:tc>
          <w:tcPr>
            <w:tcW w:type="dxa" w:w="3118"/>
          </w:tcPr>
          <w:p>
            <w:pPr>
              <w:bidi/>
              <w:jc w:val="right"/>
            </w:pPr>
            <w:r>
              <w:rPr>
                <w:rFonts w:ascii="Arial" w:hAnsi="Arial" w:cs="Arial"/>
                <w:rtl/>
              </w:rPr>
            </w:r>
            <w:r>
              <w:rPr>
                <w:rFonts w:ascii="Arial" w:hAnsi="Arial" w:cs="Arial"/>
                <w:b w:val="0"/>
                <w:sz w:val="18"/>
                <w:rtl/>
              </w:rPr>
              <w:t>مرور بخش‌ها</w:t>
            </w:r>
          </w:p>
        </w:tc>
        <w:tc>
          <w:tcPr>
            <w:tcW w:type="dxa" w:w="3402"/>
          </w:tcPr>
          <w:p>
            <w:pPr>
              <w:bidi/>
              <w:jc w:val="right"/>
            </w:pPr>
            <w:r>
              <w:rPr>
                <w:rFonts w:ascii="Arial" w:hAnsi="Arial" w:cs="Arial"/>
                <w:rtl/>
              </w:rPr>
            </w:r>
            <w:r>
              <w:rPr>
                <w:rFonts w:ascii="Arial" w:hAnsi="Arial" w:cs="Arial"/>
                <w:b w:val="0"/>
                <w:sz w:val="18"/>
                <w:rtl/>
              </w:rPr>
              <w:t>—</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