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 balanced panel of 299 non-financial firms listed on the Tehran Stock Exchange (TSE) over the Iranian fiscal years 1393–1403 (approximately March 2014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w:t>
      </w:r>
    </w:p>
    <w:p>
      <w:pPr>
        <w:pStyle w:val="BodyText"/>
      </w:pPr>
      <w:r>
        <w:t xml:space="preserve">The sample is constructed in the following steps:</w:t>
      </w:r>
    </w:p>
    <w:p>
      <w:pPr>
        <w:pStyle w:val="Compact"/>
        <w:numPr>
          <w:ilvl w:val="0"/>
          <w:numId w:val="1001"/>
        </w:numPr>
      </w:pPr>
      <w:r>
        <w:t xml:space="preserve">Start from all firms listed on the TSE during 1392–1403.</w:t>
      </w:r>
    </w:p>
    <w:p>
      <w:pPr>
        <w:pStyle w:val="Compact"/>
        <w:numPr>
          <w:ilvl w:val="0"/>
          <w:numId w:val="1001"/>
        </w:numPr>
      </w:pPr>
      <w:r>
        <w:t xml:space="preserve">Exclude banks, credit institutions, insurance companies, investment companies, holding companies and leasing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Retain firms whose fiscal year ends in Esfand (March) and that did not change their fiscal year during the period, so that every firm-year shares the same macroeconomic window.</w:t>
      </w:r>
    </w:p>
    <w:p>
      <w:pPr>
        <w:pStyle w:val="Compact"/>
        <w:numPr>
          <w:ilvl w:val="0"/>
          <w:numId w:val="1001"/>
        </w:numPr>
      </w:pPr>
      <w:r>
        <w:t xml:space="preserve">Retain firms that are continuously listed and have the accounting and market data needed to construct every variable.</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Screening step</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TSE-listed firms, 1392–1403</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financial, investment, holding and leasing firms</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fiscal year not ending in Esfand, or changed during the period</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not continuously listed or missing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Final sample, including base year 1392</w:t>
            </w:r>
          </w:p>
        </w:tc>
        <w:tc>
          <w:tcPr/>
          <w:p>
            <w:pPr>
              <w:pStyle w:val="Compact"/>
            </w:pPr>
            <w:r>
              <w:rPr>
                <w:sz w:val="19"/>
              </w:rPr>
              <w:t xml:space="preserve">299</w:t>
            </w:r>
          </w:p>
        </w:tc>
        <w:tc>
          <w:tcPr/>
          <w:p>
            <w:pPr>
              <w:pStyle w:val="Compact"/>
            </w:pPr>
            <w:r>
              <w:rPr>
                <w:sz w:val="19"/>
              </w:rPr>
              <w:t xml:space="preserve">3,588</w:t>
            </w:r>
          </w:p>
        </w:tc>
      </w:tr>
      <w:tr>
        <w:tc>
          <w:tcPr/>
          <w:p>
            <w:pPr>
              <w:pStyle w:val="Compact"/>
            </w:pPr>
            <w:r>
              <w:rPr>
                <w:sz w:val="19"/>
              </w:rPr>
              <w:t xml:space="preserve">Firm-years in the study period 1393–1403</w:t>
            </w:r>
          </w:p>
        </w:tc>
        <w:tc>
          <w:tcPr/>
          <w:p>
            <w:pPr>
              <w:pStyle w:val="Compact"/>
            </w:pPr>
            <w:r>
              <w:rPr>
                <w:sz w:val="19"/>
              </w:rPr>
              <w:t xml:space="preserve">299</w:t>
            </w:r>
          </w:p>
        </w:tc>
        <w:tc>
          <w:tcPr/>
          <w:p>
            <w:pPr>
              <w:pStyle w:val="Compact"/>
            </w:pPr>
            <w:r>
              <w:rPr>
                <w:sz w:val="19"/>
              </w:rPr>
              <w:t xml:space="preserve">3,289</w:t>
            </w:r>
          </w:p>
        </w:tc>
      </w:tr>
    </w:tbl>
    <w:p>
      <w:pPr>
        <w:pStyle w:val="BodyText"/>
      </w:pPr>
      <w:r>
        <w:t xml:space="preserve">Accounting data are collected from the Rahavard Novin database and cross-checked against the original filings in the Codal disclosure system. Market values of equity are obtained from the TSE, and the annual consumer-price inflation rate from the Central Bank of the Islamic Republic of Iran.</w:t>
      </w:r>
    </w:p>
    <w:p>
      <w:pPr>
        <w:pStyle w:val="BodyText"/>
      </w:pPr>
      <w:r>
        <w:t xml:space="preserve">Fiscal year 1392 serves only as a base year for variables that require prior-year values. Because the investment-expectation model uses lagged sales growth and the dynamic models use the lagged dependent variable, the effective estimation windows are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Estimation step</w:t>
            </w:r>
          </w:p>
        </w:tc>
        <w:tc>
          <w:tcPr>
            <w:shd w:val="clear" w:color="auto" w:fill="E8ECF3"/>
          </w:tcPr>
          <w:p>
            <w:pPr>
              <w:pStyle w:val="Compact"/>
            </w:pPr>
            <w:r>
              <w:rPr>
                <w:b/>
                <w:sz w:val="19"/>
              </w:rPr>
              <w:t xml:space="preserve">Requires</w:t>
            </w:r>
          </w:p>
        </w:tc>
        <w:tc>
          <w:tcPr>
            <w:shd w:val="clear" w:color="auto" w:fill="E8ECF3"/>
          </w:tcPr>
          <w:p>
            <w:pPr>
              <w:pStyle w:val="Compact"/>
            </w:pPr>
            <w:r>
              <w:rPr>
                <w:b/>
                <w:sz w:val="19"/>
              </w:rPr>
              <w:t xml:space="preserve">Effective window</w:t>
            </w:r>
          </w:p>
        </w:tc>
        <w:tc>
          <w:tcPr>
            <w:shd w:val="clear" w:color="auto" w:fill="E8ECF3"/>
          </w:tcPr>
          <w:p>
            <w:pPr>
              <w:pStyle w:val="Compact"/>
            </w:pPr>
            <w:r>
              <w:rPr>
                <w:b/>
                <w:sz w:val="19"/>
              </w:rPr>
              <w:t xml:space="preserve">Firm-years</w:t>
            </w:r>
          </w:p>
        </w:tc>
      </w:tr>
      <w:tr>
        <w:tc>
          <w:tcPr/>
          <w:p>
            <w:pPr>
              <w:pStyle w:val="Compact"/>
            </w:pPr>
            <w:r>
              <w:rPr>
                <w:sz w:val="19"/>
              </w:rPr>
              <w:t xml:space="preserve">Target leverage model, Eq. (2)</w:t>
            </w:r>
          </w:p>
        </w:tc>
        <w:tc>
          <w:tcPr/>
          <w:p>
            <w:pPr>
              <w:pStyle w:val="Compact"/>
            </w:pPr>
            <w:r>
              <w:rPr>
                <w:sz w:val="19"/>
              </w:rPr>
              <w:t xml:space="preserve">Determinants at t−1</w:t>
            </w:r>
          </w:p>
        </w:tc>
        <w:tc>
          <w:tcPr/>
          <w:p>
            <w:pPr>
              <w:pStyle w:val="Compact"/>
            </w:pPr>
            <w:r>
              <w:rPr>
                <w:sz w:val="19"/>
              </w:rPr>
              <w:t xml:space="preserve">1393–1403</w:t>
            </w:r>
          </w:p>
        </w:tc>
        <w:tc>
          <w:tcPr/>
          <w:p>
            <w:pPr>
              <w:pStyle w:val="Compact"/>
            </w:pPr>
            <w:r>
              <w:rPr>
                <w:sz w:val="19"/>
              </w:rPr>
              <w:t xml:space="preserve">3,289</w:t>
            </w:r>
          </w:p>
        </w:tc>
      </w:tr>
      <w:tr>
        <w:tc>
          <w:tcPr/>
          <w:p>
            <w:pPr>
              <w:pStyle w:val="Compact"/>
            </w:pPr>
            <w:r>
              <w:rPr>
                <w:sz w:val="19"/>
              </w:rPr>
              <w:t xml:space="preserve">Investment-expectation model, Eq. (1)</w:t>
            </w:r>
          </w:p>
        </w:tc>
        <w:tc>
          <w:tcPr/>
          <w:p>
            <w:pPr>
              <w:pStyle w:val="Compact"/>
            </w:pPr>
            <w:r>
              <w:rPr>
                <w:sz w:val="19"/>
              </w:rPr>
              <w:t xml:space="preserve">Sales at t−2</w:t>
            </w:r>
          </w:p>
        </w:tc>
        <w:tc>
          <w:tcPr/>
          <w:p>
            <w:pPr>
              <w:pStyle w:val="Compact"/>
            </w:pPr>
            <w:r>
              <w:rPr>
                <w:sz w:val="19"/>
              </w:rPr>
              <w:t xml:space="preserve">1394–1403</w:t>
            </w:r>
          </w:p>
        </w:tc>
        <w:tc>
          <w:tcPr/>
          <w:p>
            <w:pPr>
              <w:pStyle w:val="Compact"/>
            </w:pPr>
            <w:r>
              <w:rPr>
                <w:sz w:val="19"/>
              </w:rPr>
              <w:t xml:space="preserve">2,990</w:t>
            </w:r>
          </w:p>
        </w:tc>
      </w:tr>
      <w:tr>
        <w:tc>
          <w:tcPr/>
          <w:p>
            <w:pPr>
              <w:pStyle w:val="Compact"/>
            </w:pPr>
            <w:r>
              <w:rPr>
                <w:sz w:val="19"/>
              </w:rPr>
              <w:t xml:space="preserve">Dynamic models, Eqs. (6)–(12)</w:t>
            </w:r>
          </w:p>
        </w:tc>
        <w:tc>
          <w:tcPr/>
          <w:p>
            <w:pPr>
              <w:pStyle w:val="Compact"/>
            </w:pPr>
            <w:r>
              <w:rPr>
                <w:sz w:val="19"/>
              </w:rPr>
              <w:t xml:space="preserve">InvEff at t−1</w:t>
            </w:r>
          </w:p>
        </w:tc>
        <w:tc>
          <w:tcPr/>
          <w:p>
            <w:pPr>
              <w:pStyle w:val="Compact"/>
            </w:pPr>
            <w:r>
              <w:rPr>
                <w:sz w:val="19"/>
              </w:rPr>
              <w:t xml:space="preserve">1395–1403</w:t>
            </w:r>
          </w:p>
        </w:tc>
        <w:tc>
          <w:tcPr/>
          <w:p>
            <w:pPr>
              <w:pStyle w:val="Compact"/>
            </w:pPr>
            <w:r>
              <w:rPr>
                <w:sz w:val="19"/>
              </w:rPr>
              <w:t xml:space="preserve">2,691</w:t>
            </w:r>
          </w:p>
        </w:tc>
      </w:tr>
    </w:tbl>
    <w:p>
      <w:pPr>
        <w:pStyle w:val="BodyText"/>
      </w:pPr>
      <w:r>
        <w:t xml:space="preserve">All continuous ratios are winsorized at the 1st and 99th percentiles of their pooled distributions after construction. Raw accounting levels are not winsorized, because doing so would distort the ratios built from them. The balanced-panel requirement may introduce survivorship bias toward stronger firms; Section 3.11 discusses this.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the net increase in tangible and intangible assets, (PPE + IA)</w:t>
      </w:r>
      <w:r>
        <w:rPr>
          <w:vertAlign w:val="subscript"/>
        </w:rPr>
        <w:t xml:space="preserve">t</w:t>
      </w:r>
      <w:r>
        <w:t xml:space="preserve"> </w:t>
      </w:r>
      <w:r>
        <w:t xml:space="preserve">− (PPE + IA)</w:t>
      </w:r>
      <w:r>
        <w:rPr>
          <w:vertAlign w:val="subscript"/>
        </w:rPr>
        <w:t xml:space="preserve">t−1</w:t>
      </w:r>
      <w:r>
        <w:t xml:space="preserve">, scaled by total assets at t−1. SalesGrowth is the annual percentage change in sales.</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 expectation models are used in the robustness tests (Section 3.11): the model of Chen, Hope, Li and Wang (2011), which allows investment to respond differently to sales declines, and a cash-based investment measure, −CFI scaled by lagged total assets, which is unaffected by asset revaluations.</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(size).</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excluding the firm itself (industry leverage norm).</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separately for each industry-year with at least 15 firms, which is three times the number of inputs and outputs (Cooper, Seiford &amp; Tone, 2007). Smaller industry-years are pooled within the industry across years, with monetary values deflated to 1392 prices with the consumer price index, because nominal values are not comparable across years under high inflation.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FirstParagraph"/>
      </w:pPr>
      <w:r>
        <w:t xml:space="preserve">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a dedicated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bookmarkStart w:id="15" w:name="X3083588f728d44c3e377ccffda16ca22702e55f"/>
    <w:p>
      <w:pPr>
        <w:pStyle w:val="Heading3"/>
      </w:pPr>
      <w:r>
        <w:t xml:space="preserve">3.7.1 Direct effects of capital structure deviation (H1a, H1b)</w:t>
      </w:r>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 Asymmetry is tested with a Wald test of β₁ + β₂ = 0. Both components enter one equation because they are complementary parts of the same deviation; estimating either alone would load the omitted component onto the intercept and bias the included coefficient.</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8</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and is not negligible with about nine effective years.</w:t>
      </w:r>
    </w:p>
    <w:p>
      <w:pPr>
        <w:pStyle w:val="Compact"/>
        <w:numPr>
          <w:ilvl w:val="0"/>
          <w:numId w:val="1004"/>
        </w:numPr>
      </w:pPr>
      <w:r>
        <w:rPr>
          <w:b/>
          <w:bCs/>
        </w:rPr>
        <w:t xml:space="preserve">Simultaneity.</w:t>
      </w:r>
      <w:r>
        <w:t xml:space="preserve"> </w:t>
      </w:r>
      <w:r>
        <w:t xml:space="preserve">Investment financed with new debt raises leverage in the same year, so CSD⁺ and CSD⁻ are jointly determined with InvEff. This mechanical link works against H1a and H1b.</w:t>
      </w:r>
    </w:p>
    <w:p>
      <w:pPr>
        <w:pStyle w:val="Compact"/>
        <w:numPr>
          <w:ilvl w:val="0"/>
          <w:numId w:val="1004"/>
        </w:numPr>
      </w:pPr>
      <w:r>
        <w:rPr>
          <w:b/>
          <w:bCs/>
        </w:rPr>
        <w:t xml:space="preserve">Unobserved heterogeneity and measurement error.</w:t>
      </w:r>
      <w:r>
        <w:t xml:space="preserve"> </w:t>
      </w:r>
      <w:r>
        <w:t xml:space="preserve">MA is constructed from same-year sales efficiency,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the first-differenced equation, which removes η</w:t>
      </w:r>
      <w:r>
        <w:rPr>
          <w:vertAlign w:val="subscript"/>
        </w:rPr>
        <w:t xml:space="preserve">i</w:t>
      </w:r>
      <w:r>
        <w:t xml:space="preserve"> </w:t>
      </w:r>
      <w:r>
        <w:t xml:space="preserve">and is instrumented with lagged levels, and the levels equation, instrumented with lagged first differences.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Differenced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CSD⁺, CSD⁻, MA</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LTA, MTB, PROFIT, FCF</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instrument matrix is collapsed and lag depth is restricted to two, so that the instrument count stays below the 299 cross-sectional units. Instrument proliferation overfits the endogenous regressors and weakens the Hansen test (Roodman, 2009a). The instrument count is reported for every model.</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Frontier per industry-year</w:t>
            </w:r>
          </w:p>
        </w:tc>
        <w:tc>
          <w:tcPr/>
          <w:p>
            <w:pPr>
              <w:pStyle w:val="Compact"/>
            </w:pPr>
            <w:r>
              <w:rPr>
                <w:sz w:val="19"/>
              </w:rPr>
              <w:t xml:space="preserve">Frontier per industry-year</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first-differencing removes them, so they enter only the levels equation. Industry × year dummies are not used because they would add more than a hundred instruments.</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299 and T ≈ 9, asymptotics run in N; Fisher-type panel unit-root tests on InvEff and CSDev are reported for completeness</w:t>
            </w:r>
          </w:p>
        </w:tc>
        <w:tc>
          <w:tcPr/>
          <w:p>
            <w:pPr>
              <w:pStyle w:val="Compact"/>
            </w:pPr>
            <w:r>
              <w:rPr>
                <w:sz w:val="19"/>
              </w:rPr>
              <w:t xml:space="preserve">—</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w:t>
            </w:r>
          </w:p>
        </w:tc>
        <w:tc>
          <w:tcPr/>
          <w:p>
            <w:pPr>
              <w:pStyle w:val="Compact"/>
            </w:pPr>
            <w:r>
              <w:rPr>
                <w:sz w:val="19"/>
              </w:rPr>
              <w:t xml:space="preserve">CSD⁺ and CSD⁻ measured at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Cash-based investment, −CFI / TA</w:t>
            </w:r>
            <w:r>
              <w:rPr>
                <w:sz w:val="19"/>
                <w:vertAlign w:val="subscript"/>
              </w:rPr>
              <w:t xml:space="preserve">t−1</w:t>
            </w:r>
            <w:r>
              <w:rPr>
                <w:sz w:val="19"/>
              </w:rPr>
              <w:t xml:space="preserve">, unaffected by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minimum frontier size 10, 15 (main), 20</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Lags 2–3 (main), 2–4,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Unbalanced panel that adds firms dropped by the continuity filter, to assess survivorship bias</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1,000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S1–S8</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p>
        </w:tc>
        <w:tc>
          <w:tcPr/>
          <w:p>
            <w:pPr>
              <w:pStyle w:val="Compact"/>
            </w:pPr>
            <w:r>
              <w:rPr>
                <w:sz w:val="19"/>
              </w:rPr>
              <w:t xml:space="preserve">PPE, IA,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w:t>
            </w:r>
          </w:p>
        </w:tc>
        <w:tc>
          <w:tcPr/>
          <w:p>
            <w:pPr>
              <w:pStyle w:val="Compact"/>
            </w:pPr>
            <w:r>
              <w:rPr>
                <w:sz w:val="19"/>
              </w:rPr>
              <w:t xml:space="preserve">TA</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1392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in the [n] counts in the sample-construction table in 3.1 from your screening records.</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firm-year counts in the effective-window table assume the panel stays balanced after lags; update them with the actual estimation N.</w:t>
      </w:r>
    </w:p>
    <w:p>
      <w:pPr>
        <w:pStyle w:val="Compact"/>
        <w:numPr>
          <w:ilvl w:val="0"/>
          <w:numId w:val="1008"/>
        </w:numPr>
      </w:pPr>
      <w:r>
        <w:t xml:space="preserve">Sales and total assets for 1391, if available, would extend InvEff to 1393 and the GMM sample to 1394.</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2026-10-01T06:22:34Z</dcterms:created>
  <dcterms:modified xsi:type="dcterms:W3CDTF">2026-10-01T06:22:34Z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