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bidi/>
        <w:spacing w:after="60" w:line="300"/>
        <w:jc w:val="center"/>
      </w:pPr>
      <w:r>
        <w:rPr>
          <w:rFonts w:ascii="B Nazanin" w:cs="B Nazanin" w:eastAsia="B Nazanin" w:hAnsi="B Nazanin"/>
          <w:b/>
          <w:bCs/>
          <w:color w:val="1F3864"/>
          <w:sz w:val="32"/>
          <w:szCs w:val="32"/>
          <w:rtl/>
        </w:rPr>
        <w:t xml:space="preserve">طرح‌های پژوهشی مشترک در حوزه مدیریت مالی، نقدینگی و سرمایه‌گذاری عمومی</w:t>
      </w:r>
    </w:p>
    <w:p>
      <w:pPr>
        <w:keepNext w:val="false"/>
        <w:bidi/>
        <w:spacing w:after="120" w:line="300"/>
        <w:jc w:val="center"/>
      </w:pPr>
      <w:r>
        <w:rPr>
          <w:rFonts w:ascii="B Nazanin" w:cs="B Nazanin" w:eastAsia="B Nazanin" w:hAnsi="B Nazanin"/>
          <w:sz w:val="23"/>
          <w:szCs w:val="23"/>
          <w:rtl/>
        </w:rPr>
        <w:t xml:space="preserve">با همکاری دکتر ........  |  دانشگاه ........  |  تاریخ: ........</w:t>
      </w:r>
    </w:p>
    <w:p>
      <w:pPr>
        <w:keepNext w:val="false"/>
        <w:bidi/>
        <w:spacing w:after="100" w:line="300"/>
      </w:pPr>
      <w:r>
        <w:rPr>
          <w:rFonts w:ascii="B Nazanin" w:cs="B Nazanin" w:eastAsia="B Nazanin" w:hAnsi="B Nazanin"/>
          <w:sz w:val="23"/>
          <w:szCs w:val="23"/>
          <w:rtl/>
        </w:rPr>
        <w:t xml:space="preserve">این سند نُه موضوع پژوهشی پیشنهادی را برای سه نهاد معرفی می‌کند: استانداری، شهرداری و بانک‌ها. برای هر موضوع، هدف، روش و داده، ضعف‌ها و ریسک‌ها و خروجی ذکر شده است. هیچ عدد آماری از نهادها در سند نیامده است؛ اندازه نمونه‌ها فرض‌های اولیه‌اند و باید با داده واقعی تأیید شوند.</w:t>
      </w:r>
    </w:p>
    <w:p>
      <w:pPr>
        <w:pStyle w:val="Heading1"/>
        <w:keepNext/>
        <w:pBdr>
          <w:bottom w:val="single" w:color="1F3864" w:sz="6" w:space="2"/>
        </w:pBdr>
        <w:bidi/>
        <w:spacing w:after="100" w:line="300"/>
      </w:pPr>
      <w:r>
        <w:rPr>
          <w:rFonts w:ascii="B Nazanin" w:cs="B Nazanin" w:eastAsia="B Nazanin" w:hAnsi="B Nazanin"/>
          <w:b/>
          <w:bCs/>
          <w:color w:val="1F3864"/>
          <w:sz w:val="28"/>
          <w:szCs w:val="28"/>
          <w:rtl/>
        </w:rPr>
        <w:t xml:space="preserve">مقدمه و ضرورت</w:t>
      </w:r>
    </w:p>
    <w:p>
      <w:pPr>
        <w:keepNext w:val="false"/>
        <w:bidi/>
        <w:spacing w:after="100" w:line="300"/>
      </w:pPr>
      <w:r>
        <w:rPr>
          <w:rFonts w:ascii="B Nazanin" w:cs="B Nazanin" w:eastAsia="B Nazanin" w:hAnsi="B Nazanin"/>
          <w:sz w:val="23"/>
          <w:szCs w:val="23"/>
          <w:rtl/>
        </w:rPr>
        <w:t xml:space="preserve">شهرداری‌ها در ایران همزمان با سه فشار روبه‌رو هستند: وابستگی به درآمدهای ناپایدار مانند عوارض ساخت‌وساز، انباشت بدهی به پیمانکاران و نهادهای بیمه‌ای، و نیاز به پروژه‌های عمرانی بزرگ. نتیجه، کسری نقدینگی مزمن، تأخیر در پرداخت و کندی پروژه‌هاست. استانداری برای هماهنگی و نظارت به شاخص‌های مقایسه‌پذیر نیاز دارد و بانک‌ها برای وام‌دهی به شهرداری‌ها به ابزار سنجش ریسک.</w:t>
      </w:r>
    </w:p>
    <w:p>
      <w:pPr>
        <w:keepNext w:val="false"/>
        <w:bidi/>
        <w:spacing w:after="100" w:line="300"/>
      </w:pPr>
      <w:r>
        <w:rPr>
          <w:rFonts w:ascii="B Nazanin" w:cs="B Nazanin" w:eastAsia="B Nazanin" w:hAnsi="B Nazanin"/>
          <w:sz w:val="23"/>
          <w:szCs w:val="23"/>
          <w:rtl/>
        </w:rPr>
        <w:t xml:space="preserve">پرسش محوری مجموعه طرح‌ها این است: چگونه می‌توان با داده‌های موجود، مدیریت نقدینگی و بدهی را بهبود داد و بخشی از بار پروژه‌ها را به بخش خصوصی و بازار سرمایه منتقل کرد، بدون آنکه ریسک مالی شهرداری از کنترل خارج شود؟</w:t>
      </w:r>
    </w:p>
    <w:p>
      <w:pPr>
        <w:pStyle w:val="Heading1"/>
        <w:keepNext/>
        <w:pBdr>
          <w:bottom w:val="single" w:color="1F3864" w:sz="6" w:space="2"/>
        </w:pBdr>
        <w:bidi/>
        <w:spacing w:after="100" w:line="300"/>
      </w:pPr>
      <w:r>
        <w:rPr>
          <w:rFonts w:ascii="B Nazanin" w:cs="B Nazanin" w:eastAsia="B Nazanin" w:hAnsi="B Nazanin"/>
          <w:b/>
          <w:bCs/>
          <w:color w:val="1F3864"/>
          <w:sz w:val="28"/>
          <w:szCs w:val="28"/>
          <w:rtl/>
        </w:rPr>
        <w:t xml:space="preserve">۱. طرح‌های مشترک با استانداری گیلان</w:t>
      </w:r>
    </w:p>
    <w:p>
      <w:pPr>
        <w:keepNext w:val="false"/>
        <w:bidi/>
        <w:spacing w:after="100" w:line="300"/>
      </w:pPr>
      <w:r>
        <w:rPr>
          <w:rFonts w:ascii="B Nazanin" w:cs="B Nazanin" w:eastAsia="B Nazanin" w:hAnsi="B Nazanin"/>
          <w:sz w:val="23"/>
          <w:szCs w:val="23"/>
          <w:rtl/>
        </w:rPr>
        <w:t xml:space="preserve">محور: هماهنگی مالی شهرداری‌های استان، شفافیت و عدالت در تخصیص منابع. مخاطب: معاونت هماهنگی امور عمرانی و دفتر امور شهری.</w:t>
      </w:r>
    </w:p>
    <w:tbl>
      <w:tblPr>
        <w:bidiVisual/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2800"/>
        <w:gridCol w:w="2006"/>
      </w:tblGrid>
      <w:tr>
        <w:trPr>
          <w:tblHeader/>
        </w:trPr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b/>
                <w:bCs/>
                <w:sz w:val="22"/>
                <w:szCs w:val="22"/>
                <w:rtl/>
              </w:rPr>
              <w:t xml:space="preserve">موضوع و هدف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b/>
                <w:bCs/>
                <w:sz w:val="22"/>
                <w:szCs w:val="22"/>
                <w:rtl/>
              </w:rPr>
              <w:t xml:space="preserve">روش‌ها و داده</w:t>
            </w:r>
          </w:p>
        </w:tc>
        <w:tc>
          <w:tcPr>
            <w:tcW w:type="dxa" w:w="2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b/>
                <w:bCs/>
                <w:sz w:val="22"/>
                <w:szCs w:val="22"/>
                <w:rtl/>
              </w:rPr>
              <w:t xml:space="preserve">ضعف‌ها و ریسک‌ها</w:t>
            </w:r>
          </w:p>
        </w:tc>
        <w:tc>
          <w:tcPr>
            <w:tcW w:type="dxa" w:w="20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b/>
                <w:bCs/>
                <w:sz w:val="22"/>
                <w:szCs w:val="22"/>
                <w:rtl/>
              </w:rPr>
              <w:t xml:space="preserve">خروجی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sz w:val="22"/>
                <w:szCs w:val="22"/>
                <w:rtl/>
              </w:rPr>
              <w:t xml:space="preserve">الف) رتبه‌بندی توان مالی و ریسک شهرداری‌های استان</w:t>
            </w:r>
          </w:p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sz w:val="22"/>
                <w:szCs w:val="22"/>
                <w:rtl/>
              </w:rPr>
              <w:t xml:space="preserve">هدف: شناسایی شهرداری‌های در معرض بحران نقدینگی یا بدهی.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sz w:val="22"/>
                <w:szCs w:val="22"/>
                <w:rtl/>
              </w:rPr>
              <w:t xml:space="preserve">داده: بودجه و عملکرد ۵ ساله، بدهی‌ها، جمعیت.</w:t>
            </w:r>
          </w:p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sz w:val="22"/>
                <w:szCs w:val="22"/>
                <w:rtl/>
              </w:rPr>
              <w:t xml:space="preserve">مدل: رگرسیون پنل با اثر ثابت، لاجیت مرتبه‌ای، تحلیل پوششی داده‌ها (DEA).</w:t>
            </w:r>
          </w:p>
        </w:tc>
        <w:tc>
          <w:tcPr>
            <w:tcW w:type="dxa" w:w="2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sz w:val="22"/>
                <w:szCs w:val="22"/>
                <w:rtl/>
              </w:rPr>
              <w:t xml:space="preserve">تعداد محدود شهرداری‌ها؛ ناهمگونی شیوه ثبت حسابداری؛ امکان تأخیر یا عدم ارائه داده.</w:t>
            </w:r>
          </w:p>
        </w:tc>
        <w:tc>
          <w:tcPr>
            <w:tcW w:type="dxa" w:w="20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sz w:val="22"/>
                <w:szCs w:val="22"/>
                <w:rtl/>
              </w:rPr>
              <w:t xml:space="preserve">جدول رتبه‌بندی و شاخص هشدار زودهنگام.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sz w:val="22"/>
                <w:szCs w:val="22"/>
                <w:rtl/>
              </w:rPr>
              <w:t xml:space="preserve">ب) عدالت و کارایی تخصیص کمک‌ها و سهم‌ها</w:t>
            </w:r>
          </w:p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sz w:val="22"/>
                <w:szCs w:val="22"/>
                <w:rtl/>
              </w:rPr>
              <w:t xml:space="preserve">هدف: سنجش تناسب منابع با نیاز و عملکرد.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sz w:val="22"/>
                <w:szCs w:val="22"/>
                <w:rtl/>
              </w:rPr>
              <w:t xml:space="preserve">مدل: مرز تصادفی (SFA)، رگرسیون پنل، شاخص جینی توزیع.</w:t>
            </w:r>
          </w:p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sz w:val="22"/>
                <w:szCs w:val="22"/>
                <w:rtl/>
              </w:rPr>
              <w:t xml:space="preserve">داده: تخصیص‌های سال‌های اخیر و شاخص‌های جمعیتی و زیرساختی.</w:t>
            </w:r>
          </w:p>
        </w:tc>
        <w:tc>
          <w:tcPr>
            <w:tcW w:type="dxa" w:w="2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sz w:val="22"/>
                <w:szCs w:val="22"/>
                <w:rtl/>
              </w:rPr>
              <w:t xml:space="preserve">حساسیت سیاسی نتایج؛ انتخاب معیار ارزشی عدالت بحث‌برانگیز است.</w:t>
            </w:r>
          </w:p>
        </w:tc>
        <w:tc>
          <w:tcPr>
            <w:tcW w:type="dxa" w:w="20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sz w:val="22"/>
                <w:szCs w:val="22"/>
                <w:rtl/>
              </w:rPr>
              <w:t xml:space="preserve">فرمول پیشنهادی تخصیص و گزارش سیاستی.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sz w:val="22"/>
                <w:szCs w:val="22"/>
                <w:rtl/>
              </w:rPr>
              <w:t xml:space="preserve">ج) ظرفیت‌سنجی سرمایه‌گذاری و مشارکت بخش خصوصی در شهرهای استان</w:t>
            </w:r>
          </w:p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sz w:val="22"/>
                <w:szCs w:val="22"/>
                <w:rtl/>
              </w:rPr>
              <w:t xml:space="preserve">هدف: فهرست پروژه‌های قابل مشارکت.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sz w:val="22"/>
                <w:szCs w:val="22"/>
                <w:rtl/>
              </w:rPr>
              <w:t xml:space="preserve">روش: پرسشنامه سرمایه‌گذاران، مدل لاجیت چندگانه، DCF و مونت‌کارلو.</w:t>
            </w:r>
          </w:p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sz w:val="22"/>
                <w:szCs w:val="22"/>
                <w:rtl/>
              </w:rPr>
              <w:t xml:space="preserve">داده: مصاحبه و پرسشنامه.</w:t>
            </w:r>
          </w:p>
        </w:tc>
        <w:tc>
          <w:tcPr>
            <w:tcW w:type="dxa" w:w="2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sz w:val="22"/>
                <w:szCs w:val="22"/>
                <w:rtl/>
              </w:rPr>
              <w:t xml:space="preserve">عدم قطعیت اقتصادی و تورم؛ نمونه سرمایه‌گذار محدود؛ ابهام قوانین.</w:t>
            </w:r>
          </w:p>
        </w:tc>
        <w:tc>
          <w:tcPr>
            <w:tcW w:type="dxa" w:w="20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sz w:val="22"/>
                <w:szCs w:val="22"/>
                <w:rtl/>
              </w:rPr>
              <w:t xml:space="preserve">اطلس فرصت‌های سرمایه‌گذاری استان.</w:t>
            </w:r>
          </w:p>
        </w:tc>
      </w:tr>
    </w:tbl>
    <w:p>
      <w:pPr>
        <w:keepNext w:val="false"/>
        <w:bidi/>
        <w:spacing w:after="60" w:line="300"/>
      </w:pPr>
      <w:r>
        <w:rPr>
          <w:rFonts w:ascii="B Nazanin" w:cs="B Nazanin" w:eastAsia="B Nazanin" w:hAnsi="B Nazanin"/>
          <w:sz w:val="22"/>
          <w:szCs w:val="22"/>
          <w:rtl/>
        </w:rPr>
        <w:t xml:space="preserve"/>
      </w:r>
    </w:p>
    <w:p>
      <w:pPr>
        <w:pStyle w:val="Heading1"/>
        <w:keepNext/>
        <w:pBdr>
          <w:bottom w:val="single" w:color="1F3864" w:sz="6" w:space="2"/>
        </w:pBdr>
        <w:bidi/>
        <w:spacing w:after="100" w:line="300"/>
      </w:pPr>
      <w:r>
        <w:rPr>
          <w:rFonts w:ascii="B Nazanin" w:cs="B Nazanin" w:eastAsia="B Nazanin" w:hAnsi="B Nazanin"/>
          <w:b/>
          <w:bCs/>
          <w:color w:val="1F3864"/>
          <w:sz w:val="28"/>
          <w:szCs w:val="28"/>
          <w:rtl/>
        </w:rPr>
        <w:t xml:space="preserve">۲. طرح‌های مشترک با شهرداری رشت</w:t>
      </w:r>
    </w:p>
    <w:p>
      <w:pPr>
        <w:keepNext w:val="false"/>
        <w:bidi/>
        <w:spacing w:after="100" w:line="300"/>
      </w:pPr>
      <w:r>
        <w:rPr>
          <w:rFonts w:ascii="B Nazanin" w:cs="B Nazanin" w:eastAsia="B Nazanin" w:hAnsi="B Nazanin"/>
          <w:sz w:val="23"/>
          <w:szCs w:val="23"/>
          <w:rtl/>
        </w:rPr>
        <w:t xml:space="preserve">محور: نقدینگی، بدهی، دارایی و مشارکت. مخاطب: معاونت مالی و اقتصادی و سازمان‌های وابسته.</w:t>
      </w:r>
    </w:p>
    <w:tbl>
      <w:tblPr>
        <w:bidiVisual/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2800"/>
        <w:gridCol w:w="2006"/>
      </w:tblGrid>
      <w:tr>
        <w:trPr>
          <w:tblHeader/>
        </w:trPr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b/>
                <w:bCs/>
                <w:sz w:val="22"/>
                <w:szCs w:val="22"/>
                <w:rtl/>
              </w:rPr>
              <w:t xml:space="preserve">موضوع و هدف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b/>
                <w:bCs/>
                <w:sz w:val="22"/>
                <w:szCs w:val="22"/>
                <w:rtl/>
              </w:rPr>
              <w:t xml:space="preserve">روش‌ها و داده</w:t>
            </w:r>
          </w:p>
        </w:tc>
        <w:tc>
          <w:tcPr>
            <w:tcW w:type="dxa" w:w="2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b/>
                <w:bCs/>
                <w:sz w:val="22"/>
                <w:szCs w:val="22"/>
                <w:rtl/>
              </w:rPr>
              <w:t xml:space="preserve">ضعف‌ها و ریسک‌ها</w:t>
            </w:r>
          </w:p>
        </w:tc>
        <w:tc>
          <w:tcPr>
            <w:tcW w:type="dxa" w:w="20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b/>
                <w:bCs/>
                <w:sz w:val="22"/>
                <w:szCs w:val="22"/>
                <w:rtl/>
              </w:rPr>
              <w:t xml:space="preserve">خروجی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sz w:val="22"/>
                <w:szCs w:val="22"/>
                <w:rtl/>
              </w:rPr>
              <w:t xml:space="preserve">الف) پیش‌بینی نقدینگی و سند راهبرد بدهی</w:t>
            </w:r>
          </w:p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sz w:val="22"/>
                <w:szCs w:val="22"/>
                <w:rtl/>
              </w:rPr>
              <w:t xml:space="preserve">هدف: پیش‌بینی ۱۲ ماهه نقدینگی و تعیین ترکیب تسویه بدهی.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sz w:val="22"/>
                <w:szCs w:val="22"/>
                <w:rtl/>
              </w:rPr>
              <w:t xml:space="preserve">مدل: SARIMA، ETS، ARIMAX، VAR، تابع واکنش مالی، تحلیل بقا (Cox)، بوت‌استرپ.</w:t>
            </w:r>
          </w:p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sz w:val="22"/>
                <w:szCs w:val="22"/>
                <w:rtl/>
              </w:rPr>
              <w:t xml:space="preserve">داده: سری ماهانه ۵ تا ۱۰ سال، ریز بدهی‌ها.</w:t>
            </w:r>
          </w:p>
        </w:tc>
        <w:tc>
          <w:tcPr>
            <w:tcW w:type="dxa" w:w="2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sz w:val="22"/>
                <w:szCs w:val="22"/>
                <w:rtl/>
              </w:rPr>
              <w:t xml:space="preserve">سری کوتاه؛ شکست ساختاری و تورم شدید؛ ریز بدهی ناقص ممکن است.</w:t>
            </w:r>
          </w:p>
        </w:tc>
        <w:tc>
          <w:tcPr>
            <w:tcW w:type="dxa" w:w="20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sz w:val="22"/>
                <w:szCs w:val="22"/>
                <w:rtl/>
              </w:rPr>
              <w:t xml:space="preserve">داشبورد نقدینگی و سند راهبرد بدهی.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sz w:val="22"/>
                <w:szCs w:val="22"/>
                <w:rtl/>
              </w:rPr>
              <w:t xml:space="preserve">ب) اثر تأخیر پرداخت به پیمانکاران بر هزینه و زمان پروژه‌ها</w:t>
            </w:r>
          </w:p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sz w:val="22"/>
                <w:szCs w:val="22"/>
                <w:rtl/>
              </w:rPr>
              <w:t xml:space="preserve">هدف: برآورد هزینه پنهان تأخیر.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sz w:val="22"/>
                <w:szCs w:val="22"/>
                <w:rtl/>
              </w:rPr>
              <w:t xml:space="preserve">مدل: پنل قراردادها، رگرسیون چندکی، متغیر ابزاری (IV)، Cox با متغیر زمانی.</w:t>
            </w:r>
          </w:p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sz w:val="22"/>
                <w:szCs w:val="22"/>
                <w:rtl/>
              </w:rPr>
              <w:t xml:space="preserve">داده: ۱۰۰ تا ۳۰۰ قرارداد و صورت‌وضعیت.</w:t>
            </w:r>
          </w:p>
        </w:tc>
        <w:tc>
          <w:tcPr>
            <w:tcW w:type="dxa" w:w="2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sz w:val="22"/>
                <w:szCs w:val="22"/>
                <w:rtl/>
              </w:rPr>
              <w:t xml:space="preserve">علیت قطعی دشوار است؛ بایگانی ناقص اسناد؛ درون‌زایی تأخیر.</w:t>
            </w:r>
          </w:p>
        </w:tc>
        <w:tc>
          <w:tcPr>
            <w:tcW w:type="dxa" w:w="20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sz w:val="22"/>
                <w:szCs w:val="22"/>
                <w:rtl/>
              </w:rPr>
              <w:t xml:space="preserve">سقف تأخیر مجاز و برآورد هزینه تأخیر.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sz w:val="22"/>
                <w:szCs w:val="22"/>
                <w:rtl/>
              </w:rPr>
              <w:t xml:space="preserve">ج) ارزش‌گذاری املاک مازاد و مدل‌های واگذاری یا مشارکت</w:t>
            </w:r>
          </w:p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sz w:val="22"/>
                <w:szCs w:val="22"/>
                <w:rtl/>
              </w:rPr>
              <w:t xml:space="preserve">هدف: رتبه‌بندی املاک و انتخاب راهبرد فروش، اجاره یا مشارکت.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sz w:val="22"/>
                <w:szCs w:val="22"/>
                <w:rtl/>
              </w:rPr>
              <w:t xml:space="preserve">مدل: هدونیک فضایی، GWR، فروش تکراری، NPV و مونت‌کارلو، VfM.</w:t>
            </w:r>
          </w:p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sz w:val="22"/>
                <w:szCs w:val="22"/>
                <w:rtl/>
              </w:rPr>
              <w:t xml:space="preserve">داده: معاملات ثبتی و فهرست املاک.</w:t>
            </w:r>
          </w:p>
        </w:tc>
        <w:tc>
          <w:tcPr>
            <w:tcW w:type="dxa" w:w="2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sz w:val="22"/>
                <w:szCs w:val="22"/>
                <w:rtl/>
              </w:rPr>
              <w:t xml:space="preserve">قیمت‌های ثبتی کمتر از بازار؛ محدودیت‌های کاربری و حقوقی؛ ریسک نوسان بازار.</w:t>
            </w:r>
          </w:p>
        </w:tc>
        <w:tc>
          <w:tcPr>
            <w:tcW w:type="dxa" w:w="20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sz w:val="22"/>
                <w:szCs w:val="22"/>
                <w:rtl/>
              </w:rPr>
              <w:t xml:space="preserve">جدول ارزش و راهبرد برای هر ملک.</w:t>
            </w:r>
          </w:p>
        </w:tc>
      </w:tr>
    </w:tbl>
    <w:p>
      <w:pPr>
        <w:keepNext w:val="false"/>
        <w:bidi/>
        <w:spacing w:after="60" w:line="300"/>
      </w:pPr>
      <w:r>
        <w:rPr>
          <w:rFonts w:ascii="B Nazanin" w:cs="B Nazanin" w:eastAsia="B Nazanin" w:hAnsi="B Nazanin"/>
          <w:sz w:val="22"/>
          <w:szCs w:val="22"/>
          <w:rtl/>
        </w:rPr>
        <w:t xml:space="preserve"/>
      </w:r>
    </w:p>
    <w:p>
      <w:pPr>
        <w:pStyle w:val="Heading1"/>
        <w:keepNext/>
        <w:pBdr>
          <w:bottom w:val="single" w:color="1F3864" w:sz="6" w:space="2"/>
        </w:pBdr>
        <w:bidi/>
        <w:spacing w:after="100" w:line="300"/>
      </w:pPr>
      <w:r>
        <w:rPr>
          <w:rFonts w:ascii="B Nazanin" w:cs="B Nazanin" w:eastAsia="B Nazanin" w:hAnsi="B Nazanin"/>
          <w:b/>
          <w:bCs/>
          <w:color w:val="1F3864"/>
          <w:sz w:val="28"/>
          <w:szCs w:val="28"/>
          <w:rtl/>
        </w:rPr>
        <w:t xml:space="preserve">۳. طرح‌های مشترک با بانک‌ها</w:t>
      </w:r>
    </w:p>
    <w:p>
      <w:pPr>
        <w:keepNext w:val="false"/>
        <w:bidi/>
        <w:spacing w:after="100" w:line="300"/>
      </w:pPr>
      <w:r>
        <w:rPr>
          <w:rFonts w:ascii="B Nazanin" w:cs="B Nazanin" w:eastAsia="B Nazanin" w:hAnsi="B Nazanin"/>
          <w:sz w:val="23"/>
          <w:szCs w:val="23"/>
          <w:rtl/>
        </w:rPr>
        <w:t xml:space="preserve">محور: تأمین مالی پروژه‌های شهری و مدیریت ریسک اعتباری. مخاطب: مدیریت اعتبارات و ریسک شعب منطقه.</w:t>
      </w:r>
    </w:p>
    <w:tbl>
      <w:tblPr>
        <w:bidiVisual/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2800"/>
        <w:gridCol w:w="2006"/>
      </w:tblGrid>
      <w:tr>
        <w:trPr>
          <w:tblHeader/>
        </w:trPr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b/>
                <w:bCs/>
                <w:sz w:val="22"/>
                <w:szCs w:val="22"/>
                <w:rtl/>
              </w:rPr>
              <w:t xml:space="preserve">موضوع و هدف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b/>
                <w:bCs/>
                <w:sz w:val="22"/>
                <w:szCs w:val="22"/>
                <w:rtl/>
              </w:rPr>
              <w:t xml:space="preserve">روش‌ها و داده</w:t>
            </w:r>
          </w:p>
        </w:tc>
        <w:tc>
          <w:tcPr>
            <w:tcW w:type="dxa" w:w="2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b/>
                <w:bCs/>
                <w:sz w:val="22"/>
                <w:szCs w:val="22"/>
                <w:rtl/>
              </w:rPr>
              <w:t xml:space="preserve">ضعف‌ها و ریسک‌ها</w:t>
            </w:r>
          </w:p>
        </w:tc>
        <w:tc>
          <w:tcPr>
            <w:tcW w:type="dxa" w:w="20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b/>
                <w:bCs/>
                <w:sz w:val="22"/>
                <w:szCs w:val="22"/>
                <w:rtl/>
              </w:rPr>
              <w:t xml:space="preserve">خروجی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sz w:val="22"/>
                <w:szCs w:val="22"/>
                <w:rtl/>
              </w:rPr>
              <w:t xml:space="preserve">الف) مدل امتیازدهی اعتباری شهرداری‌ها و سازمان‌های وابسته</w:t>
            </w:r>
          </w:p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sz w:val="22"/>
                <w:szCs w:val="22"/>
                <w:rtl/>
              </w:rPr>
              <w:t xml:space="preserve">هدف: سنجش احتمال نکول و تعیین سقف تسهیلات.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sz w:val="22"/>
                <w:szCs w:val="22"/>
                <w:rtl/>
              </w:rPr>
              <w:t xml:space="preserve">مدل: لاجیت و پروبیت، AUC، Hosmer-Lemeshow، جنگل تصادفی برای مقایسه.</w:t>
            </w:r>
          </w:p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sz w:val="22"/>
                <w:szCs w:val="22"/>
                <w:rtl/>
              </w:rPr>
              <w:t xml:space="preserve">داده: صورت‌های مالی چند شهرداری و سابقه بازپرداخت.</w:t>
            </w:r>
          </w:p>
        </w:tc>
        <w:tc>
          <w:tcPr>
            <w:tcW w:type="dxa" w:w="2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sz w:val="22"/>
                <w:szCs w:val="22"/>
                <w:rtl/>
              </w:rPr>
              <w:t xml:space="preserve">نکول‌های کم؛ داده محرمانه و پراکنده؛ سخت بودن تعمیم به همه شهرداری‌ها.</w:t>
            </w:r>
          </w:p>
        </w:tc>
        <w:tc>
          <w:tcPr>
            <w:tcW w:type="dxa" w:w="20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sz w:val="22"/>
                <w:szCs w:val="22"/>
                <w:rtl/>
              </w:rPr>
              <w:t xml:space="preserve">کارت امتیاز اعتباری و سیاست وثیقه.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sz w:val="22"/>
                <w:szCs w:val="22"/>
                <w:rtl/>
              </w:rPr>
              <w:t xml:space="preserve">ب) طراحی و قیمت‌گذاری اوراق مشارکت یا صکوک شهرداری</w:t>
            </w:r>
          </w:p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sz w:val="22"/>
                <w:szCs w:val="22"/>
                <w:rtl/>
              </w:rPr>
              <w:t xml:space="preserve">هدف: مقایسه هزینه مؤثر اوراق و وام بانکی.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sz w:val="22"/>
                <w:szCs w:val="22"/>
                <w:rtl/>
              </w:rPr>
              <w:t xml:space="preserve">مدل: منحنی بازده Nelson-Siegel، IRR مؤثر، رگرسیون سرریسک، شبیه‌سازی DSCR.</w:t>
            </w:r>
          </w:p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sz w:val="22"/>
                <w:szCs w:val="22"/>
                <w:rtl/>
              </w:rPr>
              <w:t xml:space="preserve">داده: نرخ اوراق مشابه و شرایط تسهیلات.</w:t>
            </w:r>
          </w:p>
        </w:tc>
        <w:tc>
          <w:tcPr>
            <w:tcW w:type="dxa" w:w="2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sz w:val="22"/>
                <w:szCs w:val="22"/>
                <w:rtl/>
              </w:rPr>
              <w:t xml:space="preserve">بازار کم‌عمق و دادهٔ کم؛ نیاز به مجوزهای قانونی (شورا و سازمان بورس)؛ نوسان نرخ سود.</w:t>
            </w:r>
          </w:p>
        </w:tc>
        <w:tc>
          <w:tcPr>
            <w:tcW w:type="dxa" w:w="20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sz w:val="22"/>
                <w:szCs w:val="22"/>
                <w:rtl/>
              </w:rPr>
              <w:t xml:space="preserve">گزارش امکان‌سنجی و ساختار پیشنهادی انتشار.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sz w:val="22"/>
                <w:szCs w:val="22"/>
                <w:rtl/>
              </w:rPr>
              <w:t xml:space="preserve">ج) تأمین مالی پروژه‌های مشارکتی شهری (PPP)</w:t>
            </w:r>
          </w:p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sz w:val="22"/>
                <w:szCs w:val="22"/>
                <w:rtl/>
              </w:rPr>
              <w:t xml:space="preserve">هدف: ساختار مالی بهینه پروژه (سهم آورده، وام، وثیقه).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sz w:val="22"/>
                <w:szCs w:val="22"/>
                <w:rtl/>
              </w:rPr>
              <w:t xml:space="preserve">مدل: DCF، DSCR، حساسیت، مونت‌کارلو، برآورد تقاضا با مدل شمارشی.</w:t>
            </w:r>
          </w:p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sz w:val="22"/>
                <w:szCs w:val="22"/>
                <w:rtl/>
              </w:rPr>
              <w:t xml:space="preserve">داده: هزینه ساخت، تقاضای پروژه، نرخ بهره.</w:t>
            </w:r>
          </w:p>
        </w:tc>
        <w:tc>
          <w:tcPr>
            <w:tcW w:type="dxa" w:w="2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sz w:val="22"/>
                <w:szCs w:val="22"/>
                <w:rtl/>
              </w:rPr>
              <w:t xml:space="preserve">خطای پیش‌بینی تقاضا مهم‌ترین منبع ریسک است؛ ابهام در تضمین‌های شهرداری.</w:t>
            </w:r>
          </w:p>
        </w:tc>
        <w:tc>
          <w:tcPr>
            <w:tcW w:type="dxa" w:w="20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  <w:bidi/>
              <w:spacing w:after="40" w:line="264"/>
            </w:pPr>
            <w:r>
              <w:rPr>
                <w:rFonts w:ascii="B Nazanin" w:cs="B Nazanin" w:eastAsia="B Nazanin" w:hAnsi="B Nazanin"/>
                <w:sz w:val="22"/>
                <w:szCs w:val="22"/>
                <w:rtl/>
              </w:rPr>
              <w:t xml:space="preserve">مدل مالی و بسته تسهیلات پیشنهادی.</w:t>
            </w:r>
          </w:p>
        </w:tc>
      </w:tr>
    </w:tbl>
    <w:p>
      <w:pPr>
        <w:keepNext w:val="false"/>
        <w:bidi/>
        <w:spacing w:after="60" w:line="300"/>
      </w:pPr>
      <w:r>
        <w:rPr>
          <w:rFonts w:ascii="B Nazanin" w:cs="B Nazanin" w:eastAsia="B Nazanin" w:hAnsi="B Nazanin"/>
          <w:sz w:val="22"/>
          <w:szCs w:val="22"/>
          <w:rtl/>
        </w:rPr>
        <w:t xml:space="preserve"/>
      </w:r>
    </w:p>
    <w:p>
      <w:pPr>
        <w:pStyle w:val="Heading1"/>
        <w:keepNext/>
        <w:pBdr>
          <w:bottom w:val="single" w:color="1F3864" w:sz="6" w:space="2"/>
        </w:pBdr>
        <w:bidi/>
        <w:spacing w:after="100" w:line="300"/>
      </w:pPr>
      <w:r>
        <w:rPr>
          <w:rFonts w:ascii="B Nazanin" w:cs="B Nazanin" w:eastAsia="B Nazanin" w:hAnsi="B Nazanin"/>
          <w:b/>
          <w:bCs/>
          <w:color w:val="1F3864"/>
          <w:sz w:val="28"/>
          <w:szCs w:val="28"/>
          <w:rtl/>
        </w:rPr>
        <w:t xml:space="preserve">۴. چارچوب روش‌شناسی مشترک</w:t>
      </w:r>
    </w:p>
    <w:p>
      <w:pPr>
        <w:keepNext w:val="false"/>
        <w:bidi/>
        <w:spacing w:after="100" w:line="300"/>
      </w:pPr>
      <w:r>
        <w:rPr>
          <w:rFonts w:ascii="B Nazanin" w:cs="B Nazanin" w:eastAsia="B Nazanin" w:hAnsi="B Nazanin"/>
          <w:sz w:val="23"/>
          <w:szCs w:val="23"/>
          <w:rtl/>
        </w:rPr>
        <w:t xml:space="preserve">همه نُه طرح یک مسیر اجرایی یکسان دارند تا نتایج قابل مقایسه و قابل بازتولید باشند:</w:t>
      </w:r>
    </w:p>
    <w:p>
      <w:pPr>
        <w:pStyle w:val="ListParagraph"/>
        <w:numPr>
          <w:ilvl w:val="0"/>
          <w:numId w:val="2"/>
        </w:numPr>
        <w:bidi/>
        <w:spacing w:after="40" w:line="264"/>
      </w:pPr>
      <w:r>
        <w:rPr>
          <w:rFonts w:ascii="B Nazanin" w:cs="B Nazanin" w:eastAsia="B Nazanin" w:hAnsi="B Nazanin"/>
          <w:sz w:val="24"/>
          <w:szCs w:val="24"/>
          <w:rtl/>
        </w:rPr>
        <w:t xml:space="preserve">جمع‌آوری: فهرست متغیرها، منبع و تاریخ دریافت هر داده در یک «فرهنگ داده» ثبت می‌شود و نسخه خام هرگز تغییر نمی‌کند.</w:t>
      </w:r>
    </w:p>
    <w:p>
      <w:pPr>
        <w:pStyle w:val="ListParagraph"/>
        <w:numPr>
          <w:ilvl w:val="0"/>
          <w:numId w:val="2"/>
        </w:numPr>
        <w:bidi/>
        <w:spacing w:after="40" w:line="264"/>
      </w:pPr>
      <w:r>
        <w:rPr>
          <w:rFonts w:ascii="B Nazanin" w:cs="B Nazanin" w:eastAsia="B Nazanin" w:hAnsi="B Nazanin"/>
          <w:sz w:val="24"/>
          <w:szCs w:val="24"/>
          <w:rtl/>
        </w:rPr>
        <w:t xml:space="preserve">آماده‌سازی: تبدیل تاریخ شمسی، تبدیل ارقام اسمی به قیمت ثابت با شاخص قیمت، شناسایی داده‌های پرت و تشخیص شکست ساختاری (Chow و Bai-Perron).</w:t>
      </w:r>
    </w:p>
    <w:p>
      <w:pPr>
        <w:pStyle w:val="ListParagraph"/>
        <w:numPr>
          <w:ilvl w:val="0"/>
          <w:numId w:val="2"/>
        </w:numPr>
        <w:bidi/>
        <w:spacing w:after="40" w:line="264"/>
      </w:pPr>
      <w:r>
        <w:rPr>
          <w:rFonts w:ascii="B Nazanin" w:cs="B Nazanin" w:eastAsia="B Nazanin" w:hAnsi="B Nazanin"/>
          <w:sz w:val="24"/>
          <w:szCs w:val="24"/>
          <w:rtl/>
        </w:rPr>
        <w:t xml:space="preserve">آزمون‌های تشخیصی: ایستایی (ADF و KPSS)، ناهمسانی واریانس (Breusch-Pagan)، خودهمبستگی (Ljung-Box)، هم‌خطی (VIF) و آزمون Hausman برای انتخاب اثر ثابت یا تصادفی.</w:t>
      </w:r>
    </w:p>
    <w:p>
      <w:pPr>
        <w:pStyle w:val="ListParagraph"/>
        <w:numPr>
          <w:ilvl w:val="0"/>
          <w:numId w:val="2"/>
        </w:numPr>
        <w:bidi/>
        <w:spacing w:after="40" w:line="264"/>
      </w:pPr>
      <w:r>
        <w:rPr>
          <w:rFonts w:ascii="B Nazanin" w:cs="B Nazanin" w:eastAsia="B Nazanin" w:hAnsi="B Nazanin"/>
          <w:sz w:val="24"/>
          <w:szCs w:val="24"/>
          <w:rtl/>
        </w:rPr>
        <w:t xml:space="preserve">اعتبارسنجی: آزمون بیرون از نمونه، مقایسه با مدل ساده پایه، بوت‌استرپ برای بازه اطمینان و تحلیل حساسیت.</w:t>
      </w:r>
    </w:p>
    <w:p>
      <w:pPr>
        <w:pStyle w:val="ListParagraph"/>
        <w:numPr>
          <w:ilvl w:val="0"/>
          <w:numId w:val="2"/>
        </w:numPr>
        <w:bidi/>
        <w:spacing w:after="40" w:line="264"/>
      </w:pPr>
      <w:r>
        <w:rPr>
          <w:rFonts w:ascii="B Nazanin" w:cs="B Nazanin" w:eastAsia="B Nazanin" w:hAnsi="B Nazanin"/>
          <w:sz w:val="24"/>
          <w:szCs w:val="24"/>
          <w:rtl/>
        </w:rPr>
        <w:t xml:space="preserve">گزارش: همه خروجی‌ها با فروض، محدودیت‌ها و بازه عدم قطعیت منتشر می‌شوند؛ ادعای علی فقط با طرح شبه‌آزمایشی معتبر.</w:t>
      </w:r>
    </w:p>
    <w:p>
      <w:pPr>
        <w:pStyle w:val="Heading1"/>
        <w:keepNext/>
        <w:pBdr>
          <w:bottom w:val="single" w:color="1F3864" w:sz="6" w:space="2"/>
        </w:pBdr>
        <w:bidi/>
        <w:spacing w:after="100" w:line="300"/>
      </w:pPr>
      <w:r>
        <w:rPr>
          <w:rFonts w:ascii="B Nazanin" w:cs="B Nazanin" w:eastAsia="B Nazanin" w:hAnsi="B Nazanin"/>
          <w:b/>
          <w:bCs/>
          <w:color w:val="1F3864"/>
          <w:sz w:val="28"/>
          <w:szCs w:val="28"/>
          <w:rtl/>
        </w:rPr>
        <w:t xml:space="preserve">۵. منابع داده و نحوه جمع‌آوری</w:t>
      </w:r>
    </w:p>
    <w:tbl>
      <w:tblPr>
        <w:bidiVisual/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3000"/>
        <w:gridCol w:w="1906"/>
      </w:tblGrid>
      <w:tr>
        <w:trPr>
          <w:cantSplit/>
          <w:tblHeader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/>
                <w:bCs/>
                <w:sz w:val="22"/>
                <w:szCs w:val="22"/>
                <w:rtl/>
              </w:rPr>
              <w:t xml:space="preserve">نهاد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/>
                <w:bCs/>
                <w:sz w:val="22"/>
                <w:szCs w:val="22"/>
                <w:rtl/>
              </w:rPr>
              <w:t xml:space="preserve">داده مورد نیاز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/>
                <w:bCs/>
                <w:sz w:val="22"/>
                <w:szCs w:val="22"/>
                <w:rtl/>
              </w:rPr>
              <w:t xml:space="preserve">نحوه جمع‌آوری</w:t>
            </w:r>
          </w:p>
        </w:tc>
        <w:tc>
          <w:tcPr>
            <w:tcW w:type="dxa" w:w="19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/>
                <w:bCs/>
                <w:sz w:val="22"/>
                <w:szCs w:val="22"/>
                <w:rtl/>
              </w:rPr>
              <w:t xml:space="preserve">اقدام لازم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استانداری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بودجه و عملکرد شهرداری‌ها، جمعیت، تخصیص‌ها و کمک‌های استانی.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درخواست رسمی از دفتر امور شهری و مرکز آمار؛ جمع‌آوری یکسان‌شده با فرم استاندارد.</w:t>
            </w:r>
          </w:p>
        </w:tc>
        <w:tc>
          <w:tcPr>
            <w:tcW w:type="dxa" w:w="19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نامه همکاری و تعریف فرم یکسان گزارش.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شهرداری رشت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سری ماهانه درآمد و هزینه، ریز بدهی‌ها، قراردادهای عمرانی، فهرست املاک و پرونده مؤدیان.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استخراج از سامانه مالی و حسابداری، آرشیو قراردادها و سامانه صدور پروانه و عوارض.</w:t>
            </w:r>
          </w:p>
        </w:tc>
        <w:tc>
          <w:tcPr>
            <w:tcW w:type="dxa" w:w="19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تعیین رابط داده و توافق‌نامه محرمانگی.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بانک‌ها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نرخ و شرایط تسهیلات، سابقه بازپرداخت، نرخ اوراق مشابه.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اطلاعات منتشرشده بازار سرمایه و بانک مرکزی؛ داده داخلی بانک با اجازه رسمی و ناشناس‌سازی.</w:t>
            </w:r>
          </w:p>
        </w:tc>
        <w:tc>
          <w:tcPr>
            <w:tcW w:type="dxa" w:w="19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مجوز دسترسی و ناشناس‌سازی داده مشتریان.</w:t>
            </w:r>
          </w:p>
        </w:tc>
      </w:tr>
    </w:tbl>
    <w:p>
      <w:pPr>
        <w:keepNext w:val="false"/>
        <w:bidi/>
        <w:spacing w:after="80" w:line="300"/>
      </w:pPr>
      <w:r>
        <w:rPr>
          <w:rFonts w:ascii="B Nazanin" w:cs="B Nazanin" w:eastAsia="B Nazanin" w:hAnsi="B Nazanin"/>
          <w:sz w:val="22"/>
          <w:szCs w:val="22"/>
          <w:rtl/>
        </w:rPr>
        <w:t xml:space="preserve"/>
      </w:r>
    </w:p>
    <w:p>
      <w:pPr>
        <w:pStyle w:val="Heading1"/>
        <w:keepNext/>
        <w:pBdr>
          <w:bottom w:val="single" w:color="1F3864" w:sz="6" w:space="2"/>
        </w:pBdr>
        <w:bidi/>
        <w:spacing w:after="100" w:line="300"/>
      </w:pPr>
      <w:r>
        <w:rPr>
          <w:rFonts w:ascii="B Nazanin" w:cs="B Nazanin" w:eastAsia="B Nazanin" w:hAnsi="B Nazanin"/>
          <w:b/>
          <w:bCs/>
          <w:color w:val="1F3864"/>
          <w:sz w:val="28"/>
          <w:szCs w:val="28"/>
          <w:rtl/>
        </w:rPr>
        <w:t xml:space="preserve">۶. اولویت‌بندی پیشنهادی طرح‌ها</w:t>
      </w:r>
    </w:p>
    <w:p>
      <w:pPr>
        <w:keepNext w:val="false"/>
        <w:bidi/>
        <w:spacing w:after="100" w:line="300"/>
      </w:pPr>
      <w:r>
        <w:rPr>
          <w:rFonts w:ascii="B Nazanin" w:cs="B Nazanin" w:eastAsia="B Nazanin" w:hAnsi="B Nazanin"/>
          <w:sz w:val="23"/>
          <w:szCs w:val="23"/>
          <w:rtl/>
        </w:rPr>
        <w:t xml:space="preserve">امتیازها قضاوت اولیه تیم پژوهشی‌اند و پس از بررسی داده‌های واقعی باید بازنگری شوند.</w:t>
      </w:r>
    </w:p>
    <w:tbl>
      <w:tblPr>
        <w:bidiVisual/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700"/>
        <w:gridCol w:w="2206"/>
      </w:tblGrid>
      <w:tr>
        <w:trPr>
          <w:cantSplit/>
          <w:tblHeader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/>
                <w:bCs/>
                <w:sz w:val="22"/>
                <w:szCs w:val="22"/>
                <w:rtl/>
              </w:rPr>
              <w:t xml:space="preserve">طرح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/>
                <w:bCs/>
                <w:sz w:val="22"/>
                <w:szCs w:val="22"/>
                <w:rtl/>
              </w:rPr>
              <w:t xml:space="preserve">شدنی‌بودن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/>
                <w:bCs/>
                <w:sz w:val="22"/>
                <w:szCs w:val="22"/>
                <w:rtl/>
              </w:rPr>
              <w:t xml:space="preserve">اثر سیاستی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/>
                <w:bCs/>
                <w:sz w:val="22"/>
                <w:szCs w:val="22"/>
                <w:rtl/>
              </w:rPr>
              <w:t xml:space="preserve">ریسک داده</w:t>
            </w:r>
          </w:p>
        </w:tc>
        <w:tc>
          <w:tcPr>
            <w:tcW w:type="dxa" w:w="2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/>
                <w:bCs/>
                <w:sz w:val="22"/>
                <w:szCs w:val="22"/>
                <w:rtl/>
              </w:rPr>
              <w:t xml:space="preserve">پیشنهاد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استانداری: رتبه‌بندی توان مالی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متوسط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بالا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متوسط</w:t>
            </w:r>
          </w:p>
        </w:tc>
        <w:tc>
          <w:tcPr>
            <w:tcW w:type="dxa" w:w="2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اولویت اول استانداری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استانداری: عدالت تخصیص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متوسط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بالا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بالا</w:t>
            </w:r>
          </w:p>
        </w:tc>
        <w:tc>
          <w:tcPr>
            <w:tcW w:type="dxa" w:w="2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پس از طرح الف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استانداری: ظرفیت سرمایه‌گذاری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بالا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متوسط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کم</w:t>
            </w:r>
          </w:p>
        </w:tc>
        <w:tc>
          <w:tcPr>
            <w:tcW w:type="dxa" w:w="2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قابل اجرا همزمان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شهرداری: نقدینگی و بدهی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بالا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بالا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کم</w:t>
            </w:r>
          </w:p>
        </w:tc>
        <w:tc>
          <w:tcPr>
            <w:tcW w:type="dxa" w:w="2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هسته اصلی؛ شروع فوری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شهرداری: تأخیر پرداخت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بالا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بالا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متوسط</w:t>
            </w:r>
          </w:p>
        </w:tc>
        <w:tc>
          <w:tcPr>
            <w:tcW w:type="dxa" w:w="2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همراه طرح نقدینگی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شهرداری: املاک و واگذاری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متوسط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بالا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متوسط</w:t>
            </w:r>
          </w:p>
        </w:tc>
        <w:tc>
          <w:tcPr>
            <w:tcW w:type="dxa" w:w="2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فاز دوم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بانک: امتیازدهی اعتباری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پایین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بالا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بالا</w:t>
            </w:r>
          </w:p>
        </w:tc>
        <w:tc>
          <w:tcPr>
            <w:tcW w:type="dxa" w:w="2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نیازمند داده چند شهرداری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بانک: اوراق و صکوک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متوسط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بالا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متوسط</w:t>
            </w:r>
          </w:p>
        </w:tc>
        <w:tc>
          <w:tcPr>
            <w:tcW w:type="dxa" w:w="2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پس از طرح نقدینگی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بانک: تأمین مالی PPP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متوسط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متوسط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متوسط</w:t>
            </w:r>
          </w:p>
        </w:tc>
        <w:tc>
          <w:tcPr>
            <w:tcW w:type="dxa" w:w="2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bidi/>
              <w:spacing w:after="20" w:line="300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روی یک پروژه نمونه</w:t>
            </w:r>
          </w:p>
        </w:tc>
      </w:tr>
    </w:tbl>
    <w:p>
      <w:pPr>
        <w:keepNext w:val="false"/>
        <w:bidi/>
        <w:spacing w:after="80" w:line="300"/>
      </w:pPr>
      <w:r>
        <w:rPr>
          <w:rFonts w:ascii="B Nazanin" w:cs="B Nazanin" w:eastAsia="B Nazanin" w:hAnsi="B Nazanin"/>
          <w:sz w:val="22"/>
          <w:szCs w:val="22"/>
          <w:rtl/>
        </w:rPr>
        <w:t xml:space="preserve"/>
      </w:r>
    </w:p>
    <w:p>
      <w:pPr>
        <w:pStyle w:val="Heading1"/>
        <w:keepNext/>
        <w:pBdr>
          <w:bottom w:val="single" w:color="1F3864" w:sz="6" w:space="2"/>
        </w:pBdr>
        <w:bidi/>
        <w:spacing w:after="100" w:line="300"/>
      </w:pPr>
      <w:r>
        <w:rPr>
          <w:rFonts w:ascii="B Nazanin" w:cs="B Nazanin" w:eastAsia="B Nazanin" w:hAnsi="B Nazanin"/>
          <w:b/>
          <w:bCs/>
          <w:color w:val="1F3864"/>
          <w:sz w:val="28"/>
          <w:szCs w:val="28"/>
          <w:rtl/>
        </w:rPr>
        <w:t xml:space="preserve">۷. ضعف‌ها و ریسک‌های مشترک</w:t>
      </w:r>
    </w:p>
    <w:p>
      <w:pPr>
        <w:pStyle w:val="ListParagraph"/>
        <w:numPr>
          <w:ilvl w:val="0"/>
          <w:numId w:val="2"/>
        </w:numPr>
        <w:bidi/>
        <w:spacing w:after="40" w:line="264"/>
      </w:pPr>
      <w:r>
        <w:rPr>
          <w:rFonts w:ascii="B Nazanin" w:cs="B Nazanin" w:eastAsia="B Nazanin" w:hAnsi="B Nazanin"/>
          <w:sz w:val="24"/>
          <w:szCs w:val="24"/>
          <w:rtl/>
        </w:rPr>
        <w:t xml:space="preserve">دسترسی به داده: بیشتر طرح‌ها به داده داخلی نهادها وابسته‌اند؛ توافق‌نامه محرمانگی و فهرست داده باید پیش از شروع نهایی شود.</w:t>
      </w:r>
    </w:p>
    <w:p>
      <w:pPr>
        <w:pStyle w:val="ListParagraph"/>
        <w:numPr>
          <w:ilvl w:val="0"/>
          <w:numId w:val="2"/>
        </w:numPr>
        <w:bidi/>
        <w:spacing w:after="40" w:line="264"/>
      </w:pPr>
      <w:r>
        <w:rPr>
          <w:rFonts w:ascii="B Nazanin" w:cs="B Nazanin" w:eastAsia="B Nazanin" w:hAnsi="B Nazanin"/>
          <w:sz w:val="24"/>
          <w:szCs w:val="24"/>
          <w:rtl/>
        </w:rPr>
        <w:t xml:space="preserve">نمونه کوچک و شکست ساختاری: سری‌های مالی کوتاه و تحت‌تأثیر تورم‌اند؛ نتایج باید با بازه اطمینان و آزمون پایداری گزارش شوند.</w:t>
      </w:r>
    </w:p>
    <w:p>
      <w:pPr>
        <w:pStyle w:val="ListParagraph"/>
        <w:numPr>
          <w:ilvl w:val="0"/>
          <w:numId w:val="2"/>
        </w:numPr>
        <w:bidi/>
        <w:spacing w:after="40" w:line="264"/>
      </w:pPr>
      <w:r>
        <w:rPr>
          <w:rFonts w:ascii="B Nazanin" w:cs="B Nazanin" w:eastAsia="B Nazanin" w:hAnsi="B Nazanin"/>
          <w:sz w:val="24"/>
          <w:szCs w:val="24"/>
          <w:rtl/>
        </w:rPr>
        <w:t xml:space="preserve">مجوزهای قانونی: انتشار اوراق، واگذاری دارایی و مشارکت نیازمند تأیید شورای شهر و مراجع ذی‌ربط‌اند و ممکن است زمان‌بر باشند.</w:t>
      </w:r>
    </w:p>
    <w:p>
      <w:pPr>
        <w:pStyle w:val="ListParagraph"/>
        <w:numPr>
          <w:ilvl w:val="0"/>
          <w:numId w:val="2"/>
        </w:numPr>
        <w:bidi/>
        <w:spacing w:after="40" w:line="264"/>
      </w:pPr>
      <w:r>
        <w:rPr>
          <w:rFonts w:ascii="B Nazanin" w:cs="B Nazanin" w:eastAsia="B Nazanin" w:hAnsi="B Nazanin"/>
          <w:sz w:val="24"/>
          <w:szCs w:val="24"/>
          <w:rtl/>
        </w:rPr>
        <w:t xml:space="preserve">ملاحظات اخلاقی و مالکیت: داده‌های مالی حساس باید ناشناس شوند، مالکیت داده نزد نهاد بماند و انتشار نتایج با هماهنگی نهاد باشد.</w:t>
      </w:r>
    </w:p>
    <w:p>
      <w:pPr>
        <w:pStyle w:val="ListParagraph"/>
        <w:numPr>
          <w:ilvl w:val="0"/>
          <w:numId w:val="2"/>
        </w:numPr>
        <w:bidi/>
        <w:spacing w:after="40" w:line="264"/>
      </w:pPr>
      <w:r>
        <w:rPr>
          <w:rFonts w:ascii="B Nazanin" w:cs="B Nazanin" w:eastAsia="B Nazanin" w:hAnsi="B Nazanin"/>
          <w:sz w:val="24"/>
          <w:szCs w:val="24"/>
          <w:rtl/>
        </w:rPr>
        <w:t xml:space="preserve">علیت: در موضوع‌های مبتنی بر مشاهده، ادعاها را در حد «همبستگی شرطی» نگه دارید مگر ابزار معتبر وجود داشته باشد.</w:t>
      </w:r>
    </w:p>
    <w:p>
      <w:pPr>
        <w:pStyle w:val="Heading1"/>
        <w:keepNext/>
        <w:pBdr>
          <w:bottom w:val="single" w:color="1F3864" w:sz="6" w:space="2"/>
        </w:pBdr>
        <w:bidi/>
        <w:spacing w:after="100" w:line="300"/>
      </w:pPr>
      <w:r>
        <w:rPr>
          <w:rFonts w:ascii="B Nazanin" w:cs="B Nazanin" w:eastAsia="B Nazanin" w:hAnsi="B Nazanin"/>
          <w:b/>
          <w:bCs/>
          <w:color w:val="1F3864"/>
          <w:sz w:val="28"/>
          <w:szCs w:val="28"/>
          <w:rtl/>
        </w:rPr>
        <w:t xml:space="preserve">۸. گام‌های بعدی و زمان‌بندی پیشنهادی</w:t>
      </w:r>
    </w:p>
    <w:p>
      <w:pPr>
        <w:pStyle w:val="ListParagraph"/>
        <w:numPr>
          <w:ilvl w:val="0"/>
          <w:numId w:val="2"/>
        </w:numPr>
        <w:bidi/>
        <w:spacing w:after="40" w:line="264"/>
      </w:pPr>
      <w:r>
        <w:rPr>
          <w:rFonts w:ascii="B Nazanin" w:cs="B Nazanin" w:eastAsia="B Nazanin" w:hAnsi="B Nazanin"/>
          <w:sz w:val="24"/>
          <w:szCs w:val="24"/>
          <w:rtl/>
        </w:rPr>
        <w:t xml:space="preserve">ماه ۱ و ۲: انتخاب یک موضوع از هر نهاد (مجموعاً ۳ طرح)، تعیین تیم و بودجه، امضای توافق‌نامه همکاری و محرمانگی.</w:t>
      </w:r>
    </w:p>
    <w:p>
      <w:pPr>
        <w:pStyle w:val="ListParagraph"/>
        <w:numPr>
          <w:ilvl w:val="0"/>
          <w:numId w:val="2"/>
        </w:numPr>
        <w:bidi/>
        <w:spacing w:after="40" w:line="264"/>
      </w:pPr>
      <w:r>
        <w:rPr>
          <w:rFonts w:ascii="B Nazanin" w:cs="B Nazanin" w:eastAsia="B Nazanin" w:hAnsi="B Nazanin"/>
          <w:sz w:val="24"/>
          <w:szCs w:val="24"/>
          <w:rtl/>
        </w:rPr>
        <w:t xml:space="preserve">ماه ۳ و ۴: جمع‌آوری و پاک‌سازی داده، آزمون‌های اولیه ایستایی و کیفیت داده.</w:t>
      </w:r>
    </w:p>
    <w:p>
      <w:pPr>
        <w:pStyle w:val="ListParagraph"/>
        <w:numPr>
          <w:ilvl w:val="0"/>
          <w:numId w:val="2"/>
        </w:numPr>
        <w:bidi/>
        <w:spacing w:after="40" w:line="264"/>
      </w:pPr>
      <w:r>
        <w:rPr>
          <w:rFonts w:ascii="B Nazanin" w:cs="B Nazanin" w:eastAsia="B Nazanin" w:hAnsi="B Nazanin"/>
          <w:sz w:val="24"/>
          <w:szCs w:val="24"/>
          <w:rtl/>
        </w:rPr>
        <w:t xml:space="preserve">ماه ۵ تا ۷: برآورد مدل‌ها، آزمون‌های تشخیصی و اعتبارسنجی بیرون از نمونه.</w:t>
      </w:r>
    </w:p>
    <w:p>
      <w:pPr>
        <w:pStyle w:val="ListParagraph"/>
        <w:numPr>
          <w:ilvl w:val="0"/>
          <w:numId w:val="2"/>
        </w:numPr>
        <w:bidi/>
        <w:spacing w:after="40" w:line="264"/>
      </w:pPr>
      <w:r>
        <w:rPr>
          <w:rFonts w:ascii="B Nazanin" w:cs="B Nazanin" w:eastAsia="B Nazanin" w:hAnsi="B Nazanin"/>
          <w:sz w:val="24"/>
          <w:szCs w:val="24"/>
          <w:rtl/>
        </w:rPr>
        <w:t xml:space="preserve">ماه ۸ و ۹: تدوین گزارش سیاستی، ارائه به نهاد و اصلاح بر اساس بازخورد.</w:t>
      </w:r>
    </w:p>
    <w:p>
      <w:pPr>
        <w:pStyle w:val="ListParagraph"/>
        <w:numPr>
          <w:ilvl w:val="0"/>
          <w:numId w:val="2"/>
        </w:numPr>
        <w:bidi/>
        <w:spacing w:after="40" w:line="264"/>
      </w:pPr>
      <w:r>
        <w:rPr>
          <w:rFonts w:ascii="B Nazanin" w:cs="B Nazanin" w:eastAsia="B Nazanin" w:hAnsi="B Nazanin"/>
          <w:sz w:val="24"/>
          <w:szCs w:val="24"/>
          <w:rtl/>
        </w:rPr>
        <w:t xml:space="preserve">پیش از ماه ۳: نامه درخواست داده و مطالعه آزمایشی روی داده یک سال برای بررسی امکان‌پذیری.</w:t>
      </w:r>
    </w:p>
    <w:sectPr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B Nazanin" w:cs="B Nazanin" w:eastAsia="B Nazanin" w:hAnsi="B Nazani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 Nazanin" w:cs="B Nazanin" w:eastAsia="B Nazanin" w:hAnsi="B Nazani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B Nazanin" w:cs="B Nazanin" w:eastAsia="B Nazanin" w:hAnsi="B Nazani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طرح‌های پژوهشی مشترک</dc:title>
  <dc:creator>Research team</dc:creator>
  <cp:lastModifiedBy>Un-named</cp:lastModifiedBy>
  <cp:revision>1</cp:revision>
  <dcterms:created xsi:type="dcterms:W3CDTF">2026-10-15T17:46:01.042Z</dcterms:created>
  <dcterms:modified xsi:type="dcterms:W3CDTF">2026-10-15T17:46:01.042Z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