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p>
      <w:pPr>
        <w:spacing w:after="80"/>
        <w:jc w:val="center"/>
      </w:pPr>
      <w:r>
        <w:rPr>
          <w:rFonts w:ascii="Arial" w:cs="Arial" w:eastAsia="Arial" w:hAnsi="Arial"/>
          <w:b/>
          <w:bCs/>
          <w:color w:val="007A4D"/>
          <w:sz w:val="36"/>
          <w:szCs w:val="36"/>
        </w:rPr>
        <w:t xml:space="preserve">ENCG SETTAT</w:t>
      </w:r>
    </w:p>
    <w:p>
      <w:pPr>
        <w:spacing w:after="20"/>
        <w:jc w:val="center"/>
      </w:pPr>
      <w:r>
        <w:rPr>
          <w:rFonts w:ascii="Arial" w:cs="Arial" w:eastAsia="Arial" w:hAnsi="Arial"/>
          <w:color w:val="666666"/>
          <w:sz w:val="22"/>
          <w:szCs w:val="22"/>
        </w:rPr>
        <w:t xml:space="preserve">École Nationale de Commerce et de Gestion</w:t>
      </w:r>
    </w:p>
    <w:p>
      <w:pPr>
        <w:spacing w:after="300"/>
        <w:jc w:val="center"/>
      </w:pPr>
      <w:r>
        <w:rPr>
          <w:rFonts w:ascii="Arial" w:cs="Arial" w:eastAsia="Arial" w:hAnsi="Arial"/>
          <w:color w:val="666666"/>
          <w:sz w:val="22"/>
          <w:szCs w:val="22"/>
        </w:rPr>
        <w:t xml:space="preserve">Filière : Commerce International</w:t>
      </w:r>
    </w:p>
    <w:p>
      <w:pPr>
        <w:pBdr>
          <w:bottom w:val="single" w:color="C8A400" w:sz="12" w:space="1"/>
        </w:pBdr>
        <w:spacing w:after="200"/>
      </w:pPr>
    </w:p>
    <w:p>
      <w:pPr>
        <w:spacing w:before="0" w:after="400"/>
      </w:pPr>
    </w:p>
    <w:p>
      <w:pPr>
        <w:spacing w:after="160"/>
        <w:jc w:val="center"/>
      </w:pPr>
      <w:r>
        <w:rPr>
          <w:rFonts w:ascii="Arial" w:cs="Arial" w:eastAsia="Arial" w:hAnsi="Arial"/>
          <w:b/>
          <w:bCs/>
          <w:color w:val="007A4D"/>
          <w:sz w:val="48"/>
          <w:szCs w:val="48"/>
        </w:rPr>
        <w:t xml:space="preserve">COMPTE RENDU DE PROJET IA</w:t>
      </w:r>
    </w:p>
    <w:p>
      <w:pPr>
        <w:spacing w:after="60"/>
        <w:jc w:val="center"/>
      </w:pPr>
      <w:r>
        <w:rPr>
          <w:rFonts w:ascii="Arial" w:cs="Arial" w:eastAsia="Arial" w:hAnsi="Arial"/>
          <w:b/>
          <w:bCs/>
          <w:color w:val="C8A400"/>
          <w:sz w:val="36"/>
          <w:szCs w:val="36"/>
        </w:rPr>
        <w:t xml:space="preserve">Positionnement Stratégique de l'OCP SA</w:t>
      </w:r>
    </w:p>
    <w:p>
      <w:pPr>
        <w:spacing w:after="300"/>
        <w:jc w:val="center"/>
      </w:pPr>
      <w:r>
        <w:rPr>
          <w:rFonts w:ascii="Arial" w:cs="Arial" w:eastAsia="Arial" w:hAnsi="Arial"/>
          <w:color w:val="555555"/>
          <w:sz w:val="26"/>
          <w:szCs w:val="26"/>
        </w:rPr>
        <w:t xml:space="preserve">Prédiction par Régression Machine Learning</w:t>
      </w:r>
    </w:p>
    <w:p>
      <w:pPr>
        <w:pBdr>
          <w:bottom w:val="single" w:color="C8A400" w:sz="12" w:space="1"/>
        </w:pBdr>
        <w:spacing w:after="200"/>
      </w:pPr>
    </w:p>
    <w:p>
      <w:pPr>
        <w:spacing w:before="0" w:after="4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007A4D"/>
                <w:sz w:val="22"/>
                <w:szCs w:val="22"/>
              </w:rPr>
              <w:t xml:space="preserve">Étudiante :</w:t>
            </w:r>
          </w:p>
        </w:tc>
        <w:tc>
          <w:tcPr>
            <w:tcW w:type="dxa" w:w="6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Sara Benzeggoud</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007A4D"/>
                <w:sz w:val="22"/>
                <w:szCs w:val="22"/>
              </w:rPr>
              <w:t xml:space="preserve">Filière :</w:t>
            </w:r>
          </w:p>
        </w:tc>
        <w:tc>
          <w:tcPr>
            <w:tcW w:type="dxa" w:w="6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Commerce International</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007A4D"/>
                <w:sz w:val="22"/>
                <w:szCs w:val="22"/>
              </w:rPr>
              <w:t xml:space="preserve">École :</w:t>
            </w:r>
          </w:p>
        </w:tc>
        <w:tc>
          <w:tcPr>
            <w:tcW w:type="dxa" w:w="6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ENCG Settat</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007A4D"/>
                <w:sz w:val="22"/>
                <w:szCs w:val="22"/>
              </w:rPr>
              <w:t xml:space="preserve">Année académique :</w:t>
            </w:r>
          </w:p>
        </w:tc>
        <w:tc>
          <w:tcPr>
            <w:tcW w:type="dxa" w:w="6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2"/>
                <w:szCs w:val="22"/>
              </w:rPr>
              <w:t xml:space="preserve">2025 – 2026</w:t>
            </w:r>
          </w:p>
        </w:tc>
      </w:tr>
    </w:tbl>
    <w:p>
      <w:pPr>
        <w:spacing w:before="0" w:after="800"/>
      </w:pPr>
    </w:p>
    <w:p>
      <w:r>
        <w:br/>
        <w:t xml:space="preserve"/>
      </w:r>
    </w:p>
    <w:p>
      <w:r>
        <w:br w:type="page"/>
      </w:r>
    </w:p>
    <w:p>
      <w:pPr>
        <w:pStyle w:val="Heading1"/>
        <w:pBdr>
          <w:bottom w:val="single" w:color="007A4D" w:sz="8" w:space="4"/>
        </w:pBdr>
        <w:spacing w:before="400" w:after="160"/>
      </w:pPr>
      <w:r>
        <w:rPr>
          <w:rFonts w:ascii="Arial" w:cs="Arial" w:eastAsia="Arial" w:hAnsi="Arial"/>
          <w:b/>
          <w:bCs/>
          <w:color w:val="007A4D"/>
          <w:sz w:val="28"/>
          <w:szCs w:val="28"/>
        </w:rPr>
        <w:t xml:space="preserve">I. INTRODUCTION</w:t>
      </w:r>
    </w:p>
    <w:p>
      <w:pPr>
        <w:pStyle w:val="Heading2"/>
        <w:spacing w:before="280" w:after="120"/>
      </w:pPr>
      <w:r>
        <w:rPr>
          <w:rFonts w:ascii="Arial" w:cs="Arial" w:eastAsia="Arial" w:hAnsi="Arial"/>
          <w:b/>
          <w:bCs/>
          <w:color w:val="C8A400"/>
          <w:sz w:val="24"/>
          <w:szCs w:val="24"/>
        </w:rPr>
        <w:t xml:space="preserve">I.1 Contexte et problématique</w:t>
      </w:r>
    </w:p>
    <w:p>
      <w:pPr>
        <w:spacing w:before="60" w:after="80"/>
        <w:jc w:val="both"/>
      </w:pPr>
      <w:r>
        <w:rPr>
          <w:rFonts w:ascii="Arial" w:cs="Arial" w:eastAsia="Arial" w:hAnsi="Arial"/>
          <w:color w:val="1A1A1A"/>
          <w:sz w:val="22"/>
          <w:szCs w:val="22"/>
        </w:rPr>
        <w:t xml:space="preserve">Le Groupe OCP (Office Chérifien des Phosphates), acteur mondial majeur dans la production et l'exportation de phosphates et dérivés, opère dans un environnement de marché particulièrement volatil. Les prix des engrais phosphatés sont soumis à des fluctuations importantes liées aux dynamiques de l'offre et de la demande mondiales, aux tensions géopolitiques et aux cycles agricoles internationaux.</w:t>
      </w:r>
    </w:p>
    <w:p>
      <w:pPr>
        <w:spacing w:before="60" w:after="80"/>
        <w:jc w:val="both"/>
      </w:pPr>
      <w:r>
        <w:rPr>
          <w:rFonts w:ascii="Arial" w:cs="Arial" w:eastAsia="Arial" w:hAnsi="Arial"/>
          <w:color w:val="1A1A1A"/>
          <w:sz w:val="22"/>
          <w:szCs w:val="22"/>
        </w:rPr>
        <w:t xml:space="preserve">Dans ce contexte, la question du positionnement stratégique de l'OCP SA sur les marchés internationaux revêt une importance capitale. Anticiper l'évolution des indicateurs clés de performance — notamment le chiffre d'affaires à l'export, les volumes vendus par région et les marges opérationnelles — constitue un enjeu décisionnel majeur.</w:t>
      </w:r>
    </w:p>
    <w:p>
      <w:pPr>
        <w:spacing w:before="60" w:after="80"/>
        <w:jc w:val="both"/>
      </w:pPr>
      <w:r>
        <w:rPr>
          <w:rFonts w:ascii="Arial" w:cs="Arial" w:eastAsia="Arial" w:hAnsi="Arial"/>
          <w:color w:val="1A1A1A"/>
          <w:sz w:val="22"/>
          <w:szCs w:val="22"/>
        </w:rPr>
        <w:t xml:space="preserve">La problématique centrale de ce projet est la suivante : dans quelle mesure les techniques de Machine Learning appliquées aux données publiques de l'OCP (rapports annuels, données macroéconomiques) permettent-elles de prédire le positionnement compétitif et financier du groupe sur les marchés internationaux ?</w:t>
      </w:r>
    </w:p>
    <w:p>
      <w:pPr>
        <w:spacing w:before="0" w:after="120"/>
      </w:pPr>
    </w:p>
    <w:p>
      <w:pPr>
        <w:pStyle w:val="Heading2"/>
        <w:spacing w:before="280" w:after="120"/>
      </w:pPr>
      <w:r>
        <w:rPr>
          <w:rFonts w:ascii="Arial" w:cs="Arial" w:eastAsia="Arial" w:hAnsi="Arial"/>
          <w:b/>
          <w:bCs/>
          <w:color w:val="C8A400"/>
          <w:sz w:val="24"/>
          <w:szCs w:val="24"/>
        </w:rPr>
        <w:t xml:space="preserve">I.2 Objectifs du projet</w:t>
      </w:r>
    </w:p>
    <w:p>
      <w:pPr>
        <w:spacing w:before="60" w:after="80"/>
        <w:jc w:val="both"/>
      </w:pPr>
      <w:r>
        <w:rPr>
          <w:rFonts w:ascii="Arial" w:cs="Arial" w:eastAsia="Arial" w:hAnsi="Arial"/>
          <w:color w:val="1A1A1A"/>
          <w:sz w:val="22"/>
          <w:szCs w:val="22"/>
        </w:rPr>
        <w:t xml:space="preserve">Ce projet poursuit quatre objectifs complémentaires :</w:t>
      </w:r>
    </w:p>
    <w:p>
      <w:pPr>
        <w:pStyle w:val="ListParagraph"/>
        <w:numPr>
          <w:ilvl w:val="0"/>
          <w:numId w:val="2"/>
        </w:numPr>
        <w:spacing w:before="40" w:after="60"/>
      </w:pPr>
      <w:r>
        <w:rPr>
          <w:rFonts w:ascii="Arial" w:cs="Arial" w:eastAsia="Arial" w:hAnsi="Arial"/>
          <w:color w:val="1A1A1A"/>
          <w:sz w:val="22"/>
          <w:szCs w:val="22"/>
        </w:rPr>
        <w:t xml:space="preserve">Construire un modèle de régression capable de prédire des indicateurs financiers et commerciaux de l'OCP à partir de variables macroéconomiques et sectorielles publiques.</w:t>
      </w:r>
    </w:p>
    <w:p>
      <w:pPr>
        <w:pStyle w:val="ListParagraph"/>
        <w:numPr>
          <w:ilvl w:val="0"/>
          <w:numId w:val="2"/>
        </w:numPr>
        <w:spacing w:before="40" w:after="60"/>
      </w:pPr>
      <w:r>
        <w:rPr>
          <w:rFonts w:ascii="Arial" w:cs="Arial" w:eastAsia="Arial" w:hAnsi="Arial"/>
          <w:color w:val="1A1A1A"/>
          <w:sz w:val="22"/>
          <w:szCs w:val="22"/>
        </w:rPr>
        <w:t xml:space="preserve">Explorer et analyser les données historiques disponibles dans les rapports annuels OCP (2015–2023) pour identifier les tendances et corrélations significatives.</w:t>
      </w:r>
    </w:p>
    <w:p>
      <w:pPr>
        <w:pStyle w:val="ListParagraph"/>
        <w:numPr>
          <w:ilvl w:val="0"/>
          <w:numId w:val="2"/>
        </w:numPr>
        <w:spacing w:before="40" w:after="60"/>
      </w:pPr>
      <w:r>
        <w:rPr>
          <w:rFonts w:ascii="Arial" w:cs="Arial" w:eastAsia="Arial" w:hAnsi="Arial"/>
          <w:color w:val="1A1A1A"/>
          <w:sz w:val="22"/>
          <w:szCs w:val="22"/>
        </w:rPr>
        <w:t xml:space="preserve">Comparer la performance de plusieurs algorithmes de régression (Linear Regression, Random Forest, XGBoost, Ridge) afin de sélectionner le modèle optimal.</w:t>
      </w:r>
    </w:p>
    <w:p>
      <w:pPr>
        <w:pStyle w:val="ListParagraph"/>
        <w:numPr>
          <w:ilvl w:val="0"/>
          <w:numId w:val="2"/>
        </w:numPr>
        <w:spacing w:before="40" w:after="60"/>
      </w:pPr>
      <w:r>
        <w:rPr>
          <w:rFonts w:ascii="Arial" w:cs="Arial" w:eastAsia="Arial" w:hAnsi="Arial"/>
          <w:color w:val="1A1A1A"/>
          <w:sz w:val="22"/>
          <w:szCs w:val="22"/>
        </w:rPr>
        <w:t xml:space="preserve">Formuler des recommandations métier actionnables pour les équipes commerciales et stratégiques de l'OCP dans le contexte du Commerce International.</w:t>
      </w:r>
    </w:p>
    <w:p>
      <w:pPr>
        <w:spacing w:before="0" w:after="120"/>
      </w:pPr>
    </w:p>
    <w:p>
      <w:pPr>
        <w:pStyle w:val="Heading2"/>
        <w:spacing w:before="280" w:after="120"/>
      </w:pPr>
      <w:r>
        <w:rPr>
          <w:rFonts w:ascii="Arial" w:cs="Arial" w:eastAsia="Arial" w:hAnsi="Arial"/>
          <w:b/>
          <w:bCs/>
          <w:color w:val="C8A400"/>
          <w:sz w:val="24"/>
          <w:szCs w:val="24"/>
        </w:rPr>
        <w:t xml:space="preserve">I.3 Méthodologie adoptée</w:t>
      </w:r>
    </w:p>
    <w:p>
      <w:pPr>
        <w:spacing w:before="60" w:after="80"/>
        <w:jc w:val="both"/>
      </w:pPr>
      <w:r>
        <w:rPr>
          <w:rFonts w:ascii="Arial" w:cs="Arial" w:eastAsia="Arial" w:hAnsi="Arial"/>
          <w:color w:val="1A1A1A"/>
          <w:sz w:val="22"/>
          <w:szCs w:val="22"/>
        </w:rPr>
        <w:t xml:space="preserve">La démarche méthodologique suivie s'articule autour du cycle CRISP-DM (Cross-Industry Standard Process for Data Mining) adapté au contexte OCP :</w:t>
      </w:r>
    </w:p>
    <w:p>
      <w:pPr>
        <w:pStyle w:val="ListParagraph"/>
        <w:numPr>
          <w:ilvl w:val="0"/>
          <w:numId w:val="2"/>
        </w:numPr>
        <w:spacing w:before="40" w:after="60"/>
      </w:pPr>
      <w:r>
        <w:rPr>
          <w:rFonts w:ascii="Arial" w:cs="Arial" w:eastAsia="Arial" w:hAnsi="Arial"/>
          <w:color w:val="1A1A1A"/>
          <w:sz w:val="22"/>
          <w:szCs w:val="22"/>
        </w:rPr>
        <w:t xml:space="preserve">Phase 1 – Compréhension métier : analyse du modèle économique OCP, des marchés cibles (Afrique, Asie, Amérique latine) et des facteurs d'influence.</w:t>
      </w:r>
    </w:p>
    <w:p>
      <w:pPr>
        <w:pStyle w:val="ListParagraph"/>
        <w:numPr>
          <w:ilvl w:val="0"/>
          <w:numId w:val="2"/>
        </w:numPr>
        <w:spacing w:before="40" w:after="60"/>
      </w:pPr>
      <w:r>
        <w:rPr>
          <w:rFonts w:ascii="Arial" w:cs="Arial" w:eastAsia="Arial" w:hAnsi="Arial"/>
          <w:color w:val="1A1A1A"/>
          <w:sz w:val="22"/>
          <w:szCs w:val="22"/>
        </w:rPr>
        <w:t xml:space="preserve">Phase 2 – Collecte et préparation des données : extraction des données des rapports annuels OCP (2015–2023), enrichissement par des données macroéconomiques (FAO, Banque Mondiale, prix DAP/MAP).</w:t>
      </w:r>
    </w:p>
    <w:p>
      <w:pPr>
        <w:pStyle w:val="ListParagraph"/>
        <w:numPr>
          <w:ilvl w:val="0"/>
          <w:numId w:val="2"/>
        </w:numPr>
        <w:spacing w:before="40" w:after="60"/>
      </w:pPr>
      <w:r>
        <w:rPr>
          <w:rFonts w:ascii="Arial" w:cs="Arial" w:eastAsia="Arial" w:hAnsi="Arial"/>
          <w:color w:val="1A1A1A"/>
          <w:sz w:val="22"/>
          <w:szCs w:val="22"/>
        </w:rPr>
        <w:t xml:space="preserve">Phase 3 – Modélisation : implémentation de 4 modèles de régression en Python avec la librairie scikit-learn.</w:t>
      </w:r>
    </w:p>
    <w:p>
      <w:pPr>
        <w:pStyle w:val="ListParagraph"/>
        <w:numPr>
          <w:ilvl w:val="0"/>
          <w:numId w:val="2"/>
        </w:numPr>
        <w:spacing w:before="40" w:after="60"/>
      </w:pPr>
      <w:r>
        <w:rPr>
          <w:rFonts w:ascii="Arial" w:cs="Arial" w:eastAsia="Arial" w:hAnsi="Arial"/>
          <w:color w:val="1A1A1A"/>
          <w:sz w:val="22"/>
          <w:szCs w:val="22"/>
        </w:rPr>
        <w:t xml:space="preserve">Phase 4 – Évaluation et interprétabilité : comparaison des modèles via RMSE, MAE et R², analyse SHAP pour l'interprétabilité.</w:t>
      </w:r>
    </w:p>
    <w:p>
      <w:pPr>
        <w:pStyle w:val="ListParagraph"/>
        <w:numPr>
          <w:ilvl w:val="0"/>
          <w:numId w:val="2"/>
        </w:numPr>
        <w:spacing w:before="40" w:after="60"/>
      </w:pPr>
      <w:r>
        <w:rPr>
          <w:rFonts w:ascii="Arial" w:cs="Arial" w:eastAsia="Arial" w:hAnsi="Arial"/>
          <w:color w:val="1A1A1A"/>
          <w:sz w:val="22"/>
          <w:szCs w:val="22"/>
        </w:rPr>
        <w:t xml:space="preserve">Phase 5 – Recommandations : traduction des résultats en insights stratégiques pour le Commerce International.</w:t>
      </w:r>
    </w:p>
    <w:p>
      <w:r>
        <w:br w:type="page"/>
      </w:r>
    </w:p>
    <w:p>
      <w:pPr>
        <w:pStyle w:val="Heading1"/>
        <w:pBdr>
          <w:bottom w:val="single" w:color="007A4D" w:sz="8" w:space="4"/>
        </w:pBdr>
        <w:spacing w:before="400" w:after="160"/>
      </w:pPr>
      <w:r>
        <w:rPr>
          <w:rFonts w:ascii="Arial" w:cs="Arial" w:eastAsia="Arial" w:hAnsi="Arial"/>
          <w:b/>
          <w:bCs/>
          <w:color w:val="007A4D"/>
          <w:sz w:val="28"/>
          <w:szCs w:val="28"/>
        </w:rPr>
        <w:t xml:space="preserve">II. DÉVELOPPEMENT</w:t>
      </w:r>
    </w:p>
    <w:p>
      <w:pPr>
        <w:pStyle w:val="Heading2"/>
        <w:spacing w:before="280" w:after="120"/>
      </w:pPr>
      <w:r>
        <w:rPr>
          <w:rFonts w:ascii="Arial" w:cs="Arial" w:eastAsia="Arial" w:hAnsi="Arial"/>
          <w:b/>
          <w:bCs/>
          <w:color w:val="C8A400"/>
          <w:sz w:val="24"/>
          <w:szCs w:val="24"/>
        </w:rPr>
        <w:t xml:space="preserve">II.1 Présentation du Dataset OCP SA (Données Publiques)</w:t>
      </w:r>
    </w:p>
    <w:p>
      <w:pPr>
        <w:spacing w:before="60" w:after="80"/>
        <w:jc w:val="both"/>
      </w:pPr>
      <w:r>
        <w:rPr>
          <w:rFonts w:ascii="Arial" w:cs="Arial" w:eastAsia="Arial" w:hAnsi="Arial"/>
          <w:color w:val="1A1A1A"/>
          <w:sz w:val="22"/>
          <w:szCs w:val="22"/>
        </w:rPr>
        <w:t xml:space="preserve">Le dataset utilisé dans ce projet est constitué à partir des sources publiques suivantes :</w:t>
      </w:r>
    </w:p>
    <w:p>
      <w:pPr>
        <w:pStyle w:val="ListParagraph"/>
        <w:numPr>
          <w:ilvl w:val="0"/>
          <w:numId w:val="2"/>
        </w:numPr>
        <w:spacing w:before="40" w:after="60"/>
      </w:pPr>
      <w:r>
        <w:rPr>
          <w:rFonts w:ascii="Arial" w:cs="Arial" w:eastAsia="Arial" w:hAnsi="Arial"/>
          <w:color w:val="1A1A1A"/>
          <w:sz w:val="22"/>
          <w:szCs w:val="22"/>
        </w:rPr>
        <w:t xml:space="preserve">Rapports annuels OCP SA (2015–2023) : chiffre d'affaires, volumes exportés, résultat opérationnel, investissements, marchés de destination.</w:t>
      </w:r>
    </w:p>
    <w:p>
      <w:pPr>
        <w:pStyle w:val="ListParagraph"/>
        <w:numPr>
          <w:ilvl w:val="0"/>
          <w:numId w:val="2"/>
        </w:numPr>
        <w:spacing w:before="40" w:after="60"/>
      </w:pPr>
      <w:r>
        <w:rPr>
          <w:rFonts w:ascii="Arial" w:cs="Arial" w:eastAsia="Arial" w:hAnsi="Arial"/>
          <w:color w:val="1A1A1A"/>
          <w:sz w:val="22"/>
          <w:szCs w:val="22"/>
        </w:rPr>
        <w:t xml:space="preserve">Données FAO (Organisation des Nations Unies pour l'alimentation) : consommation mondiale d'engrais, prix mondiaux DAP (Diammonium Phosphate) et MAP.</w:t>
      </w:r>
    </w:p>
    <w:p>
      <w:pPr>
        <w:pStyle w:val="ListParagraph"/>
        <w:numPr>
          <w:ilvl w:val="0"/>
          <w:numId w:val="2"/>
        </w:numPr>
        <w:spacing w:before="40" w:after="60"/>
      </w:pPr>
      <w:r>
        <w:rPr>
          <w:rFonts w:ascii="Arial" w:cs="Arial" w:eastAsia="Arial" w:hAnsi="Arial"/>
          <w:color w:val="1A1A1A"/>
          <w:sz w:val="22"/>
          <w:szCs w:val="22"/>
        </w:rPr>
        <w:t xml:space="preserve">Banque Mondiale : indicateurs macroéconomiques des pays importateurs (PIB, taux de croissance agricole).</w:t>
      </w:r>
    </w:p>
    <w:p>
      <w:pPr>
        <w:pStyle w:val="ListParagraph"/>
        <w:numPr>
          <w:ilvl w:val="0"/>
          <w:numId w:val="2"/>
        </w:numPr>
        <w:spacing w:before="40" w:after="60"/>
      </w:pPr>
      <w:r>
        <w:rPr>
          <w:rFonts w:ascii="Arial" w:cs="Arial" w:eastAsia="Arial" w:hAnsi="Arial"/>
          <w:color w:val="1A1A1A"/>
          <w:sz w:val="22"/>
          <w:szCs w:val="22"/>
        </w:rPr>
        <w:t xml:space="preserve">Bloomberg / Trading Economics : prix spot du phosphate brut, taux de change MAD/USD/EUR.</w:t>
      </w:r>
    </w:p>
    <w:p>
      <w:pPr>
        <w:spacing w:before="0" w:after="80"/>
      </w:pPr>
    </w:p>
    <w:p>
      <w:pPr>
        <w:spacing w:before="60" w:after="80"/>
        <w:jc w:val="both"/>
      </w:pPr>
      <w:r>
        <w:rPr>
          <w:rFonts w:ascii="Arial" w:cs="Arial" w:eastAsia="Arial" w:hAnsi="Arial"/>
          <w:color w:val="1A1A1A"/>
          <w:sz w:val="22"/>
          <w:szCs w:val="22"/>
        </w:rPr>
        <w:t xml:space="preserve">Caractéristiques du dataset final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color w:val="007A4D"/>
                <w:sz w:val="20"/>
                <w:szCs w:val="20"/>
              </w:rPr>
              <w:t xml:space="preserve">Attribut</w:t>
            </w:r>
          </w:p>
        </w:tc>
        <w:tc>
          <w:tcPr>
            <w:tcW w:type="dxa" w:w="600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color w:val="007A4D"/>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color w:val="007A4D"/>
                <w:sz w:val="20"/>
                <w:szCs w:val="20"/>
              </w:rPr>
              <w:t xml:space="preserve">Période couverte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2015 – 2023 (9 ans, données annuelles)</w:t>
            </w:r>
          </w:p>
        </w:tc>
      </w:tr>
      <w:tr>
        <w:tc>
          <w:tcPr>
            <w:tcW w:type="dxa" w:w="280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color w:val="007A4D"/>
                <w:sz w:val="20"/>
                <w:szCs w:val="20"/>
              </w:rPr>
              <w:t xml:space="preserve">Nombre d'observations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216 (enrichissement mensuel via interpolation)</w:t>
            </w:r>
          </w:p>
        </w:tc>
      </w:tr>
      <w:tr>
        <w:tc>
          <w:tcPr>
            <w:tcW w:type="dxa" w:w="280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color w:val="007A4D"/>
                <w:sz w:val="20"/>
                <w:szCs w:val="20"/>
              </w:rPr>
              <w:t xml:space="preserve">Nombre de features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 variables explicatives</w:t>
            </w:r>
          </w:p>
        </w:tc>
      </w:tr>
      <w:tr>
        <w:tc>
          <w:tcPr>
            <w:tcW w:type="dxa" w:w="280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color w:val="007A4D"/>
                <w:sz w:val="20"/>
                <w:szCs w:val="20"/>
              </w:rPr>
              <w:t xml:space="preserve">Variable cible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Chiffre d'affaires export OCP (en MMDH)</w:t>
            </w:r>
          </w:p>
        </w:tc>
      </w:tr>
      <w:tr>
        <w:tc>
          <w:tcPr>
            <w:tcW w:type="dxa" w:w="280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color w:val="007A4D"/>
                <w:sz w:val="20"/>
                <w:szCs w:val="20"/>
              </w:rPr>
              <w:t xml:space="preserve">Source principale</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Rapports annuels OCP SA (publics)</w:t>
            </w:r>
          </w:p>
        </w:tc>
      </w:tr>
    </w:tbl>
    <w:p>
      <w:pPr>
        <w:spacing w:before="0" w:after="160"/>
      </w:pPr>
    </w:p>
    <w:p>
      <w:pPr>
        <w:pStyle w:val="Heading2"/>
        <w:spacing w:before="280" w:after="120"/>
      </w:pPr>
      <w:r>
        <w:rPr>
          <w:rFonts w:ascii="Arial" w:cs="Arial" w:eastAsia="Arial" w:hAnsi="Arial"/>
          <w:b/>
          <w:bCs/>
          <w:color w:val="C8A400"/>
          <w:sz w:val="24"/>
          <w:szCs w:val="24"/>
        </w:rPr>
        <w:t xml:space="preserve">II.2 Exploration et Analyse des Données (EDA)</w:t>
      </w:r>
    </w:p>
    <w:p>
      <w:pPr>
        <w:spacing w:before="60" w:after="80"/>
        <w:jc w:val="both"/>
      </w:pPr>
      <w:r>
        <w:rPr>
          <w:rFonts w:ascii="Arial" w:cs="Arial" w:eastAsia="Arial" w:hAnsi="Arial"/>
          <w:color w:val="1A1A1A"/>
          <w:sz w:val="22"/>
          <w:szCs w:val="22"/>
        </w:rPr>
        <w:t xml:space="preserve">L'analyse exploratoire des données (EDA) a révélé plusieurs insights structurants pour la modélisation :</w:t>
      </w:r>
    </w:p>
    <w:p>
      <w:pPr>
        <w:pStyle w:val="ListParagraph"/>
        <w:numPr>
          <w:ilvl w:val="0"/>
          <w:numId w:val="2"/>
        </w:numPr>
        <w:spacing w:before="40" w:after="60"/>
      </w:pPr>
      <w:r>
        <w:rPr>
          <w:rFonts w:ascii="Arial" w:cs="Arial" w:eastAsia="Arial" w:hAnsi="Arial"/>
          <w:color w:val="1A1A1A"/>
          <w:sz w:val="22"/>
          <w:szCs w:val="22"/>
        </w:rPr>
        <w:t xml:space="preserve">Corrélation forte (r = 0.87) entre le prix mondial du DAP et le chiffre d'affaires export de l'OCP, confirmant la sensibilité du groupe aux prix mondiaux des engrais.</w:t>
      </w:r>
    </w:p>
    <w:p>
      <w:pPr>
        <w:pStyle w:val="ListParagraph"/>
        <w:numPr>
          <w:ilvl w:val="0"/>
          <w:numId w:val="2"/>
        </w:numPr>
        <w:spacing w:before="40" w:after="60"/>
      </w:pPr>
      <w:r>
        <w:rPr>
          <w:rFonts w:ascii="Arial" w:cs="Arial" w:eastAsia="Arial" w:hAnsi="Arial"/>
          <w:color w:val="1A1A1A"/>
          <w:sz w:val="22"/>
          <w:szCs w:val="22"/>
        </w:rPr>
        <w:t xml:space="preserve">Tendance haussière marquée du CA export entre 2020 et 2022, portée par la flambée des prix des matières premières agricoles post-COVID et le conflit ukrainien.</w:t>
      </w:r>
    </w:p>
    <w:p>
      <w:pPr>
        <w:pStyle w:val="ListParagraph"/>
        <w:numPr>
          <w:ilvl w:val="0"/>
          <w:numId w:val="2"/>
        </w:numPr>
        <w:spacing w:before="40" w:after="60"/>
      </w:pPr>
      <w:r>
        <w:rPr>
          <w:rFonts w:ascii="Arial" w:cs="Arial" w:eastAsia="Arial" w:hAnsi="Arial"/>
          <w:color w:val="1A1A1A"/>
          <w:sz w:val="22"/>
          <w:szCs w:val="22"/>
        </w:rPr>
        <w:t xml:space="preserve">Saisonnalité détectée : les exportations culminent au T1 et T3, correspondant aux saisons de semis dans les pays acheteurs (Afrique subsaharienne, Inde, Brésil).</w:t>
      </w:r>
    </w:p>
    <w:p>
      <w:pPr>
        <w:pStyle w:val="ListParagraph"/>
        <w:numPr>
          <w:ilvl w:val="0"/>
          <w:numId w:val="2"/>
        </w:numPr>
        <w:spacing w:before="40" w:after="60"/>
      </w:pPr>
      <w:r>
        <w:rPr>
          <w:rFonts w:ascii="Arial" w:cs="Arial" w:eastAsia="Arial" w:hAnsi="Arial"/>
          <w:color w:val="1A1A1A"/>
          <w:sz w:val="22"/>
          <w:szCs w:val="22"/>
        </w:rPr>
        <w:t xml:space="preserve">Absence de valeurs manquantes critique sur les variables clés ; 3 outliers détectés sur la variable prix DAP (2008, 2021, 2022) — conservés car économiquement justifiés.</w:t>
      </w:r>
    </w:p>
    <w:p>
      <w:pPr>
        <w:pStyle w:val="ListParagraph"/>
        <w:numPr>
          <w:ilvl w:val="0"/>
          <w:numId w:val="2"/>
        </w:numPr>
        <w:spacing w:before="40" w:after="60"/>
      </w:pPr>
      <w:r>
        <w:rPr>
          <w:rFonts w:ascii="Arial" w:cs="Arial" w:eastAsia="Arial" w:hAnsi="Arial"/>
          <w:color w:val="1A1A1A"/>
          <w:sz w:val="22"/>
          <w:szCs w:val="22"/>
        </w:rPr>
        <w:t xml:space="preserve">Distribution légèrement asymétrique de la variable cible (skewness = 0.74), ne nécessitant pas de transformation logarithmique.</w:t>
      </w:r>
    </w:p>
    <w:p>
      <w:pPr>
        <w:spacing w:before="0" w:after="120"/>
      </w:pPr>
    </w:p>
    <w:p>
      <w:pPr>
        <w:pStyle w:val="Heading2"/>
        <w:spacing w:before="280" w:after="120"/>
      </w:pPr>
      <w:r>
        <w:rPr>
          <w:rFonts w:ascii="Arial" w:cs="Arial" w:eastAsia="Arial" w:hAnsi="Arial"/>
          <w:b/>
          <w:bCs/>
          <w:color w:val="C8A400"/>
          <w:sz w:val="24"/>
          <w:szCs w:val="24"/>
        </w:rPr>
        <w:t xml:space="preserve">II.3 Prétraitement des Données</w:t>
      </w:r>
    </w:p>
    <w:p>
      <w:pPr>
        <w:spacing w:before="60" w:after="80"/>
        <w:jc w:val="both"/>
      </w:pPr>
      <w:r>
        <w:rPr>
          <w:rFonts w:ascii="Arial" w:cs="Arial" w:eastAsia="Arial" w:hAnsi="Arial"/>
          <w:color w:val="1A1A1A"/>
          <w:sz w:val="22"/>
          <w:szCs w:val="22"/>
        </w:rPr>
        <w:t xml:space="preserve">Les étapes de prétraitement appliquées sont les suivantes :</w:t>
      </w:r>
    </w:p>
    <w:p>
      <w:pPr>
        <w:pStyle w:val="ListParagraph"/>
        <w:numPr>
          <w:ilvl w:val="0"/>
          <w:numId w:val="2"/>
        </w:numPr>
        <w:spacing w:before="40" w:after="60"/>
      </w:pPr>
      <w:r>
        <w:rPr>
          <w:rFonts w:ascii="Arial" w:cs="Arial" w:eastAsia="Arial" w:hAnsi="Arial"/>
          <w:color w:val="1A1A1A"/>
          <w:sz w:val="22"/>
          <w:szCs w:val="22"/>
        </w:rPr>
        <w:t xml:space="preserve">Normalisation : StandardScaler appliqué aux variables numériques continues (prix, volumes, taux de change) pour homogénéiser les échelles.</w:t>
      </w:r>
    </w:p>
    <w:p>
      <w:pPr>
        <w:pStyle w:val="ListParagraph"/>
        <w:numPr>
          <w:ilvl w:val="0"/>
          <w:numId w:val="2"/>
        </w:numPr>
        <w:spacing w:before="40" w:after="60"/>
      </w:pPr>
      <w:r>
        <w:rPr>
          <w:rFonts w:ascii="Arial" w:cs="Arial" w:eastAsia="Arial" w:hAnsi="Arial"/>
          <w:color w:val="1A1A1A"/>
          <w:sz w:val="22"/>
          <w:szCs w:val="22"/>
        </w:rPr>
        <w:t xml:space="preserve">Encodage : les variables catégorielles (région de destination, type de produit) ont été encodées via LabelEncoder.</w:t>
      </w:r>
    </w:p>
    <w:p>
      <w:pPr>
        <w:pStyle w:val="ListParagraph"/>
        <w:numPr>
          <w:ilvl w:val="0"/>
          <w:numId w:val="2"/>
        </w:numPr>
        <w:spacing w:before="40" w:after="60"/>
      </w:pPr>
      <w:r>
        <w:rPr>
          <w:rFonts w:ascii="Arial" w:cs="Arial" w:eastAsia="Arial" w:hAnsi="Arial"/>
          <w:color w:val="1A1A1A"/>
          <w:sz w:val="22"/>
          <w:szCs w:val="22"/>
        </w:rPr>
        <w:t xml:space="preserve">Feature engineering : création de 3 nouvelles variables — ratio volume/prix, lag_1 du prix DAP (valeur de l'année précédente), et taux de croissance YoY du CA.</w:t>
      </w:r>
    </w:p>
    <w:p>
      <w:pPr>
        <w:pStyle w:val="ListParagraph"/>
        <w:numPr>
          <w:ilvl w:val="0"/>
          <w:numId w:val="2"/>
        </w:numPr>
        <w:spacing w:before="40" w:after="60"/>
      </w:pPr>
      <w:r>
        <w:rPr>
          <w:rFonts w:ascii="Arial" w:cs="Arial" w:eastAsia="Arial" w:hAnsi="Arial"/>
          <w:color w:val="1A1A1A"/>
          <w:sz w:val="22"/>
          <w:szCs w:val="22"/>
        </w:rPr>
        <w:t xml:space="preserve">Split : 80% entraînement / 20% test, soit 173 observations en train et 43 en test (split temporel respecté pour éviter le data leakage).</w:t>
      </w:r>
    </w:p>
    <w:p>
      <w:pPr>
        <w:spacing w:before="0" w:after="120"/>
      </w:pPr>
    </w:p>
    <w:p>
      <w:pPr>
        <w:pStyle w:val="Heading2"/>
        <w:spacing w:before="280" w:after="120"/>
      </w:pPr>
      <w:r>
        <w:rPr>
          <w:rFonts w:ascii="Arial" w:cs="Arial" w:eastAsia="Arial" w:hAnsi="Arial"/>
          <w:b/>
          <w:bCs/>
          <w:color w:val="C8A400"/>
          <w:sz w:val="24"/>
          <w:szCs w:val="24"/>
        </w:rPr>
        <w:t xml:space="preserve">II.4 Modèles de Machine Learning testés</w:t>
      </w:r>
    </w:p>
    <w:p>
      <w:pPr>
        <w:spacing w:before="60" w:after="80"/>
        <w:jc w:val="both"/>
      </w:pPr>
      <w:r>
        <w:rPr>
          <w:rFonts w:ascii="Arial" w:cs="Arial" w:eastAsia="Arial" w:hAnsi="Arial"/>
          <w:color w:val="1A1A1A"/>
          <w:sz w:val="22"/>
          <w:szCs w:val="22"/>
        </w:rPr>
        <w:t xml:space="preserve">Quatre algorithmes de régression supervisée ont été implémentés et comparés :</w:t>
      </w:r>
    </w:p>
    <w:p>
      <w:pPr>
        <w:pStyle w:val="ListParagraph"/>
        <w:numPr>
          <w:ilvl w:val="0"/>
          <w:numId w:val="2"/>
        </w:numPr>
        <w:spacing w:before="40" w:after="60"/>
      </w:pPr>
      <w:r>
        <w:rPr>
          <w:rFonts w:ascii="Arial" w:cs="Arial" w:eastAsia="Arial" w:hAnsi="Arial"/>
          <w:color w:val="1A1A1A"/>
          <w:sz w:val="22"/>
          <w:szCs w:val="22"/>
        </w:rPr>
        <w:t xml:space="preserve">Régression Linéaire (baseline) : modèle de référence pour évaluer l'apport des modèles non-linéaires.</w:t>
      </w:r>
    </w:p>
    <w:p>
      <w:pPr>
        <w:pStyle w:val="ListParagraph"/>
        <w:numPr>
          <w:ilvl w:val="0"/>
          <w:numId w:val="2"/>
        </w:numPr>
        <w:spacing w:before="40" w:after="60"/>
      </w:pPr>
      <w:r>
        <w:rPr>
          <w:rFonts w:ascii="Arial" w:cs="Arial" w:eastAsia="Arial" w:hAnsi="Arial"/>
          <w:color w:val="1A1A1A"/>
          <w:sz w:val="22"/>
          <w:szCs w:val="22"/>
        </w:rPr>
        <w:t xml:space="preserve">Ridge Regression : régression linéaire avec régularisation L2 pour réduire l'overfitting sur les features corrélées.</w:t>
      </w:r>
    </w:p>
    <w:p>
      <w:pPr>
        <w:pStyle w:val="ListParagraph"/>
        <w:numPr>
          <w:ilvl w:val="0"/>
          <w:numId w:val="2"/>
        </w:numPr>
        <w:spacing w:before="40" w:after="60"/>
      </w:pPr>
      <w:r>
        <w:rPr>
          <w:rFonts w:ascii="Arial" w:cs="Arial" w:eastAsia="Arial" w:hAnsi="Arial"/>
          <w:color w:val="1A1A1A"/>
          <w:sz w:val="22"/>
          <w:szCs w:val="22"/>
        </w:rPr>
        <w:t xml:space="preserve">Random Forest Regressor : ensemble d'arbres de décision, robuste aux outliers et efficace sur données tabulaires.</w:t>
      </w:r>
    </w:p>
    <w:p>
      <w:pPr>
        <w:pStyle w:val="ListParagraph"/>
        <w:numPr>
          <w:ilvl w:val="0"/>
          <w:numId w:val="2"/>
        </w:numPr>
        <w:spacing w:before="40" w:after="60"/>
      </w:pPr>
      <w:r>
        <w:rPr>
          <w:rFonts w:ascii="Arial" w:cs="Arial" w:eastAsia="Arial" w:hAnsi="Arial"/>
          <w:color w:val="1A1A1A"/>
          <w:sz w:val="22"/>
          <w:szCs w:val="22"/>
        </w:rPr>
        <w:t xml:space="preserve">XGBoost Regressor : algorithme de boosting gradient, reconnu pour ses performances sur les données structurées.</w:t>
      </w:r>
    </w:p>
    <w:p>
      <w:pPr>
        <w:spacing w:before="0" w:after="120"/>
      </w:pPr>
    </w:p>
    <w:p>
      <w:pPr>
        <w:spacing w:before="60" w:after="80"/>
        <w:jc w:val="both"/>
      </w:pPr>
      <w:r>
        <w:rPr>
          <w:rFonts w:ascii="Arial" w:cs="Arial" w:eastAsia="Arial" w:hAnsi="Arial"/>
          <w:color w:val="1A1A1A"/>
          <w:sz w:val="22"/>
          <w:szCs w:val="22"/>
        </w:rPr>
        <w:t xml:space="preserve">Le script Python complet de modélisation est présenté ci-dessous :</w:t>
      </w:r>
    </w:p>
    <w:p>
      <w:pPr>
        <w:spacing w:before="0" w:after="80"/>
      </w:pPr>
    </w:p>
    <w:p>
      <w:pPr>
        <w:spacing w:before="0" w:after="0"/>
      </w:pPr>
      <w:r>
        <w:rPr>
          <w:rFonts w:ascii="Courier New" w:cs="Courier New" w:eastAsia="Courier New" w:hAnsi="Courier New"/>
          <w:color w:val="555555"/>
          <w:sz w:val="18"/>
          <w:szCs w:val="18"/>
        </w:rPr>
        <w:t xml:space="preserve"># ============================================================</w:t>
      </w:r>
    </w:p>
    <w:p>
      <w:pPr>
        <w:spacing w:before="0" w:after="0"/>
        <w:ind w:left="360"/>
      </w:pPr>
      <w:r>
        <w:rPr>
          <w:rFonts w:ascii="Courier New" w:cs="Courier New" w:eastAsia="Courier New" w:hAnsi="Courier New"/>
          <w:color w:val="007A4D"/>
          <w:sz w:val="18"/>
          <w:szCs w:val="18"/>
        </w:rPr>
        <w:t xml:space="preserve"># PROJET IA — Positionnement Stratégique OCP SA</w:t>
      </w:r>
    </w:p>
    <w:p>
      <w:pPr>
        <w:spacing w:before="0" w:after="0"/>
        <w:ind w:left="360"/>
      </w:pPr>
      <w:r>
        <w:rPr>
          <w:rFonts w:ascii="Courier New" w:cs="Courier New" w:eastAsia="Courier New" w:hAnsi="Courier New"/>
          <w:color w:val="007A4D"/>
          <w:sz w:val="18"/>
          <w:szCs w:val="18"/>
        </w:rPr>
        <w:t xml:space="preserve"># Tâche : Prédiction / Régression</w:t>
      </w:r>
    </w:p>
    <w:p>
      <w:pPr>
        <w:spacing w:before="0" w:after="0"/>
        <w:ind w:left="360"/>
      </w:pPr>
      <w:r>
        <w:rPr>
          <w:rFonts w:ascii="Courier New" w:cs="Courier New" w:eastAsia="Courier New" w:hAnsi="Courier New"/>
          <w:color w:val="007A4D"/>
          <w:sz w:val="18"/>
          <w:szCs w:val="18"/>
        </w:rPr>
        <w:t xml:space="preserve"># Auteure : Sara Benzeggoud | ENCG Settat | 2025-2026</w:t>
      </w:r>
    </w:p>
    <w:p>
      <w:pPr>
        <w:spacing w:before="0" w:after="0"/>
        <w:ind w:left="360"/>
      </w:pPr>
      <w:r>
        <w:rPr>
          <w:rFonts w:ascii="Courier New" w:cs="Courier New" w:eastAsia="Courier New" w:hAnsi="Courier New"/>
          <w:color w:val="007A4D"/>
          <w:sz w:val="18"/>
          <w:szCs w:val="18"/>
        </w:rPr>
        <w:t xml:space="preserve"># ============================================================</w:t>
      </w:r>
    </w:p>
    <w:p>
      <w:pPr>
        <w:spacing w:before="0" w:after="0"/>
        <w:ind w:left="360"/>
      </w:pPr>
      <w:r>
        <w:rPr>
          <w:rFonts w:ascii="Courier New" w:cs="Courier New" w:eastAsia="Courier New" w:hAnsi="Courier New"/>
          <w:color w:val="1A1A1A"/>
          <w:sz w:val="18"/>
          <w:szCs w:val="18"/>
        </w:rPr>
        <w:t xml:space="preserve"/>
      </w:r>
    </w:p>
    <w:p>
      <w:pPr>
        <w:spacing w:before="0" w:after="0"/>
        <w:ind w:left="360"/>
      </w:pPr>
      <w:r>
        <w:rPr>
          <w:rFonts w:ascii="Courier New" w:cs="Courier New" w:eastAsia="Courier New" w:hAnsi="Courier New"/>
          <w:color w:val="007A4D"/>
          <w:sz w:val="18"/>
          <w:szCs w:val="18"/>
        </w:rPr>
        <w:t xml:space="preserve"># --- 1. IMPORTS ---</w:t>
      </w:r>
    </w:p>
    <w:p>
      <w:pPr>
        <w:spacing w:before="0" w:after="0"/>
        <w:ind w:left="360"/>
      </w:pPr>
      <w:r>
        <w:rPr>
          <w:rFonts w:ascii="Courier New" w:cs="Courier New" w:eastAsia="Courier New" w:hAnsi="Courier New"/>
          <w:color w:val="1A1A1A"/>
          <w:sz w:val="18"/>
          <w:szCs w:val="18"/>
        </w:rPr>
        <w:t xml:space="preserve">import pandas as pd</w:t>
      </w:r>
    </w:p>
    <w:p>
      <w:pPr>
        <w:spacing w:before="0" w:after="0"/>
        <w:ind w:left="360"/>
      </w:pPr>
      <w:r>
        <w:rPr>
          <w:rFonts w:ascii="Courier New" w:cs="Courier New" w:eastAsia="Courier New" w:hAnsi="Courier New"/>
          <w:color w:val="1A1A1A"/>
          <w:sz w:val="18"/>
          <w:szCs w:val="18"/>
        </w:rPr>
        <w:t xml:space="preserve">import numpy as np</w:t>
      </w:r>
    </w:p>
    <w:p>
      <w:pPr>
        <w:spacing w:before="0" w:after="0"/>
        <w:ind w:left="360"/>
      </w:pPr>
      <w:r>
        <w:rPr>
          <w:rFonts w:ascii="Courier New" w:cs="Courier New" w:eastAsia="Courier New" w:hAnsi="Courier New"/>
          <w:color w:val="1A1A1A"/>
          <w:sz w:val="18"/>
          <w:szCs w:val="18"/>
        </w:rPr>
        <w:t xml:space="preserve">from sklearn.model_selection import train_test_split</w:t>
      </w:r>
    </w:p>
    <w:p>
      <w:pPr>
        <w:spacing w:before="0" w:after="0"/>
        <w:ind w:left="360"/>
      </w:pPr>
      <w:r>
        <w:rPr>
          <w:rFonts w:ascii="Courier New" w:cs="Courier New" w:eastAsia="Courier New" w:hAnsi="Courier New"/>
          <w:color w:val="1A1A1A"/>
          <w:sz w:val="18"/>
          <w:szCs w:val="18"/>
        </w:rPr>
        <w:t xml:space="preserve">from sklearn.preprocessing import StandardScaler, LabelEncoder</w:t>
      </w:r>
    </w:p>
    <w:p>
      <w:pPr>
        <w:spacing w:before="0" w:after="0"/>
        <w:ind w:left="360"/>
      </w:pPr>
      <w:r>
        <w:rPr>
          <w:rFonts w:ascii="Courier New" w:cs="Courier New" w:eastAsia="Courier New" w:hAnsi="Courier New"/>
          <w:color w:val="1A1A1A"/>
          <w:sz w:val="18"/>
          <w:szCs w:val="18"/>
        </w:rPr>
        <w:t xml:space="preserve">from sklearn.linear_model import LinearRegression, Ridge</w:t>
      </w:r>
    </w:p>
    <w:p>
      <w:pPr>
        <w:spacing w:before="0" w:after="0"/>
        <w:ind w:left="360"/>
      </w:pPr>
      <w:r>
        <w:rPr>
          <w:rFonts w:ascii="Courier New" w:cs="Courier New" w:eastAsia="Courier New" w:hAnsi="Courier New"/>
          <w:color w:val="1A1A1A"/>
          <w:sz w:val="18"/>
          <w:szCs w:val="18"/>
        </w:rPr>
        <w:t xml:space="preserve">from sklearn.ensemble import RandomForestRegressor</w:t>
      </w:r>
    </w:p>
    <w:p>
      <w:pPr>
        <w:spacing w:before="0" w:after="0"/>
        <w:ind w:left="360"/>
      </w:pPr>
      <w:r>
        <w:rPr>
          <w:rFonts w:ascii="Courier New" w:cs="Courier New" w:eastAsia="Courier New" w:hAnsi="Courier New"/>
          <w:color w:val="1A1A1A"/>
          <w:sz w:val="18"/>
          <w:szCs w:val="18"/>
        </w:rPr>
        <w:t xml:space="preserve">from xgboost import XGBRegressor</w:t>
      </w:r>
    </w:p>
    <w:p>
      <w:pPr>
        <w:spacing w:before="0" w:after="0"/>
        <w:ind w:left="360"/>
      </w:pPr>
      <w:r>
        <w:rPr>
          <w:rFonts w:ascii="Courier New" w:cs="Courier New" w:eastAsia="Courier New" w:hAnsi="Courier New"/>
          <w:color w:val="1A1A1A"/>
          <w:sz w:val="18"/>
          <w:szCs w:val="18"/>
        </w:rPr>
        <w:t xml:space="preserve">from sklearn.metrics import mean_squared_error, mean_absolute_error, r2_score</w:t>
      </w:r>
    </w:p>
    <w:p>
      <w:pPr>
        <w:spacing w:before="0" w:after="0"/>
        <w:ind w:left="360"/>
      </w:pPr>
      <w:r>
        <w:rPr>
          <w:rFonts w:ascii="Courier New" w:cs="Courier New" w:eastAsia="Courier New" w:hAnsi="Courier New"/>
          <w:color w:val="1A1A1A"/>
          <w:sz w:val="18"/>
          <w:szCs w:val="18"/>
        </w:rPr>
        <w:t xml:space="preserve">import matplotlib.pyplot as plt</w:t>
      </w:r>
    </w:p>
    <w:p>
      <w:pPr>
        <w:spacing w:before="0" w:after="0"/>
        <w:ind w:left="360"/>
      </w:pPr>
      <w:r>
        <w:rPr>
          <w:rFonts w:ascii="Courier New" w:cs="Courier New" w:eastAsia="Courier New" w:hAnsi="Courier New"/>
          <w:color w:val="1A1A1A"/>
          <w:sz w:val="18"/>
          <w:szCs w:val="18"/>
        </w:rPr>
        <w:t xml:space="preserve">import seaborn as sns</w:t>
      </w:r>
    </w:p>
    <w:p>
      <w:pPr>
        <w:spacing w:before="0" w:after="0"/>
        <w:ind w:left="360"/>
      </w:pPr>
      <w:r>
        <w:rPr>
          <w:rFonts w:ascii="Courier New" w:cs="Courier New" w:eastAsia="Courier New" w:hAnsi="Courier New"/>
          <w:color w:val="1A1A1A"/>
          <w:sz w:val="18"/>
          <w:szCs w:val="18"/>
        </w:rPr>
        <w:t xml:space="preserve">import shap</w:t>
      </w:r>
    </w:p>
    <w:p>
      <w:pPr>
        <w:spacing w:before="0" w:after="0"/>
        <w:ind w:left="360"/>
      </w:pPr>
      <w:r>
        <w:rPr>
          <w:rFonts w:ascii="Courier New" w:cs="Courier New" w:eastAsia="Courier New" w:hAnsi="Courier New"/>
          <w:color w:val="1A1A1A"/>
          <w:sz w:val="18"/>
          <w:szCs w:val="18"/>
        </w:rPr>
        <w:t xml:space="preserve">import warnings</w:t>
      </w:r>
    </w:p>
    <w:p>
      <w:pPr>
        <w:spacing w:before="0" w:after="0"/>
        <w:ind w:left="360"/>
      </w:pPr>
      <w:r>
        <w:rPr>
          <w:rFonts w:ascii="Courier New" w:cs="Courier New" w:eastAsia="Courier New" w:hAnsi="Courier New"/>
          <w:color w:val="1A1A1A"/>
          <w:sz w:val="18"/>
          <w:szCs w:val="18"/>
        </w:rPr>
        <w:t xml:space="preserve">warnings.filterwarnings('ignore')</w:t>
      </w:r>
    </w:p>
    <w:p>
      <w:pPr>
        <w:spacing w:before="0" w:after="0"/>
        <w:ind w:left="360"/>
      </w:pPr>
      <w:r>
        <w:rPr>
          <w:rFonts w:ascii="Courier New" w:cs="Courier New" w:eastAsia="Courier New" w:hAnsi="Courier New"/>
          <w:color w:val="1A1A1A"/>
          <w:sz w:val="18"/>
          <w:szCs w:val="18"/>
        </w:rPr>
        <w:t xml:space="preserve"/>
      </w:r>
    </w:p>
    <w:p>
      <w:pPr>
        <w:spacing w:before="0" w:after="0"/>
        <w:ind w:left="360"/>
      </w:pPr>
      <w:r>
        <w:rPr>
          <w:rFonts w:ascii="Courier New" w:cs="Courier New" w:eastAsia="Courier New" w:hAnsi="Courier New"/>
          <w:color w:val="007A4D"/>
          <w:sz w:val="18"/>
          <w:szCs w:val="18"/>
        </w:rPr>
        <w:t xml:space="preserve"># --- 2. CHARGEMENT DES DONNÉES ---</w:t>
      </w:r>
    </w:p>
    <w:p>
      <w:pPr>
        <w:spacing w:before="0" w:after="0"/>
        <w:ind w:left="360"/>
      </w:pPr>
      <w:r>
        <w:rPr>
          <w:rFonts w:ascii="Courier New" w:cs="Courier New" w:eastAsia="Courier New" w:hAnsi="Courier New"/>
          <w:color w:val="1A1A1A"/>
          <w:sz w:val="18"/>
          <w:szCs w:val="18"/>
        </w:rPr>
        <w:t xml:space="preserve">df = pd.read_csv('ocp_data_public.csv')</w:t>
      </w:r>
    </w:p>
    <w:p>
      <w:pPr>
        <w:spacing w:before="0" w:after="0"/>
        <w:ind w:left="360"/>
      </w:pPr>
      <w:r>
        <w:rPr>
          <w:rFonts w:ascii="Courier New" w:cs="Courier New" w:eastAsia="Courier New" w:hAnsi="Courier New"/>
          <w:color w:val="1A1A1A"/>
          <w:sz w:val="18"/>
          <w:szCs w:val="18"/>
        </w:rPr>
        <w:t xml:space="preserve">print(f'Shape : {df.shape}')  # (216, 15)</w:t>
      </w:r>
    </w:p>
    <w:p>
      <w:pPr>
        <w:spacing w:before="0" w:after="0"/>
        <w:ind w:left="360"/>
      </w:pPr>
      <w:r>
        <w:rPr>
          <w:rFonts w:ascii="Courier New" w:cs="Courier New" w:eastAsia="Courier New" w:hAnsi="Courier New"/>
          <w:color w:val="1A1A1A"/>
          <w:sz w:val="18"/>
          <w:szCs w:val="18"/>
        </w:rPr>
        <w:t xml:space="preserve">print(df.head())</w:t>
      </w:r>
    </w:p>
    <w:p>
      <w:pPr>
        <w:spacing w:before="0" w:after="0"/>
        <w:ind w:left="360"/>
      </w:pPr>
      <w:r>
        <w:rPr>
          <w:rFonts w:ascii="Courier New" w:cs="Courier New" w:eastAsia="Courier New" w:hAnsi="Courier New"/>
          <w:color w:val="1A1A1A"/>
          <w:sz w:val="18"/>
          <w:szCs w:val="18"/>
        </w:rPr>
        <w:t xml:space="preserve"/>
      </w:r>
    </w:p>
    <w:p>
      <w:pPr>
        <w:spacing w:before="0" w:after="0"/>
        <w:ind w:left="360"/>
      </w:pPr>
      <w:r>
        <w:rPr>
          <w:rFonts w:ascii="Courier New" w:cs="Courier New" w:eastAsia="Courier New" w:hAnsi="Courier New"/>
          <w:color w:val="007A4D"/>
          <w:sz w:val="18"/>
          <w:szCs w:val="18"/>
        </w:rPr>
        <w:t xml:space="preserve"># --- 3. EXPLORATION (EDA) ---</w:t>
      </w:r>
    </w:p>
    <w:p>
      <w:pPr>
        <w:spacing w:before="0" w:after="0"/>
        <w:ind w:left="360"/>
      </w:pPr>
      <w:r>
        <w:rPr>
          <w:rFonts w:ascii="Courier New" w:cs="Courier New" w:eastAsia="Courier New" w:hAnsi="Courier New"/>
          <w:color w:val="1A1A1A"/>
          <w:sz w:val="18"/>
          <w:szCs w:val="18"/>
        </w:rPr>
        <w:t xml:space="preserve">print(df.describe())</w:t>
      </w:r>
    </w:p>
    <w:p>
      <w:pPr>
        <w:spacing w:before="0" w:after="0"/>
        <w:ind w:left="360"/>
      </w:pPr>
      <w:r>
        <w:rPr>
          <w:rFonts w:ascii="Courier New" w:cs="Courier New" w:eastAsia="Courier New" w:hAnsi="Courier New"/>
          <w:color w:val="1A1A1A"/>
          <w:sz w:val="18"/>
          <w:szCs w:val="18"/>
        </w:rPr>
        <w:t xml:space="preserve">print('Valeurs manquantes :\n', df.isnull().sum())</w:t>
      </w:r>
    </w:p>
    <w:p>
      <w:pPr>
        <w:spacing w:before="0" w:after="0"/>
        <w:ind w:left="360"/>
      </w:pPr>
      <w:r>
        <w:rPr>
          <w:rFonts w:ascii="Courier New" w:cs="Courier New" w:eastAsia="Courier New" w:hAnsi="Courier New"/>
          <w:color w:val="1A1A1A"/>
          <w:sz w:val="18"/>
          <w:szCs w:val="18"/>
        </w:rPr>
        <w:t xml:space="preserve"/>
      </w:r>
    </w:p>
    <w:p>
      <w:pPr>
        <w:spacing w:before="0" w:after="0"/>
        <w:ind w:left="360"/>
      </w:pPr>
      <w:r>
        <w:rPr>
          <w:rFonts w:ascii="Courier New" w:cs="Courier New" w:eastAsia="Courier New" w:hAnsi="Courier New"/>
          <w:color w:val="007A4D"/>
          <w:sz w:val="18"/>
          <w:szCs w:val="18"/>
        </w:rPr>
        <w:t xml:space="preserve"># Heatmap des corrélations</w:t>
      </w:r>
    </w:p>
    <w:p>
      <w:pPr>
        <w:spacing w:before="0" w:after="0"/>
        <w:ind w:left="360"/>
      </w:pPr>
      <w:r>
        <w:rPr>
          <w:rFonts w:ascii="Courier New" w:cs="Courier New" w:eastAsia="Courier New" w:hAnsi="Courier New"/>
          <w:color w:val="1A1A1A"/>
          <w:sz w:val="18"/>
          <w:szCs w:val="18"/>
        </w:rPr>
        <w:t xml:space="preserve">plt.figure(figsize=(12, 8))</w:t>
      </w:r>
    </w:p>
    <w:p>
      <w:pPr>
        <w:spacing w:before="0" w:after="0"/>
        <w:ind w:left="360"/>
      </w:pPr>
      <w:r>
        <w:rPr>
          <w:rFonts w:ascii="Courier New" w:cs="Courier New" w:eastAsia="Courier New" w:hAnsi="Courier New"/>
          <w:color w:val="1A1A1A"/>
          <w:sz w:val="18"/>
          <w:szCs w:val="18"/>
        </w:rPr>
        <w:t xml:space="preserve">sns.heatmap(df.corr(), annot=True, cmap='YlOrBr', fmt='.2f')</w:t>
      </w:r>
    </w:p>
    <w:p>
      <w:pPr>
        <w:spacing w:before="0" w:after="0"/>
        <w:ind w:left="360"/>
      </w:pPr>
      <w:r>
        <w:rPr>
          <w:rFonts w:ascii="Courier New" w:cs="Courier New" w:eastAsia="Courier New" w:hAnsi="Courier New"/>
          <w:color w:val="1A1A1A"/>
          <w:sz w:val="18"/>
          <w:szCs w:val="18"/>
        </w:rPr>
        <w:t xml:space="preserve">plt.title('Matrice de corrélation — Variables OCP')</w:t>
      </w:r>
    </w:p>
    <w:p>
      <w:pPr>
        <w:spacing w:before="0" w:after="0"/>
        <w:ind w:left="360"/>
      </w:pPr>
      <w:r>
        <w:rPr>
          <w:rFonts w:ascii="Courier New" w:cs="Courier New" w:eastAsia="Courier New" w:hAnsi="Courier New"/>
          <w:color w:val="1A1A1A"/>
          <w:sz w:val="18"/>
          <w:szCs w:val="18"/>
        </w:rPr>
        <w:t xml:space="preserve">plt.tight_layout(); plt.show()</w:t>
      </w:r>
    </w:p>
    <w:p>
      <w:pPr>
        <w:spacing w:before="0" w:after="0"/>
        <w:ind w:left="360"/>
      </w:pPr>
      <w:r>
        <w:rPr>
          <w:rFonts w:ascii="Courier New" w:cs="Courier New" w:eastAsia="Courier New" w:hAnsi="Courier New"/>
          <w:color w:val="1A1A1A"/>
          <w:sz w:val="18"/>
          <w:szCs w:val="18"/>
        </w:rPr>
        <w:t xml:space="preserve"/>
      </w:r>
    </w:p>
    <w:p>
      <w:pPr>
        <w:spacing w:before="0" w:after="0"/>
        <w:ind w:left="360"/>
      </w:pPr>
      <w:r>
        <w:rPr>
          <w:rFonts w:ascii="Courier New" w:cs="Courier New" w:eastAsia="Courier New" w:hAnsi="Courier New"/>
          <w:color w:val="007A4D"/>
          <w:sz w:val="18"/>
          <w:szCs w:val="18"/>
        </w:rPr>
        <w:t xml:space="preserve"># Distribution de la variable cible</w:t>
      </w:r>
    </w:p>
    <w:p>
      <w:pPr>
        <w:spacing w:before="0" w:after="0"/>
        <w:ind w:left="360"/>
      </w:pPr>
      <w:r>
        <w:rPr>
          <w:rFonts w:ascii="Courier New" w:cs="Courier New" w:eastAsia="Courier New" w:hAnsi="Courier New"/>
          <w:color w:val="1A1A1A"/>
          <w:sz w:val="18"/>
          <w:szCs w:val="18"/>
        </w:rPr>
        <w:t xml:space="preserve">sns.histplot(df['ca_export_mmdh'], kde=True, color='#007A4D')</w:t>
      </w:r>
    </w:p>
    <w:p>
      <w:pPr>
        <w:spacing w:before="0" w:after="0"/>
        <w:ind w:left="360"/>
      </w:pPr>
      <w:r>
        <w:rPr>
          <w:rFonts w:ascii="Courier New" w:cs="Courier New" w:eastAsia="Courier New" w:hAnsi="Courier New"/>
          <w:color w:val="1A1A1A"/>
          <w:sz w:val="18"/>
          <w:szCs w:val="18"/>
        </w:rPr>
        <w:t xml:space="preserve">plt.title('Distribution du CA Export OCP (MMDH)')</w:t>
      </w:r>
    </w:p>
    <w:p>
      <w:pPr>
        <w:spacing w:before="0" w:after="0"/>
        <w:ind w:left="360"/>
      </w:pPr>
      <w:r>
        <w:rPr>
          <w:rFonts w:ascii="Courier New" w:cs="Courier New" w:eastAsia="Courier New" w:hAnsi="Courier New"/>
          <w:color w:val="1A1A1A"/>
          <w:sz w:val="18"/>
          <w:szCs w:val="18"/>
        </w:rPr>
        <w:t xml:space="preserve">plt.tight_layout(); plt.show()</w:t>
      </w:r>
    </w:p>
    <w:p>
      <w:pPr>
        <w:spacing w:before="0" w:after="0"/>
        <w:ind w:left="360"/>
      </w:pPr>
      <w:r>
        <w:rPr>
          <w:rFonts w:ascii="Courier New" w:cs="Courier New" w:eastAsia="Courier New" w:hAnsi="Courier New"/>
          <w:color w:val="1A1A1A"/>
          <w:sz w:val="18"/>
          <w:szCs w:val="18"/>
        </w:rPr>
        <w:t xml:space="preserve"/>
      </w:r>
    </w:p>
    <w:p>
      <w:pPr>
        <w:spacing w:before="0" w:after="0"/>
        <w:ind w:left="360"/>
      </w:pPr>
      <w:r>
        <w:rPr>
          <w:rFonts w:ascii="Courier New" w:cs="Courier New" w:eastAsia="Courier New" w:hAnsi="Courier New"/>
          <w:color w:val="007A4D"/>
          <w:sz w:val="18"/>
          <w:szCs w:val="18"/>
        </w:rPr>
        <w:t xml:space="preserve"># --- 4. FEATURE ENGINEERING ---</w:t>
      </w:r>
    </w:p>
    <w:p>
      <w:pPr>
        <w:spacing w:before="0" w:after="0"/>
        <w:ind w:left="360"/>
      </w:pPr>
      <w:r>
        <w:rPr>
          <w:rFonts w:ascii="Courier New" w:cs="Courier New" w:eastAsia="Courier New" w:hAnsi="Courier New"/>
          <w:color w:val="1A1A1A"/>
          <w:sz w:val="18"/>
          <w:szCs w:val="18"/>
        </w:rPr>
        <w:t xml:space="preserve">df['lag1_prix_dap'] = df['prix_dap_usd'].shift(1)</w:t>
      </w:r>
    </w:p>
    <w:p>
      <w:pPr>
        <w:spacing w:before="0" w:after="0"/>
        <w:ind w:left="360"/>
      </w:pPr>
      <w:r>
        <w:rPr>
          <w:rFonts w:ascii="Courier New" w:cs="Courier New" w:eastAsia="Courier New" w:hAnsi="Courier New"/>
          <w:color w:val="1A1A1A"/>
          <w:sz w:val="18"/>
          <w:szCs w:val="18"/>
        </w:rPr>
        <w:t xml:space="preserve">df['growth_ca_yoy'] = df['ca_export_mmdh'].pct_change()</w:t>
      </w:r>
    </w:p>
    <w:p>
      <w:pPr>
        <w:spacing w:before="0" w:after="0"/>
        <w:ind w:left="360"/>
      </w:pPr>
      <w:r>
        <w:rPr>
          <w:rFonts w:ascii="Courier New" w:cs="Courier New" w:eastAsia="Courier New" w:hAnsi="Courier New"/>
          <w:color w:val="1A1A1A"/>
          <w:sz w:val="18"/>
          <w:szCs w:val="18"/>
        </w:rPr>
        <w:t xml:space="preserve">df['ratio_vol_prix'] = df['volume_export_mt'] / df['prix_dap_usd']</w:t>
      </w:r>
    </w:p>
    <w:p>
      <w:pPr>
        <w:spacing w:before="0" w:after="0"/>
        <w:ind w:left="360"/>
      </w:pPr>
      <w:r>
        <w:rPr>
          <w:rFonts w:ascii="Courier New" w:cs="Courier New" w:eastAsia="Courier New" w:hAnsi="Courier New"/>
          <w:color w:val="1A1A1A"/>
          <w:sz w:val="18"/>
          <w:szCs w:val="18"/>
        </w:rPr>
        <w:t xml:space="preserve">df.dropna(inplace=True)</w:t>
      </w:r>
    </w:p>
    <w:p>
      <w:pPr>
        <w:spacing w:before="0" w:after="0"/>
        <w:ind w:left="360"/>
      </w:pPr>
      <w:r>
        <w:rPr>
          <w:rFonts w:ascii="Courier New" w:cs="Courier New" w:eastAsia="Courier New" w:hAnsi="Courier New"/>
          <w:color w:val="1A1A1A"/>
          <w:sz w:val="18"/>
          <w:szCs w:val="18"/>
        </w:rPr>
        <w:t xml:space="preserve"/>
      </w:r>
    </w:p>
    <w:p>
      <w:pPr>
        <w:spacing w:before="0" w:after="0"/>
        <w:ind w:left="360"/>
      </w:pPr>
      <w:r>
        <w:rPr>
          <w:rFonts w:ascii="Courier New" w:cs="Courier New" w:eastAsia="Courier New" w:hAnsi="Courier New"/>
          <w:color w:val="007A4D"/>
          <w:sz w:val="18"/>
          <w:szCs w:val="18"/>
        </w:rPr>
        <w:t xml:space="preserve"># --- 5. PRÉTRAITEMENT ---</w:t>
      </w:r>
    </w:p>
    <w:p>
      <w:pPr>
        <w:spacing w:before="0" w:after="0"/>
        <w:ind w:left="360"/>
      </w:pPr>
      <w:r>
        <w:rPr>
          <w:rFonts w:ascii="Courier New" w:cs="Courier New" w:eastAsia="Courier New" w:hAnsi="Courier New"/>
          <w:color w:val="1A1A1A"/>
          <w:sz w:val="18"/>
          <w:szCs w:val="18"/>
        </w:rPr>
        <w:t xml:space="preserve">le = LabelEncoder()</w:t>
      </w:r>
    </w:p>
    <w:p>
      <w:pPr>
        <w:spacing w:before="0" w:after="0"/>
        <w:ind w:left="360"/>
      </w:pPr>
      <w:r>
        <w:rPr>
          <w:rFonts w:ascii="Courier New" w:cs="Courier New" w:eastAsia="Courier New" w:hAnsi="Courier New"/>
          <w:color w:val="1A1A1A"/>
          <w:sz w:val="18"/>
          <w:szCs w:val="18"/>
        </w:rPr>
        <w:t xml:space="preserve">for col in ['region_destination', 'type_produit']:</w:t>
      </w:r>
    </w:p>
    <w:p>
      <w:pPr>
        <w:spacing w:before="0" w:after="0"/>
        <w:ind w:left="360"/>
      </w:pPr>
      <w:r>
        <w:rPr>
          <w:rFonts w:ascii="Courier New" w:cs="Courier New" w:eastAsia="Courier New" w:hAnsi="Courier New"/>
          <w:color w:val="1A1A1A"/>
          <w:sz w:val="18"/>
          <w:szCs w:val="18"/>
        </w:rPr>
        <w:t xml:space="preserve">    df[col] = le.fit_transform(df[col].astype(str))</w:t>
      </w:r>
    </w:p>
    <w:p>
      <w:pPr>
        <w:spacing w:before="0" w:after="0"/>
        <w:ind w:left="360"/>
      </w:pPr>
      <w:r>
        <w:rPr>
          <w:rFonts w:ascii="Courier New" w:cs="Courier New" w:eastAsia="Courier New" w:hAnsi="Courier New"/>
          <w:color w:val="1A1A1A"/>
          <w:sz w:val="18"/>
          <w:szCs w:val="18"/>
        </w:rPr>
        <w:t xml:space="preserve"/>
      </w:r>
    </w:p>
    <w:p>
      <w:pPr>
        <w:spacing w:before="0" w:after="0"/>
        <w:ind w:left="360"/>
      </w:pPr>
      <w:r>
        <w:rPr>
          <w:rFonts w:ascii="Courier New" w:cs="Courier New" w:eastAsia="Courier New" w:hAnsi="Courier New"/>
          <w:color w:val="1A1A1A"/>
          <w:sz w:val="18"/>
          <w:szCs w:val="18"/>
        </w:rPr>
        <w:t xml:space="preserve">X = df.drop('ca_export_mmdh', axis=1)</w:t>
      </w:r>
    </w:p>
    <w:p>
      <w:pPr>
        <w:spacing w:before="0" w:after="0"/>
        <w:ind w:left="360"/>
      </w:pPr>
      <w:r>
        <w:rPr>
          <w:rFonts w:ascii="Courier New" w:cs="Courier New" w:eastAsia="Courier New" w:hAnsi="Courier New"/>
          <w:color w:val="1A1A1A"/>
          <w:sz w:val="18"/>
          <w:szCs w:val="18"/>
        </w:rPr>
        <w:t xml:space="preserve">y = df['ca_export_mmdh']</w:t>
      </w:r>
    </w:p>
    <w:p>
      <w:pPr>
        <w:spacing w:before="0" w:after="0"/>
        <w:ind w:left="360"/>
      </w:pPr>
      <w:r>
        <w:rPr>
          <w:rFonts w:ascii="Courier New" w:cs="Courier New" w:eastAsia="Courier New" w:hAnsi="Courier New"/>
          <w:color w:val="1A1A1A"/>
          <w:sz w:val="18"/>
          <w:szCs w:val="18"/>
        </w:rPr>
        <w:t xml:space="preserve"/>
      </w:r>
    </w:p>
    <w:p>
      <w:pPr>
        <w:spacing w:before="0" w:after="0"/>
        <w:ind w:left="360"/>
      </w:pPr>
      <w:r>
        <w:rPr>
          <w:rFonts w:ascii="Courier New" w:cs="Courier New" w:eastAsia="Courier New" w:hAnsi="Courier New"/>
          <w:color w:val="007A4D"/>
          <w:sz w:val="18"/>
          <w:szCs w:val="18"/>
        </w:rPr>
        <w:t xml:space="preserve"># Split temporel (pas de stratify en régression)</w:t>
      </w:r>
    </w:p>
    <w:p>
      <w:pPr>
        <w:spacing w:before="0" w:after="0"/>
        <w:ind w:left="360"/>
      </w:pPr>
      <w:r>
        <w:rPr>
          <w:rFonts w:ascii="Courier New" w:cs="Courier New" w:eastAsia="Courier New" w:hAnsi="Courier New"/>
          <w:color w:val="1A1A1A"/>
          <w:sz w:val="18"/>
          <w:szCs w:val="18"/>
        </w:rPr>
        <w:t xml:space="preserve">X_train, X_test, y_train, y_test = train_test_split(</w:t>
      </w:r>
    </w:p>
    <w:p>
      <w:pPr>
        <w:spacing w:before="0" w:after="0"/>
        <w:ind w:left="360"/>
      </w:pPr>
      <w:r>
        <w:rPr>
          <w:rFonts w:ascii="Courier New" w:cs="Courier New" w:eastAsia="Courier New" w:hAnsi="Courier New"/>
          <w:color w:val="1A1A1A"/>
          <w:sz w:val="18"/>
          <w:szCs w:val="18"/>
        </w:rPr>
        <w:t xml:space="preserve">    X, y, test_size=0.2, random_state=42, shuffle=False)</w:t>
      </w:r>
    </w:p>
    <w:p>
      <w:pPr>
        <w:spacing w:before="0" w:after="0"/>
        <w:ind w:left="360"/>
      </w:pPr>
      <w:r>
        <w:rPr>
          <w:rFonts w:ascii="Courier New" w:cs="Courier New" w:eastAsia="Courier New" w:hAnsi="Courier New"/>
          <w:color w:val="1A1A1A"/>
          <w:sz w:val="18"/>
          <w:szCs w:val="18"/>
        </w:rPr>
        <w:t xml:space="preserve"/>
      </w:r>
    </w:p>
    <w:p>
      <w:pPr>
        <w:spacing w:before="0" w:after="0"/>
        <w:ind w:left="360"/>
      </w:pPr>
      <w:r>
        <w:rPr>
          <w:rFonts w:ascii="Courier New" w:cs="Courier New" w:eastAsia="Courier New" w:hAnsi="Courier New"/>
          <w:color w:val="1A1A1A"/>
          <w:sz w:val="18"/>
          <w:szCs w:val="18"/>
        </w:rPr>
        <w:t xml:space="preserve">scaler = StandardScaler()</w:t>
      </w:r>
    </w:p>
    <w:p>
      <w:pPr>
        <w:spacing w:before="0" w:after="0"/>
        <w:ind w:left="360"/>
      </w:pPr>
      <w:r>
        <w:rPr>
          <w:rFonts w:ascii="Courier New" w:cs="Courier New" w:eastAsia="Courier New" w:hAnsi="Courier New"/>
          <w:color w:val="1A1A1A"/>
          <w:sz w:val="18"/>
          <w:szCs w:val="18"/>
        </w:rPr>
        <w:t xml:space="preserve">X_train_sc = scaler.fit_transform(X_train)</w:t>
      </w:r>
    </w:p>
    <w:p>
      <w:pPr>
        <w:spacing w:before="0" w:after="0"/>
        <w:ind w:left="360"/>
      </w:pPr>
      <w:r>
        <w:rPr>
          <w:rFonts w:ascii="Courier New" w:cs="Courier New" w:eastAsia="Courier New" w:hAnsi="Courier New"/>
          <w:color w:val="1A1A1A"/>
          <w:sz w:val="18"/>
          <w:szCs w:val="18"/>
        </w:rPr>
        <w:t xml:space="preserve">X_test_sc  = scaler.transform(X_test)</w:t>
      </w:r>
    </w:p>
    <w:p>
      <w:pPr>
        <w:spacing w:before="0" w:after="0"/>
        <w:ind w:left="360"/>
      </w:pPr>
      <w:r>
        <w:rPr>
          <w:rFonts w:ascii="Courier New" w:cs="Courier New" w:eastAsia="Courier New" w:hAnsi="Courier New"/>
          <w:color w:val="1A1A1A"/>
          <w:sz w:val="18"/>
          <w:szCs w:val="18"/>
        </w:rPr>
        <w:t xml:space="preserve"/>
      </w:r>
    </w:p>
    <w:p>
      <w:pPr>
        <w:spacing w:before="0" w:after="0"/>
        <w:ind w:left="360"/>
      </w:pPr>
      <w:r>
        <w:rPr>
          <w:rFonts w:ascii="Courier New" w:cs="Courier New" w:eastAsia="Courier New" w:hAnsi="Courier New"/>
          <w:color w:val="007A4D"/>
          <w:sz w:val="18"/>
          <w:szCs w:val="18"/>
        </w:rPr>
        <w:t xml:space="preserve"># --- 6. MODÉLISATION &amp; ÉVALUATION ---</w:t>
      </w:r>
    </w:p>
    <w:p>
      <w:pPr>
        <w:spacing w:before="0" w:after="0"/>
        <w:ind w:left="360"/>
      </w:pPr>
      <w:r>
        <w:rPr>
          <w:rFonts w:ascii="Courier New" w:cs="Courier New" w:eastAsia="Courier New" w:hAnsi="Courier New"/>
          <w:color w:val="1A1A1A"/>
          <w:sz w:val="18"/>
          <w:szCs w:val="18"/>
        </w:rPr>
        <w:t xml:space="preserve">models = {</w:t>
      </w:r>
    </w:p>
    <w:p>
      <w:pPr>
        <w:spacing w:before="0" w:after="0"/>
        <w:ind w:left="360"/>
      </w:pPr>
      <w:r>
        <w:rPr>
          <w:rFonts w:ascii="Courier New" w:cs="Courier New" w:eastAsia="Courier New" w:hAnsi="Courier New"/>
          <w:color w:val="1A1A1A"/>
          <w:sz w:val="18"/>
          <w:szCs w:val="18"/>
        </w:rPr>
        <w:t xml:space="preserve">    'Linear Regression' : LinearRegression(),</w:t>
      </w:r>
    </w:p>
    <w:p>
      <w:pPr>
        <w:spacing w:before="0" w:after="0"/>
        <w:ind w:left="360"/>
      </w:pPr>
      <w:r>
        <w:rPr>
          <w:rFonts w:ascii="Courier New" w:cs="Courier New" w:eastAsia="Courier New" w:hAnsi="Courier New"/>
          <w:color w:val="1A1A1A"/>
          <w:sz w:val="18"/>
          <w:szCs w:val="18"/>
        </w:rPr>
        <w:t xml:space="preserve">    'Ridge Regression'  : Ridge(alpha=1.0),</w:t>
      </w:r>
    </w:p>
    <w:p>
      <w:pPr>
        <w:spacing w:before="0" w:after="0"/>
        <w:ind w:left="360"/>
      </w:pPr>
      <w:r>
        <w:rPr>
          <w:rFonts w:ascii="Courier New" w:cs="Courier New" w:eastAsia="Courier New" w:hAnsi="Courier New"/>
          <w:color w:val="1A1A1A"/>
          <w:sz w:val="18"/>
          <w:szCs w:val="18"/>
        </w:rPr>
        <w:t xml:space="preserve">    'Random Forest'     : RandomForestRegressor(n_estimators=200, random_state=42),</w:t>
      </w:r>
    </w:p>
    <w:p>
      <w:pPr>
        <w:spacing w:before="0" w:after="0"/>
        <w:ind w:left="360"/>
      </w:pPr>
      <w:r>
        <w:rPr>
          <w:rFonts w:ascii="Courier New" w:cs="Courier New" w:eastAsia="Courier New" w:hAnsi="Courier New"/>
          <w:color w:val="1A1A1A"/>
          <w:sz w:val="18"/>
          <w:szCs w:val="18"/>
        </w:rPr>
        <w:t xml:space="preserve">    'XGBoost'           : XGBRegressor(n_estimators=200, learning_rate=0.05,</w:t>
      </w:r>
    </w:p>
    <w:p>
      <w:pPr>
        <w:spacing w:before="0" w:after="0"/>
        <w:ind w:left="360"/>
      </w:pPr>
      <w:r>
        <w:rPr>
          <w:rFonts w:ascii="Courier New" w:cs="Courier New" w:eastAsia="Courier New" w:hAnsi="Courier New"/>
          <w:color w:val="1A1A1A"/>
          <w:sz w:val="18"/>
          <w:szCs w:val="18"/>
        </w:rPr>
        <w:t xml:space="preserve">                                        max_depth=4, random_state=42)</w:t>
      </w:r>
    </w:p>
    <w:p>
      <w:pPr>
        <w:spacing w:before="0" w:after="0"/>
        <w:ind w:left="360"/>
      </w:pPr>
      <w:r>
        <w:rPr>
          <w:rFonts w:ascii="Courier New" w:cs="Courier New" w:eastAsia="Courier New" w:hAnsi="Courier New"/>
          <w:color w:val="1A1A1A"/>
          <w:sz w:val="18"/>
          <w:szCs w:val="18"/>
        </w:rPr>
        <w:t xml:space="preserve">}</w:t>
      </w:r>
    </w:p>
    <w:p>
      <w:pPr>
        <w:spacing w:before="0" w:after="0"/>
        <w:ind w:left="360"/>
      </w:pPr>
      <w:r>
        <w:rPr>
          <w:rFonts w:ascii="Courier New" w:cs="Courier New" w:eastAsia="Courier New" w:hAnsi="Courier New"/>
          <w:color w:val="1A1A1A"/>
          <w:sz w:val="18"/>
          <w:szCs w:val="18"/>
        </w:rPr>
        <w:t xml:space="preserve"/>
      </w:r>
    </w:p>
    <w:p>
      <w:pPr>
        <w:spacing w:before="0" w:after="0"/>
        <w:ind w:left="360"/>
      </w:pPr>
      <w:r>
        <w:rPr>
          <w:rFonts w:ascii="Courier New" w:cs="Courier New" w:eastAsia="Courier New" w:hAnsi="Courier New"/>
          <w:color w:val="1A1A1A"/>
          <w:sz w:val="18"/>
          <w:szCs w:val="18"/>
        </w:rPr>
        <w:t xml:space="preserve">results = {}</w:t>
      </w:r>
    </w:p>
    <w:p>
      <w:pPr>
        <w:spacing w:before="0" w:after="0"/>
        <w:ind w:left="360"/>
      </w:pPr>
      <w:r>
        <w:rPr>
          <w:rFonts w:ascii="Courier New" w:cs="Courier New" w:eastAsia="Courier New" w:hAnsi="Courier New"/>
          <w:color w:val="1A1A1A"/>
          <w:sz w:val="18"/>
          <w:szCs w:val="18"/>
        </w:rPr>
        <w:t xml:space="preserve">for name, model in models.items():</w:t>
      </w:r>
    </w:p>
    <w:p>
      <w:pPr>
        <w:spacing w:before="0" w:after="0"/>
        <w:ind w:left="360"/>
      </w:pPr>
      <w:r>
        <w:rPr>
          <w:rFonts w:ascii="Courier New" w:cs="Courier New" w:eastAsia="Courier New" w:hAnsi="Courier New"/>
          <w:color w:val="1A1A1A"/>
          <w:sz w:val="18"/>
          <w:szCs w:val="18"/>
        </w:rPr>
        <w:t xml:space="preserve">    model.fit(X_train_sc, y_train)</w:t>
      </w:r>
    </w:p>
    <w:p>
      <w:pPr>
        <w:spacing w:before="0" w:after="0"/>
        <w:ind w:left="360"/>
      </w:pPr>
      <w:r>
        <w:rPr>
          <w:rFonts w:ascii="Courier New" w:cs="Courier New" w:eastAsia="Courier New" w:hAnsi="Courier New"/>
          <w:color w:val="1A1A1A"/>
          <w:sz w:val="18"/>
          <w:szCs w:val="18"/>
        </w:rPr>
        <w:t xml:space="preserve">    y_pred = model.predict(X_test_sc)</w:t>
      </w:r>
    </w:p>
    <w:p>
      <w:pPr>
        <w:spacing w:before="0" w:after="0"/>
        <w:ind w:left="360"/>
      </w:pPr>
      <w:r>
        <w:rPr>
          <w:rFonts w:ascii="Courier New" w:cs="Courier New" w:eastAsia="Courier New" w:hAnsi="Courier New"/>
          <w:color w:val="1A1A1A"/>
          <w:sz w:val="18"/>
          <w:szCs w:val="18"/>
        </w:rPr>
        <w:t xml:space="preserve">    rmse = np.sqrt(mean_squared_error(y_test, y_pred))</w:t>
      </w:r>
    </w:p>
    <w:p>
      <w:pPr>
        <w:spacing w:before="0" w:after="0"/>
        <w:ind w:left="360"/>
      </w:pPr>
      <w:r>
        <w:rPr>
          <w:rFonts w:ascii="Courier New" w:cs="Courier New" w:eastAsia="Courier New" w:hAnsi="Courier New"/>
          <w:color w:val="1A1A1A"/>
          <w:sz w:val="18"/>
          <w:szCs w:val="18"/>
        </w:rPr>
        <w:t xml:space="preserve">    mae  = mean_absolute_error(y_test, y_pred)</w:t>
      </w:r>
    </w:p>
    <w:p>
      <w:pPr>
        <w:spacing w:before="0" w:after="0"/>
        <w:ind w:left="360"/>
      </w:pPr>
      <w:r>
        <w:rPr>
          <w:rFonts w:ascii="Courier New" w:cs="Courier New" w:eastAsia="Courier New" w:hAnsi="Courier New"/>
          <w:color w:val="1A1A1A"/>
          <w:sz w:val="18"/>
          <w:szCs w:val="18"/>
        </w:rPr>
        <w:t xml:space="preserve">    r2   = r2_score(y_test, y_pred)</w:t>
      </w:r>
    </w:p>
    <w:p>
      <w:pPr>
        <w:spacing w:before="0" w:after="0"/>
        <w:ind w:left="360"/>
      </w:pPr>
      <w:r>
        <w:rPr>
          <w:rFonts w:ascii="Courier New" w:cs="Courier New" w:eastAsia="Courier New" w:hAnsi="Courier New"/>
          <w:color w:val="1A1A1A"/>
          <w:sz w:val="18"/>
          <w:szCs w:val="18"/>
        </w:rPr>
        <w:t xml:space="preserve">    results[name] = {'RMSE': rmse, 'MAE': mae, 'R2': r2}</w:t>
      </w:r>
    </w:p>
    <w:p>
      <w:pPr>
        <w:spacing w:before="0" w:after="0"/>
        <w:ind w:left="360"/>
      </w:pPr>
      <w:r>
        <w:rPr>
          <w:rFonts w:ascii="Courier New" w:cs="Courier New" w:eastAsia="Courier New" w:hAnsi="Courier New"/>
          <w:color w:val="1A1A1A"/>
          <w:sz w:val="18"/>
          <w:szCs w:val="18"/>
        </w:rPr>
        <w:t xml:space="preserve">    print(f'{name} -&gt; RMSE: {rmse:.2f} | MAE: {mae:.2f} | R²: {r2:.4f}')</w:t>
      </w:r>
    </w:p>
    <w:p>
      <w:pPr>
        <w:spacing w:before="0" w:after="0"/>
        <w:ind w:left="360"/>
      </w:pPr>
      <w:r>
        <w:rPr>
          <w:rFonts w:ascii="Courier New" w:cs="Courier New" w:eastAsia="Courier New" w:hAnsi="Courier New"/>
          <w:color w:val="1A1A1A"/>
          <w:sz w:val="18"/>
          <w:szCs w:val="18"/>
        </w:rPr>
        <w:t xml:space="preserve"/>
      </w:r>
    </w:p>
    <w:p>
      <w:pPr>
        <w:spacing w:before="0" w:after="0"/>
        <w:ind w:left="360"/>
      </w:pPr>
      <w:r>
        <w:rPr>
          <w:rFonts w:ascii="Courier New" w:cs="Courier New" w:eastAsia="Courier New" w:hAnsi="Courier New"/>
          <w:color w:val="007A4D"/>
          <w:sz w:val="18"/>
          <w:szCs w:val="18"/>
        </w:rPr>
        <w:t xml:space="preserve"># Sélection du meilleur modèle</w:t>
      </w:r>
    </w:p>
    <w:p>
      <w:pPr>
        <w:spacing w:before="0" w:after="0"/>
        <w:ind w:left="360"/>
      </w:pPr>
      <w:r>
        <w:rPr>
          <w:rFonts w:ascii="Courier New" w:cs="Courier New" w:eastAsia="Courier New" w:hAnsi="Courier New"/>
          <w:color w:val="1A1A1A"/>
          <w:sz w:val="18"/>
          <w:szCs w:val="18"/>
        </w:rPr>
        <w:t xml:space="preserve">best_model_name = min(results, key=lambda x: results[x]['RMSE'])</w:t>
      </w:r>
    </w:p>
    <w:p>
      <w:pPr>
        <w:spacing w:before="0" w:after="0"/>
        <w:ind w:left="360"/>
      </w:pPr>
      <w:r>
        <w:rPr>
          <w:rFonts w:ascii="Courier New" w:cs="Courier New" w:eastAsia="Courier New" w:hAnsi="Courier New"/>
          <w:color w:val="1A1A1A"/>
          <w:sz w:val="18"/>
          <w:szCs w:val="18"/>
        </w:rPr>
        <w:t xml:space="preserve">best_model = models[best_model_name]</w:t>
      </w:r>
    </w:p>
    <w:p>
      <w:pPr>
        <w:spacing w:before="0" w:after="0"/>
        <w:ind w:left="360"/>
      </w:pPr>
      <w:r>
        <w:rPr>
          <w:rFonts w:ascii="Courier New" w:cs="Courier New" w:eastAsia="Courier New" w:hAnsi="Courier New"/>
          <w:color w:val="1A1A1A"/>
          <w:sz w:val="18"/>
          <w:szCs w:val="18"/>
        </w:rPr>
        <w:t xml:space="preserve">print(f'\nMeilleur modèle : {best_model_name}')</w:t>
      </w:r>
    </w:p>
    <w:p>
      <w:pPr>
        <w:spacing w:before="0" w:after="0"/>
        <w:ind w:left="360"/>
      </w:pPr>
      <w:r>
        <w:rPr>
          <w:rFonts w:ascii="Courier New" w:cs="Courier New" w:eastAsia="Courier New" w:hAnsi="Courier New"/>
          <w:color w:val="1A1A1A"/>
          <w:sz w:val="18"/>
          <w:szCs w:val="18"/>
        </w:rPr>
        <w:t xml:space="preserve"/>
      </w:r>
    </w:p>
    <w:p>
      <w:pPr>
        <w:spacing w:before="0" w:after="0"/>
        <w:ind w:left="360"/>
      </w:pPr>
      <w:r>
        <w:rPr>
          <w:rFonts w:ascii="Courier New" w:cs="Courier New" w:eastAsia="Courier New" w:hAnsi="Courier New"/>
          <w:color w:val="007A4D"/>
          <w:sz w:val="18"/>
          <w:szCs w:val="18"/>
        </w:rPr>
        <w:t xml:space="preserve"># --- 7. INTERPRÉTABILITÉ SHAP ---</w:t>
      </w:r>
    </w:p>
    <w:p>
      <w:pPr>
        <w:spacing w:before="0" w:after="0"/>
        <w:ind w:left="360"/>
      </w:pPr>
      <w:r>
        <w:rPr>
          <w:rFonts w:ascii="Courier New" w:cs="Courier New" w:eastAsia="Courier New" w:hAnsi="Courier New"/>
          <w:color w:val="1A1A1A"/>
          <w:sz w:val="18"/>
          <w:szCs w:val="18"/>
        </w:rPr>
        <w:t xml:space="preserve">explainer = shap.TreeExplainer(best_model)</w:t>
      </w:r>
    </w:p>
    <w:p>
      <w:pPr>
        <w:spacing w:before="0" w:after="0"/>
        <w:ind w:left="360"/>
      </w:pPr>
      <w:r>
        <w:rPr>
          <w:rFonts w:ascii="Courier New" w:cs="Courier New" w:eastAsia="Courier New" w:hAnsi="Courier New"/>
          <w:color w:val="1A1A1A"/>
          <w:sz w:val="18"/>
          <w:szCs w:val="18"/>
        </w:rPr>
        <w:t xml:space="preserve">shap_values = explainer.shap_values(X_test_sc)</w:t>
      </w:r>
    </w:p>
    <w:p>
      <w:pPr>
        <w:spacing w:before="0" w:after="0"/>
        <w:ind w:left="360"/>
      </w:pPr>
      <w:r>
        <w:rPr>
          <w:rFonts w:ascii="Courier New" w:cs="Courier New" w:eastAsia="Courier New" w:hAnsi="Courier New"/>
          <w:color w:val="1A1A1A"/>
          <w:sz w:val="18"/>
          <w:szCs w:val="18"/>
        </w:rPr>
        <w:t xml:space="preserve">shap.summary_plot(shap_values, X_test_sc,</w:t>
      </w:r>
    </w:p>
    <w:p>
      <w:pPr>
        <w:spacing w:before="0" w:after="0"/>
        <w:ind w:left="360"/>
      </w:pPr>
      <w:r>
        <w:rPr>
          <w:rFonts w:ascii="Courier New" w:cs="Courier New" w:eastAsia="Courier New" w:hAnsi="Courier New"/>
          <w:color w:val="1A1A1A"/>
          <w:sz w:val="18"/>
          <w:szCs w:val="18"/>
        </w:rPr>
        <w:t xml:space="preserve">                  feature_names=X.columns.tolist(),</w:t>
      </w:r>
    </w:p>
    <w:p>
      <w:pPr>
        <w:spacing w:before="0" w:after="0"/>
        <w:ind w:left="360"/>
      </w:pPr>
      <w:r>
        <w:rPr>
          <w:rFonts w:ascii="Courier New" w:cs="Courier New" w:eastAsia="Courier New" w:hAnsi="Courier New"/>
          <w:color w:val="1A1A1A"/>
          <w:sz w:val="18"/>
          <w:szCs w:val="18"/>
        </w:rPr>
        <w:t xml:space="preserve">                  plot_type='bar',</w:t>
      </w:r>
    </w:p>
    <w:p>
      <w:pPr>
        <w:spacing w:before="0" w:after="0"/>
        <w:ind w:left="360"/>
      </w:pPr>
      <w:r>
        <w:rPr>
          <w:rFonts w:ascii="Courier New" w:cs="Courier New" w:eastAsia="Courier New" w:hAnsi="Courier New"/>
          <w:color w:val="1A1A1A"/>
          <w:sz w:val="18"/>
          <w:szCs w:val="18"/>
        </w:rPr>
        <w:t xml:space="preserve">                  color='#007A4D')</w:t>
      </w:r>
    </w:p>
    <w:p>
      <w:pPr>
        <w:spacing w:before="0" w:after="0"/>
        <w:ind w:left="360"/>
      </w:pPr>
      <w:r>
        <w:rPr>
          <w:rFonts w:ascii="Courier New" w:cs="Courier New" w:eastAsia="Courier New" w:hAnsi="Courier New"/>
          <w:color w:val="1A1A1A"/>
          <w:sz w:val="18"/>
          <w:szCs w:val="18"/>
        </w:rPr>
        <w:t xml:space="preserve"/>
      </w:r>
    </w:p>
    <w:p>
      <w:pPr>
        <w:spacing w:before="0" w:after="0"/>
        <w:ind w:left="360"/>
      </w:pPr>
      <w:r>
        <w:rPr>
          <w:rFonts w:ascii="Courier New" w:cs="Courier New" w:eastAsia="Courier New" w:hAnsi="Courier New"/>
          <w:color w:val="007A4D"/>
          <w:sz w:val="18"/>
          <w:szCs w:val="18"/>
        </w:rPr>
        <w:t xml:space="preserve"># --- 8. VISUALISATION PRÉDICTIONS vs RÉEL ---</w:t>
      </w:r>
    </w:p>
    <w:p>
      <w:pPr>
        <w:spacing w:before="0" w:after="0"/>
        <w:ind w:left="360"/>
      </w:pPr>
      <w:r>
        <w:rPr>
          <w:rFonts w:ascii="Courier New" w:cs="Courier New" w:eastAsia="Courier New" w:hAnsi="Courier New"/>
          <w:color w:val="1A1A1A"/>
          <w:sz w:val="18"/>
          <w:szCs w:val="18"/>
        </w:rPr>
        <w:t xml:space="preserve">y_best_pred = best_model.predict(X_test_sc)</w:t>
      </w:r>
    </w:p>
    <w:p>
      <w:pPr>
        <w:spacing w:before="0" w:after="0"/>
        <w:ind w:left="360"/>
      </w:pPr>
      <w:r>
        <w:rPr>
          <w:rFonts w:ascii="Courier New" w:cs="Courier New" w:eastAsia="Courier New" w:hAnsi="Courier New"/>
          <w:color w:val="1A1A1A"/>
          <w:sz w:val="18"/>
          <w:szCs w:val="18"/>
        </w:rPr>
        <w:t xml:space="preserve">plt.figure(figsize=(10, 5))</w:t>
      </w:r>
    </w:p>
    <w:p>
      <w:pPr>
        <w:spacing w:before="0" w:after="0"/>
        <w:ind w:left="360"/>
      </w:pPr>
      <w:r>
        <w:rPr>
          <w:rFonts w:ascii="Courier New" w:cs="Courier New" w:eastAsia="Courier New" w:hAnsi="Courier New"/>
          <w:color w:val="1A1A1A"/>
          <w:sz w:val="18"/>
          <w:szCs w:val="18"/>
        </w:rPr>
        <w:t xml:space="preserve">plt.plot(y_test.values, label='Réel', color='#007A4D', linewidth=2)</w:t>
      </w:r>
    </w:p>
    <w:p>
      <w:pPr>
        <w:spacing w:before="0" w:after="0"/>
        <w:ind w:left="360"/>
      </w:pPr>
      <w:r>
        <w:rPr>
          <w:rFonts w:ascii="Courier New" w:cs="Courier New" w:eastAsia="Courier New" w:hAnsi="Courier New"/>
          <w:color w:val="1A1A1A"/>
          <w:sz w:val="18"/>
          <w:szCs w:val="18"/>
        </w:rPr>
        <w:t xml:space="preserve">plt.plot(y_best_pred, label='Prédit', color='#C8A400', linewidth=2, linestyle='--')</w:t>
      </w:r>
    </w:p>
    <w:p>
      <w:pPr>
        <w:spacing w:before="0" w:after="0"/>
        <w:ind w:left="360"/>
      </w:pPr>
      <w:r>
        <w:rPr>
          <w:rFonts w:ascii="Courier New" w:cs="Courier New" w:eastAsia="Courier New" w:hAnsi="Courier New"/>
          <w:color w:val="1A1A1A"/>
          <w:sz w:val="18"/>
          <w:szCs w:val="18"/>
        </w:rPr>
        <w:t xml:space="preserve">plt.title(f'CA Export OCP — Réel vs Prédit ({best_model_name})')</w:t>
      </w:r>
    </w:p>
    <w:p>
      <w:pPr>
        <w:spacing w:before="0" w:after="0"/>
        <w:ind w:left="360"/>
      </w:pPr>
      <w:r>
        <w:rPr>
          <w:rFonts w:ascii="Courier New" w:cs="Courier New" w:eastAsia="Courier New" w:hAnsi="Courier New"/>
          <w:color w:val="1A1A1A"/>
          <w:sz w:val="18"/>
          <w:szCs w:val="18"/>
        </w:rPr>
        <w:t xml:space="preserve">plt.xlabel('Observations'); plt.ylabel('CA Export (MMDH)')</w:t>
      </w:r>
    </w:p>
    <w:p>
      <w:pPr>
        <w:spacing w:before="0" w:after="0"/>
        <w:ind w:left="360"/>
      </w:pPr>
      <w:r>
        <w:rPr>
          <w:rFonts w:ascii="Courier New" w:cs="Courier New" w:eastAsia="Courier New" w:hAnsi="Courier New"/>
          <w:color w:val="1A1A1A"/>
          <w:sz w:val="18"/>
          <w:szCs w:val="18"/>
        </w:rPr>
        <w:t xml:space="preserve">plt.legend(); plt.tight_layout(); plt.show()</w:t>
      </w:r>
    </w:p>
    <w:p>
      <w:pPr>
        <w:spacing w:before="0" w:after="0"/>
        <w:ind w:left="360"/>
      </w:pPr>
      <w:r>
        <w:rPr>
          <w:rFonts w:ascii="Courier New" w:cs="Courier New" w:eastAsia="Courier New" w:hAnsi="Courier New"/>
          <w:color w:val="1A1A1A"/>
          <w:sz w:val="18"/>
          <w:szCs w:val="18"/>
        </w:rPr>
        <w:t xml:space="preserve"/>
      </w:r>
    </w:p>
    <w:p>
      <w:pPr>
        <w:spacing w:before="0" w:after="0"/>
        <w:ind w:left="360"/>
      </w:pPr>
      <w:r>
        <w:rPr>
          <w:rFonts w:ascii="Courier New" w:cs="Courier New" w:eastAsia="Courier New" w:hAnsi="Courier New"/>
          <w:color w:val="007A4D"/>
          <w:sz w:val="18"/>
          <w:szCs w:val="18"/>
        </w:rPr>
        <w:t xml:space="preserve"># --- 9. SAUVEGARDE ---</w:t>
      </w:r>
    </w:p>
    <w:p>
      <w:pPr>
        <w:spacing w:before="0" w:after="0"/>
        <w:ind w:left="360"/>
      </w:pPr>
      <w:r>
        <w:rPr>
          <w:rFonts w:ascii="Courier New" w:cs="Courier New" w:eastAsia="Courier New" w:hAnsi="Courier New"/>
          <w:color w:val="1A1A1A"/>
          <w:sz w:val="18"/>
          <w:szCs w:val="18"/>
        </w:rPr>
        <w:t xml:space="preserve">import joblib</w:t>
      </w:r>
    </w:p>
    <w:p>
      <w:pPr>
        <w:spacing w:before="0" w:after="0"/>
        <w:ind w:left="360"/>
      </w:pPr>
      <w:r>
        <w:rPr>
          <w:rFonts w:ascii="Courier New" w:cs="Courier New" w:eastAsia="Courier New" w:hAnsi="Courier New"/>
          <w:color w:val="1A1A1A"/>
          <w:sz w:val="18"/>
          <w:szCs w:val="18"/>
        </w:rPr>
        <w:t xml:space="preserve">joblib.dump(best_model, 'model_ocp_best.pkl')</w:t>
      </w:r>
    </w:p>
    <w:p>
      <w:pPr>
        <w:spacing w:before="0" w:after="0"/>
        <w:ind w:left="360"/>
      </w:pPr>
      <w:r>
        <w:rPr>
          <w:rFonts w:ascii="Courier New" w:cs="Courier New" w:eastAsia="Courier New" w:hAnsi="Courier New"/>
          <w:color w:val="1A1A1A"/>
          <w:sz w:val="18"/>
          <w:szCs w:val="18"/>
        </w:rPr>
        <w:t xml:space="preserve">joblib.dump(scaler,     'scaler_ocp.pkl')</w:t>
      </w:r>
    </w:p>
    <w:p>
      <w:pPr>
        <w:spacing w:before="0" w:after="0"/>
        <w:ind w:left="360"/>
      </w:pPr>
      <w:r>
        <w:rPr>
          <w:rFonts w:ascii="Courier New" w:cs="Courier New" w:eastAsia="Courier New" w:hAnsi="Courier New"/>
          <w:color w:val="1A1A1A"/>
          <w:sz w:val="18"/>
          <w:szCs w:val="18"/>
        </w:rPr>
        <w:t xml:space="preserve">print('Modèle sauvegardé : model_ocp_best.pkl')</w:t>
      </w:r>
    </w:p>
    <w:p>
      <w:pPr>
        <w:spacing w:before="0" w:after="160"/>
      </w:pPr>
    </w:p>
    <w:p>
      <w:pPr>
        <w:pStyle w:val="Heading2"/>
        <w:spacing w:before="280" w:after="120"/>
      </w:pPr>
      <w:r>
        <w:rPr>
          <w:rFonts w:ascii="Arial" w:cs="Arial" w:eastAsia="Arial" w:hAnsi="Arial"/>
          <w:b/>
          <w:bCs/>
          <w:color w:val="C8A400"/>
          <w:sz w:val="24"/>
          <w:szCs w:val="24"/>
        </w:rPr>
        <w:t xml:space="preserve">II.5 Interprétabilité avec SHAP</w:t>
      </w:r>
    </w:p>
    <w:p>
      <w:pPr>
        <w:spacing w:before="60" w:after="80"/>
        <w:jc w:val="both"/>
      </w:pPr>
      <w:r>
        <w:rPr>
          <w:rFonts w:ascii="Arial" w:cs="Arial" w:eastAsia="Arial" w:hAnsi="Arial"/>
          <w:color w:val="1A1A1A"/>
          <w:sz w:val="22"/>
          <w:szCs w:val="22"/>
        </w:rPr>
        <w:t xml:space="preserve">L'analyse SHAP (SHapley Additive exPlanations) a été appliquée sur le modèle XGBoost retenu afin d'identifier les facteurs les plus déterminants du CA export OCP :</w:t>
      </w:r>
    </w:p>
    <w:p>
      <w:pPr>
        <w:pStyle w:val="ListParagraph"/>
        <w:numPr>
          <w:ilvl w:val="0"/>
          <w:numId w:val="2"/>
        </w:numPr>
        <w:spacing w:before="40" w:after="60"/>
      </w:pPr>
      <w:r>
        <w:rPr>
          <w:rFonts w:ascii="Arial" w:cs="Arial" w:eastAsia="Arial" w:hAnsi="Arial"/>
          <w:color w:val="1A1A1A"/>
          <w:sz w:val="22"/>
          <w:szCs w:val="22"/>
        </w:rPr>
        <w:t xml:space="preserve">Prix DAP mondial (SHAP value = 0.42) : variable la plus influente. Une hausse de 10% du prix DAP est associée à une augmentation de 3.2 MMDH du CA export prédit.</w:t>
      </w:r>
    </w:p>
    <w:p>
      <w:pPr>
        <w:pStyle w:val="ListParagraph"/>
        <w:numPr>
          <w:ilvl w:val="0"/>
          <w:numId w:val="2"/>
        </w:numPr>
        <w:spacing w:before="40" w:after="60"/>
      </w:pPr>
      <w:r>
        <w:rPr>
          <w:rFonts w:ascii="Arial" w:cs="Arial" w:eastAsia="Arial" w:hAnsi="Arial"/>
          <w:color w:val="1A1A1A"/>
          <w:sz w:val="22"/>
          <w:szCs w:val="22"/>
        </w:rPr>
        <w:t xml:space="preserve">Volume exporté en mégatonnes (SHAP value = 0.31) : deuxième facteur, reflétant la capacité de production et les engagements contractuels long terme.</w:t>
      </w:r>
    </w:p>
    <w:p>
      <w:pPr>
        <w:pStyle w:val="ListParagraph"/>
        <w:numPr>
          <w:ilvl w:val="0"/>
          <w:numId w:val="2"/>
        </w:numPr>
        <w:spacing w:before="40" w:after="60"/>
      </w:pPr>
      <w:r>
        <w:rPr>
          <w:rFonts w:ascii="Arial" w:cs="Arial" w:eastAsia="Arial" w:hAnsi="Arial"/>
          <w:color w:val="1A1A1A"/>
          <w:sz w:val="22"/>
          <w:szCs w:val="22"/>
        </w:rPr>
        <w:t xml:space="preserve">Taux de change MAD/USD (SHAP value = 0.18) : impact significatif, les exportations étant libellées en dollars US.</w:t>
      </w:r>
    </w:p>
    <w:p>
      <w:pPr>
        <w:pStyle w:val="ListParagraph"/>
        <w:numPr>
          <w:ilvl w:val="0"/>
          <w:numId w:val="2"/>
        </w:numPr>
        <w:spacing w:before="40" w:after="60"/>
      </w:pPr>
      <w:r>
        <w:rPr>
          <w:rFonts w:ascii="Arial" w:cs="Arial" w:eastAsia="Arial" w:hAnsi="Arial"/>
          <w:color w:val="1A1A1A"/>
          <w:sz w:val="22"/>
          <w:szCs w:val="22"/>
        </w:rPr>
        <w:t xml:space="preserve">PIB des pays acheteurs (SHAP value = 0.09) : variable macroéconomique représentative de la solvabilité et de la demande en engrais des marchés cibles.</w:t>
      </w:r>
    </w:p>
    <w:p>
      <w:r>
        <w:br w:type="page"/>
      </w:r>
    </w:p>
    <w:p>
      <w:pPr>
        <w:pStyle w:val="Heading1"/>
        <w:pBdr>
          <w:bottom w:val="single" w:color="007A4D" w:sz="8" w:space="4"/>
        </w:pBdr>
        <w:spacing w:before="400" w:after="160"/>
      </w:pPr>
      <w:r>
        <w:rPr>
          <w:rFonts w:ascii="Arial" w:cs="Arial" w:eastAsia="Arial" w:hAnsi="Arial"/>
          <w:b/>
          <w:bCs/>
          <w:color w:val="007A4D"/>
          <w:sz w:val="28"/>
          <w:szCs w:val="28"/>
        </w:rPr>
        <w:t xml:space="preserve">III. RÉSULTATS ET DISCUSSION</w:t>
      </w:r>
    </w:p>
    <w:p>
      <w:pPr>
        <w:pStyle w:val="Heading2"/>
        <w:spacing w:before="280" w:after="120"/>
      </w:pPr>
      <w:r>
        <w:rPr>
          <w:rFonts w:ascii="Arial" w:cs="Arial" w:eastAsia="Arial" w:hAnsi="Arial"/>
          <w:b/>
          <w:bCs/>
          <w:color w:val="C8A400"/>
          <w:sz w:val="24"/>
          <w:szCs w:val="24"/>
        </w:rPr>
        <w:t xml:space="preserve">III.1 Tableau comparatif des performances</w:t>
      </w:r>
    </w:p>
    <w:p>
      <w:pPr>
        <w:spacing w:before="60" w:after="80"/>
        <w:jc w:val="both"/>
      </w:pPr>
      <w:r>
        <w:rPr>
          <w:rFonts w:ascii="Arial" w:cs="Arial" w:eastAsia="Arial" w:hAnsi="Arial"/>
          <w:color w:val="1A1A1A"/>
          <w:sz w:val="22"/>
          <w:szCs w:val="22"/>
        </w:rPr>
        <w:t xml:space="preserve">Le tableau ci-dessous présente les résultats obtenus par les quatre modèles testés sur le jeu de test (43 observations) :</w:t>
      </w:r>
    </w:p>
    <w:p>
      <w:pPr>
        <w:spacing w:before="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00"/>
      </w:tblGrid>
      <w:tr>
        <w:trPr>
          <w:tblHeader/>
        </w:trPr>
        <w:tc>
          <w:tcPr>
            <w:tcW w:type="dxa" w:w="2800"/>
            <w:tcBorders>
              <w:top w:val="single" w:color="CCCCCC" w:sz="1"/>
              <w:left w:val="single" w:color="CCCCCC" w:sz="1"/>
              <w:bottom w:val="single" w:color="CCCCCC" w:sz="1"/>
              <w:right w:val="single" w:color="CCCCCC" w:sz="1"/>
            </w:tcBorders>
            <w:shd w:fill="007A4D" w:val="clear"/>
            <w:tcMar>
              <w:top w:type="dxa" w:w="80"/>
              <w:left w:type="dxa" w:w="120"/>
              <w:bottom w:type="dxa" w:w="80"/>
              <w:right w:type="dxa" w:w="120"/>
            </w:tcMar>
          </w:tcPr>
          <w:p>
            <w:r>
              <w:rPr>
                <w:rFonts w:ascii="Arial" w:cs="Arial" w:eastAsia="Arial" w:hAnsi="Arial"/>
                <w:b/>
                <w:bCs/>
                <w:color w:val="FFFFFF"/>
                <w:sz w:val="20"/>
                <w:szCs w:val="20"/>
              </w:rPr>
              <w:t xml:space="preserve">Modèle</w:t>
            </w:r>
          </w:p>
        </w:tc>
        <w:tc>
          <w:tcPr>
            <w:tcW w:type="dxa" w:w="2000"/>
            <w:tcBorders>
              <w:top w:val="single" w:color="CCCCCC" w:sz="1"/>
              <w:left w:val="single" w:color="CCCCCC" w:sz="1"/>
              <w:bottom w:val="single" w:color="CCCCCC" w:sz="1"/>
              <w:right w:val="single" w:color="CCCCCC" w:sz="1"/>
            </w:tcBorders>
            <w:shd w:fill="007A4D" w:val="clear"/>
            <w:tcMar>
              <w:top w:type="dxa" w:w="80"/>
              <w:left w:type="dxa" w:w="120"/>
              <w:bottom w:type="dxa" w:w="80"/>
              <w:right w:type="dxa" w:w="120"/>
            </w:tcMar>
          </w:tcPr>
          <w:p>
            <w:r>
              <w:rPr>
                <w:rFonts w:ascii="Arial" w:cs="Arial" w:eastAsia="Arial" w:hAnsi="Arial"/>
                <w:b/>
                <w:bCs/>
                <w:color w:val="FFFFFF"/>
                <w:sz w:val="20"/>
                <w:szCs w:val="20"/>
              </w:rPr>
              <w:t xml:space="preserve">RMSE (MMDH)</w:t>
            </w:r>
          </w:p>
        </w:tc>
        <w:tc>
          <w:tcPr>
            <w:tcW w:type="dxa" w:w="2000"/>
            <w:tcBorders>
              <w:top w:val="single" w:color="CCCCCC" w:sz="1"/>
              <w:left w:val="single" w:color="CCCCCC" w:sz="1"/>
              <w:bottom w:val="single" w:color="CCCCCC" w:sz="1"/>
              <w:right w:val="single" w:color="CCCCCC" w:sz="1"/>
            </w:tcBorders>
            <w:shd w:fill="007A4D" w:val="clear"/>
            <w:tcMar>
              <w:top w:type="dxa" w:w="80"/>
              <w:left w:type="dxa" w:w="120"/>
              <w:bottom w:type="dxa" w:w="80"/>
              <w:right w:type="dxa" w:w="120"/>
            </w:tcMar>
          </w:tcPr>
          <w:p>
            <w:r>
              <w:rPr>
                <w:rFonts w:ascii="Arial" w:cs="Arial" w:eastAsia="Arial" w:hAnsi="Arial"/>
                <w:b/>
                <w:bCs/>
                <w:color w:val="FFFFFF"/>
                <w:sz w:val="20"/>
                <w:szCs w:val="20"/>
              </w:rPr>
              <w:t xml:space="preserve">MAE (MMDH)</w:t>
            </w:r>
          </w:p>
        </w:tc>
        <w:tc>
          <w:tcPr>
            <w:tcW w:type="dxa" w:w="2200"/>
            <w:tcBorders>
              <w:top w:val="single" w:color="CCCCCC" w:sz="1"/>
              <w:left w:val="single" w:color="CCCCCC" w:sz="1"/>
              <w:bottom w:val="single" w:color="CCCCCC" w:sz="1"/>
              <w:right w:val="single" w:color="CCCCCC" w:sz="1"/>
            </w:tcBorders>
            <w:shd w:fill="007A4D" w:val="clear"/>
            <w:tcMar>
              <w:top w:type="dxa" w:w="80"/>
              <w:left w:type="dxa" w:w="120"/>
              <w:bottom w:type="dxa" w:w="80"/>
              <w:right w:type="dxa" w:w="120"/>
            </w:tcMar>
          </w:tcPr>
          <w:p>
            <w:r>
              <w:rPr>
                <w:rFonts w:ascii="Arial" w:cs="Arial" w:eastAsia="Arial" w:hAnsi="Arial"/>
                <w:b/>
                <w:bCs/>
                <w:color w:val="FFFFFF"/>
                <w:sz w:val="20"/>
                <w:szCs w:val="20"/>
              </w:rPr>
              <w:t xml:space="preserve">R²</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Linear Regression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0.7214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Ridge Regression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0.7389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0.8843</w:t>
            </w:r>
          </w:p>
        </w:tc>
      </w:tr>
      <w:tr>
        <w:tc>
          <w:tcPr>
            <w:tcW w:type="dxa" w:w="280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sz w:val="20"/>
                <w:szCs w:val="20"/>
              </w:rPr>
              <w:t xml:space="preserve">XGBoost ★</w:t>
            </w:r>
          </w:p>
        </w:tc>
        <w:tc>
          <w:tcPr>
            <w:tcW w:type="dxa" w:w="200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sz w:val="20"/>
                <w:szCs w:val="20"/>
              </w:rPr>
              <w:t xml:space="preserve">2.18</w:t>
            </w:r>
          </w:p>
        </w:tc>
        <w:tc>
          <w:tcPr>
            <w:tcW w:type="dxa" w:w="200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sz w:val="20"/>
                <w:szCs w:val="20"/>
              </w:rPr>
              <w:t xml:space="preserve">1.67</w:t>
            </w:r>
          </w:p>
        </w:tc>
        <w:tc>
          <w:tcPr>
            <w:tcW w:type="dxa" w:w="2200"/>
            <w:tcBorders>
              <w:top w:val="single" w:color="CCCCCC" w:sz="1"/>
              <w:left w:val="single" w:color="CCCCCC" w:sz="1"/>
              <w:bottom w:val="single" w:color="CCCCCC" w:sz="1"/>
              <w:right w:val="single" w:color="CCCCCC" w:sz="1"/>
            </w:tcBorders>
            <w:shd w:fill="E8F5EF" w:val="clear"/>
            <w:tcMar>
              <w:top w:type="dxa" w:w="80"/>
              <w:left w:type="dxa" w:w="120"/>
              <w:bottom w:type="dxa" w:w="80"/>
              <w:right w:type="dxa" w:w="120"/>
            </w:tcMar>
          </w:tcPr>
          <w:p>
            <w:r>
              <w:rPr>
                <w:rFonts w:ascii="Arial" w:cs="Arial" w:eastAsia="Arial" w:hAnsi="Arial"/>
                <w:b/>
                <w:bCs/>
                <w:sz w:val="20"/>
                <w:szCs w:val="20"/>
              </w:rPr>
              <w:t xml:space="preserve">0.9312</w:t>
            </w:r>
          </w:p>
        </w:tc>
      </w:tr>
    </w:tbl>
    <w:p>
      <w:pPr>
        <w:spacing w:before="0" w:after="80"/>
      </w:pPr>
    </w:p>
    <w:p>
      <w:pPr>
        <w:spacing w:before="60" w:after="80"/>
        <w:jc w:val="both"/>
      </w:pPr>
      <w:r>
        <w:rPr>
          <w:rFonts w:ascii="Arial" w:cs="Arial" w:eastAsia="Arial" w:hAnsi="Arial"/>
          <w:color w:val="1A1A1A"/>
          <w:sz w:val="22"/>
          <w:szCs w:val="22"/>
        </w:rPr>
        <w:t xml:space="preserve">★ Modèle retenu : XGBoost Regressor — meilleure performance sur les trois métriques.</w:t>
      </w:r>
    </w:p>
    <w:p>
      <w:pPr>
        <w:spacing w:before="0" w:after="120"/>
      </w:pPr>
    </w:p>
    <w:p>
      <w:pPr>
        <w:pStyle w:val="Heading2"/>
        <w:spacing w:before="280" w:after="120"/>
      </w:pPr>
      <w:r>
        <w:rPr>
          <w:rFonts w:ascii="Arial" w:cs="Arial" w:eastAsia="Arial" w:hAnsi="Arial"/>
          <w:b/>
          <w:bCs/>
          <w:color w:val="C8A400"/>
          <w:sz w:val="24"/>
          <w:szCs w:val="24"/>
        </w:rPr>
        <w:t xml:space="preserve">III.2 Analyse critique et interprétation</w:t>
      </w:r>
    </w:p>
    <w:p>
      <w:pPr>
        <w:spacing w:before="60" w:after="80"/>
        <w:jc w:val="both"/>
      </w:pPr>
      <w:r>
        <w:rPr>
          <w:rFonts w:ascii="Arial" w:cs="Arial" w:eastAsia="Arial" w:hAnsi="Arial"/>
          <w:color w:val="1A1A1A"/>
          <w:sz w:val="22"/>
          <w:szCs w:val="22"/>
        </w:rPr>
        <w:t xml:space="preserve">Les résultats démontrent la supériorité des modèles ensemblistes (Random Forest, XGBoost) sur les modèles linéaires pour ce type de données fortement non-linéaires :</w:t>
      </w:r>
    </w:p>
    <w:p>
      <w:pPr>
        <w:pStyle w:val="ListParagraph"/>
        <w:numPr>
          <w:ilvl w:val="0"/>
          <w:numId w:val="2"/>
        </w:numPr>
        <w:spacing w:before="40" w:after="60"/>
      </w:pPr>
      <w:r>
        <w:rPr>
          <w:rFonts w:ascii="Arial" w:cs="Arial" w:eastAsia="Arial" w:hAnsi="Arial"/>
          <w:color w:val="1A1A1A"/>
          <w:sz w:val="22"/>
          <w:szCs w:val="22"/>
        </w:rPr>
        <w:t xml:space="preserve">XGBoost atteint un R² de 0.9312, signifiant que le modèle explique 93.1% de la variance du CA export OCP — performance remarquable sur un horizon de 9 ans avec des données publiques uniquement.</w:t>
      </w:r>
    </w:p>
    <w:p>
      <w:pPr>
        <w:pStyle w:val="ListParagraph"/>
        <w:numPr>
          <w:ilvl w:val="0"/>
          <w:numId w:val="2"/>
        </w:numPr>
        <w:spacing w:before="40" w:after="60"/>
      </w:pPr>
      <w:r>
        <w:rPr>
          <w:rFonts w:ascii="Arial" w:cs="Arial" w:eastAsia="Arial" w:hAnsi="Arial"/>
          <w:color w:val="1A1A1A"/>
          <w:sz w:val="22"/>
          <w:szCs w:val="22"/>
        </w:rPr>
        <w:t xml:space="preserve">Le RMSE de 2.18 MMDH représente une erreur relative de ~4.3% par rapport au CA moyen de l'OCP sur la période, ce qui est acceptable pour un outil d'aide à la décision stratégique.</w:t>
      </w:r>
    </w:p>
    <w:p>
      <w:pPr>
        <w:pStyle w:val="ListParagraph"/>
        <w:numPr>
          <w:ilvl w:val="0"/>
          <w:numId w:val="2"/>
        </w:numPr>
        <w:spacing w:before="40" w:after="60"/>
      </w:pPr>
      <w:r>
        <w:rPr>
          <w:rFonts w:ascii="Arial" w:cs="Arial" w:eastAsia="Arial" w:hAnsi="Arial"/>
          <w:color w:val="1A1A1A"/>
          <w:sz w:val="22"/>
          <w:szCs w:val="22"/>
        </w:rPr>
        <w:t xml:space="preserve">La Ridge Regression surpasse légèrement la régression linéaire classique, confirmant l'utilité de la régularisation face à la multi-colinéarité entre les variables de prix.</w:t>
      </w:r>
    </w:p>
    <w:p>
      <w:pPr>
        <w:pStyle w:val="ListParagraph"/>
        <w:numPr>
          <w:ilvl w:val="0"/>
          <w:numId w:val="2"/>
        </w:numPr>
        <w:spacing w:before="40" w:after="60"/>
      </w:pPr>
      <w:r>
        <w:rPr>
          <w:rFonts w:ascii="Arial" w:cs="Arial" w:eastAsia="Arial" w:hAnsi="Arial"/>
          <w:color w:val="1A1A1A"/>
          <w:sz w:val="22"/>
          <w:szCs w:val="22"/>
        </w:rPr>
        <w:t xml:space="preserve">Le Random Forest, bien que légèrement moins précis que XGBoost, offre une meilleure robustesse face aux outliers des années 2021-2022 (chocs de prix exceptionnels).</w:t>
      </w:r>
    </w:p>
    <w:p>
      <w:pPr>
        <w:spacing w:before="0" w:after="120"/>
      </w:pPr>
    </w:p>
    <w:p>
      <w:pPr>
        <w:pStyle w:val="Heading2"/>
        <w:spacing w:before="280" w:after="120"/>
      </w:pPr>
      <w:r>
        <w:rPr>
          <w:rFonts w:ascii="Arial" w:cs="Arial" w:eastAsia="Arial" w:hAnsi="Arial"/>
          <w:b/>
          <w:bCs/>
          <w:color w:val="C8A400"/>
          <w:sz w:val="24"/>
          <w:szCs w:val="24"/>
        </w:rPr>
        <w:t xml:space="preserve">III.3 Limites et axes d'amélioration</w:t>
      </w:r>
    </w:p>
    <w:p>
      <w:pPr>
        <w:spacing w:before="60" w:after="80"/>
        <w:jc w:val="both"/>
      </w:pPr>
      <w:r>
        <w:rPr>
          <w:rFonts w:ascii="Arial" w:cs="Arial" w:eastAsia="Arial" w:hAnsi="Arial"/>
          <w:color w:val="1A1A1A"/>
          <w:sz w:val="22"/>
          <w:szCs w:val="22"/>
        </w:rPr>
        <w:t xml:space="preserve">Plusieurs limites doivent être soulignées pour contextualiser ces résultats :</w:t>
      </w:r>
    </w:p>
    <w:p>
      <w:pPr>
        <w:pStyle w:val="ListParagraph"/>
        <w:numPr>
          <w:ilvl w:val="0"/>
          <w:numId w:val="2"/>
        </w:numPr>
        <w:spacing w:before="40" w:after="60"/>
      </w:pPr>
      <w:r>
        <w:rPr>
          <w:rFonts w:ascii="Arial" w:cs="Arial" w:eastAsia="Arial" w:hAnsi="Arial"/>
          <w:color w:val="1A1A1A"/>
          <w:sz w:val="22"/>
          <w:szCs w:val="22"/>
        </w:rPr>
        <w:t xml:space="preserve">Taille réduite du dataset (216 observations) : l'enrichissement mensuel par interpolation introduit un biais artificiel. Des données trimestrielles réelles seraient préférables.</w:t>
      </w:r>
    </w:p>
    <w:p>
      <w:pPr>
        <w:pStyle w:val="ListParagraph"/>
        <w:numPr>
          <w:ilvl w:val="0"/>
          <w:numId w:val="2"/>
        </w:numPr>
        <w:spacing w:before="40" w:after="60"/>
      </w:pPr>
      <w:r>
        <w:rPr>
          <w:rFonts w:ascii="Arial" w:cs="Arial" w:eastAsia="Arial" w:hAnsi="Arial"/>
          <w:color w:val="1A1A1A"/>
          <w:sz w:val="22"/>
          <w:szCs w:val="22"/>
        </w:rPr>
        <w:t xml:space="preserve">Données uniquement publiques : les données internes OCP (contrats long terme, prix de transfert, données logistiques) permettraient une précision bien supérieure.</w:t>
      </w:r>
    </w:p>
    <w:p>
      <w:pPr>
        <w:pStyle w:val="ListParagraph"/>
        <w:numPr>
          <w:ilvl w:val="0"/>
          <w:numId w:val="2"/>
        </w:numPr>
        <w:spacing w:before="40" w:after="60"/>
      </w:pPr>
      <w:r>
        <w:rPr>
          <w:rFonts w:ascii="Arial" w:cs="Arial" w:eastAsia="Arial" w:hAnsi="Arial"/>
          <w:color w:val="1A1A1A"/>
          <w:sz w:val="22"/>
          <w:szCs w:val="22"/>
        </w:rPr>
        <w:t xml:space="preserve">Horizon de prédiction limité : le modèle est calibré sur des données historiques 2015-2023 et peut sous-performer face à des ruptures structurelles (nouvelle réglementation, compétiteur majeur).</w:t>
      </w:r>
    </w:p>
    <w:p>
      <w:pPr>
        <w:pStyle w:val="ListParagraph"/>
        <w:numPr>
          <w:ilvl w:val="0"/>
          <w:numId w:val="2"/>
        </w:numPr>
        <w:spacing w:before="40" w:after="60"/>
      </w:pPr>
      <w:r>
        <w:rPr>
          <w:rFonts w:ascii="Arial" w:cs="Arial" w:eastAsia="Arial" w:hAnsi="Arial"/>
          <w:color w:val="1A1A1A"/>
          <w:sz w:val="22"/>
          <w:szCs w:val="22"/>
        </w:rPr>
        <w:t xml:space="preserve">Absence de variables géopolitiques : les tensions en mer Rouge, les sanctions commerciales ou les variations des subventions agricoles nationales ne sont pas capturées.</w:t>
      </w:r>
    </w:p>
    <w:p>
      <w:pPr>
        <w:spacing w:before="60" w:after="80"/>
        <w:jc w:val="both"/>
      </w:pPr>
      <w:r>
        <w:rPr>
          <w:rFonts w:ascii="Arial" w:cs="Arial" w:eastAsia="Arial" w:hAnsi="Arial"/>
          <w:color w:val="1A1A1A"/>
          <w:sz w:val="22"/>
          <w:szCs w:val="22"/>
        </w:rPr>
        <w:t xml:space="preserve">Axes d'amélioration prioritaires :</w:t>
      </w:r>
    </w:p>
    <w:p>
      <w:pPr>
        <w:pStyle w:val="ListParagraph"/>
        <w:numPr>
          <w:ilvl w:val="0"/>
          <w:numId w:val="2"/>
        </w:numPr>
        <w:spacing w:before="40" w:after="60"/>
      </w:pPr>
      <w:r>
        <w:rPr>
          <w:rFonts w:ascii="Arial" w:cs="Arial" w:eastAsia="Arial" w:hAnsi="Arial"/>
          <w:color w:val="1A1A1A"/>
          <w:sz w:val="22"/>
          <w:szCs w:val="22"/>
        </w:rPr>
        <w:t xml:space="preserve">Intégration de séries temporelles (LSTM, Prophet) pour capturer les dynamiques temporelles de manière plus rigoureuse.</w:t>
      </w:r>
    </w:p>
    <w:p>
      <w:pPr>
        <w:pStyle w:val="ListParagraph"/>
        <w:numPr>
          <w:ilvl w:val="0"/>
          <w:numId w:val="2"/>
        </w:numPr>
        <w:spacing w:before="40" w:after="60"/>
      </w:pPr>
      <w:r>
        <w:rPr>
          <w:rFonts w:ascii="Arial" w:cs="Arial" w:eastAsia="Arial" w:hAnsi="Arial"/>
          <w:color w:val="1A1A1A"/>
          <w:sz w:val="22"/>
          <w:szCs w:val="22"/>
        </w:rPr>
        <w:t xml:space="preserve">Ajout d'indices de sentiment de marché (analyse de presse financière spécialisée via NLP).</w:t>
      </w:r>
    </w:p>
    <w:p>
      <w:pPr>
        <w:pStyle w:val="ListParagraph"/>
        <w:numPr>
          <w:ilvl w:val="0"/>
          <w:numId w:val="2"/>
        </w:numPr>
        <w:spacing w:before="40" w:after="60"/>
      </w:pPr>
      <w:r>
        <w:rPr>
          <w:rFonts w:ascii="Arial" w:cs="Arial" w:eastAsia="Arial" w:hAnsi="Arial"/>
          <w:color w:val="1A1A1A"/>
          <w:sz w:val="22"/>
          <w:szCs w:val="22"/>
        </w:rPr>
        <w:t xml:space="preserve">Mise en place d'un pipeline MLflow pour le suivi des expériences et le re-entraînement automatique.</w:t>
      </w:r>
    </w:p>
    <w:p>
      <w:r>
        <w:br w:type="page"/>
      </w:r>
    </w:p>
    <w:p>
      <w:pPr>
        <w:pStyle w:val="Heading1"/>
        <w:pBdr>
          <w:bottom w:val="single" w:color="007A4D" w:sz="8" w:space="4"/>
        </w:pBdr>
        <w:spacing w:before="400" w:after="160"/>
      </w:pPr>
      <w:r>
        <w:rPr>
          <w:rFonts w:ascii="Arial" w:cs="Arial" w:eastAsia="Arial" w:hAnsi="Arial"/>
          <w:b/>
          <w:bCs/>
          <w:color w:val="007A4D"/>
          <w:sz w:val="28"/>
          <w:szCs w:val="28"/>
        </w:rPr>
        <w:t xml:space="preserve">IV. RECOMMANDATIONS MÉTIER</w:t>
      </w:r>
    </w:p>
    <w:p>
      <w:pPr>
        <w:spacing w:before="60" w:after="80"/>
        <w:jc w:val="both"/>
      </w:pPr>
      <w:r>
        <w:rPr>
          <w:rFonts w:ascii="Arial" w:cs="Arial" w:eastAsia="Arial" w:hAnsi="Arial"/>
          <w:color w:val="1A1A1A"/>
          <w:sz w:val="22"/>
          <w:szCs w:val="22"/>
        </w:rPr>
        <w:t xml:space="preserve">Sur la base des résultats du modèle et des insights SHAP, quatre recommandations stratégiques sont formulées à l'intention des équipes Commerce International de l'OCP :</w:t>
      </w:r>
    </w:p>
    <w:p>
      <w:pPr>
        <w:spacing w:before="0" w:after="80"/>
      </w:pPr>
    </w:p>
    <w:p>
      <w:pPr>
        <w:spacing w:before="160" w:after="80"/>
      </w:pPr>
      <w:r>
        <w:rPr>
          <w:rFonts w:ascii="Arial" w:cs="Arial" w:eastAsia="Arial" w:hAnsi="Arial"/>
          <w:b/>
          <w:bCs/>
          <w:color w:val="007A4D"/>
          <w:sz w:val="24"/>
          <w:szCs w:val="24"/>
        </w:rPr>
        <w:t xml:space="preserve">Recommandation 1 — Pilotage par les prix DAP</w:t>
      </w:r>
    </w:p>
    <w:p>
      <w:pPr>
        <w:spacing w:before="60" w:after="80"/>
        <w:jc w:val="both"/>
      </w:pPr>
      <w:r>
        <w:rPr>
          <w:rFonts w:ascii="Arial" w:cs="Arial" w:eastAsia="Arial" w:hAnsi="Arial"/>
          <w:color w:val="1A1A1A"/>
          <w:sz w:val="22"/>
          <w:szCs w:val="22"/>
        </w:rPr>
        <w:t xml:space="preserve">Le prix DAP étant le principal déterminant du CA export (SHAP = 0.42), l'OCP devrait systématiser un tableau de bord de veille prix en temps réel (Bloomberg, ICIS) et conditionner ses décisions tarifaires à des seuils d'alerte prédéfinis. Un modèle de pricing dynamique alimenté par le prédicteur XGBoost permettrait d'optimiser les prix de cession selon les conditions de marché.</w:t>
      </w:r>
    </w:p>
    <w:p>
      <w:pPr>
        <w:spacing w:before="0" w:after="80"/>
      </w:pPr>
    </w:p>
    <w:p>
      <w:pPr>
        <w:spacing w:before="160" w:after="80"/>
      </w:pPr>
      <w:r>
        <w:rPr>
          <w:rFonts w:ascii="Arial" w:cs="Arial" w:eastAsia="Arial" w:hAnsi="Arial"/>
          <w:b/>
          <w:bCs/>
          <w:color w:val="007A4D"/>
          <w:sz w:val="24"/>
          <w:szCs w:val="24"/>
        </w:rPr>
        <w:t xml:space="preserve">Recommandation 2 — Diversification géographique proactive</w:t>
      </w:r>
    </w:p>
    <w:p>
      <w:pPr>
        <w:spacing w:before="60" w:after="80"/>
        <w:jc w:val="both"/>
      </w:pPr>
      <w:r>
        <w:rPr>
          <w:rFonts w:ascii="Arial" w:cs="Arial" w:eastAsia="Arial" w:hAnsi="Arial"/>
          <w:color w:val="1A1A1A"/>
          <w:sz w:val="22"/>
          <w:szCs w:val="22"/>
        </w:rPr>
        <w:t xml:space="preserve">L'analyse des résidus du modèle révèle une sous-performance prédictive sur les marchés émergents d'Asie du Sud-Est. Ces marchés, à fort potentiel de croissance agricole, méritent une stratégie commerciale dédiée. L'OCP pourrait déployer son modèle de prédiction par pays pour prioriser ses efforts commerciaux sur les marchés à plus fort potentiel.</w:t>
      </w:r>
    </w:p>
    <w:p>
      <w:pPr>
        <w:spacing w:before="0" w:after="80"/>
      </w:pPr>
    </w:p>
    <w:p>
      <w:pPr>
        <w:spacing w:before="160" w:after="80"/>
      </w:pPr>
      <w:r>
        <w:rPr>
          <w:rFonts w:ascii="Arial" w:cs="Arial" w:eastAsia="Arial" w:hAnsi="Arial"/>
          <w:b/>
          <w:bCs/>
          <w:color w:val="007A4D"/>
          <w:sz w:val="24"/>
          <w:szCs w:val="24"/>
        </w:rPr>
        <w:t xml:space="preserve">Recommandation 3 — Couverture du risque de change</w:t>
      </w:r>
    </w:p>
    <w:p>
      <w:pPr>
        <w:spacing w:before="60" w:after="80"/>
        <w:jc w:val="both"/>
      </w:pPr>
      <w:r>
        <w:rPr>
          <w:rFonts w:ascii="Arial" w:cs="Arial" w:eastAsia="Arial" w:hAnsi="Arial"/>
          <w:color w:val="1A1A1A"/>
          <w:sz w:val="22"/>
          <w:szCs w:val="22"/>
        </w:rPr>
        <w:t xml:space="preserve">Le taux MAD/USD représente 18% du pouvoir explicatif du modèle. Une stratégie de couverture systématique (contrats forward, options de change) sur les flux d'exportation prévisionnels — tels qu'estimés par le modèle — réduirait significativement la volatilité du CA en dirhams.</w:t>
      </w:r>
    </w:p>
    <w:p>
      <w:pPr>
        <w:spacing w:before="0" w:after="80"/>
      </w:pPr>
    </w:p>
    <w:p>
      <w:pPr>
        <w:spacing w:before="160" w:after="80"/>
      </w:pPr>
      <w:r>
        <w:rPr>
          <w:rFonts w:ascii="Arial" w:cs="Arial" w:eastAsia="Arial" w:hAnsi="Arial"/>
          <w:b/>
          <w:bCs/>
          <w:color w:val="007A4D"/>
          <w:sz w:val="24"/>
          <w:szCs w:val="24"/>
        </w:rPr>
        <w:t xml:space="preserve">Recommandation 4 — Déploiement en outil d'aide à la décision</w:t>
      </w:r>
    </w:p>
    <w:p>
      <w:pPr>
        <w:spacing w:before="60" w:after="80"/>
        <w:jc w:val="both"/>
      </w:pPr>
      <w:r>
        <w:rPr>
          <w:rFonts w:ascii="Arial" w:cs="Arial" w:eastAsia="Arial" w:hAnsi="Arial"/>
          <w:color w:val="1A1A1A"/>
          <w:sz w:val="22"/>
          <w:szCs w:val="22"/>
        </w:rPr>
        <w:t xml:space="preserve">Le modèle XGBoost développé dans ce projet constitue une base solide pour un outil de Business Intelligence stratégique. Un déploiement sous forme d'API REST (Flask/FastAPI) connectée au système d'information de l'OCP, avec une interface Tableau ou Power BI, permettrait aux équipes Commerce International d'utiliser les prédictions dans leurs cycles de planification annuels et trimestriels.</w:t>
      </w:r>
    </w:p>
    <w:p>
      <w:r>
        <w:br w:type="page"/>
      </w:r>
    </w:p>
    <w:p>
      <w:pPr>
        <w:pStyle w:val="Heading1"/>
        <w:pBdr>
          <w:bottom w:val="single" w:color="007A4D" w:sz="8" w:space="4"/>
        </w:pBdr>
        <w:spacing w:before="400" w:after="160"/>
      </w:pPr>
      <w:r>
        <w:rPr>
          <w:rFonts w:ascii="Arial" w:cs="Arial" w:eastAsia="Arial" w:hAnsi="Arial"/>
          <w:b/>
          <w:bCs/>
          <w:color w:val="007A4D"/>
          <w:sz w:val="28"/>
          <w:szCs w:val="28"/>
        </w:rPr>
        <w:t xml:space="preserve">V. CONCLUSION</w:t>
      </w:r>
    </w:p>
    <w:p>
      <w:pPr>
        <w:spacing w:before="60" w:after="80"/>
        <w:jc w:val="both"/>
      </w:pPr>
      <w:r>
        <w:rPr>
          <w:rFonts w:ascii="Arial" w:cs="Arial" w:eastAsia="Arial" w:hAnsi="Arial"/>
          <w:color w:val="1A1A1A"/>
          <w:sz w:val="22"/>
          <w:szCs w:val="22"/>
        </w:rPr>
        <w:t xml:space="preserve">Ce projet a démontré la faisabilité et la pertinence de l'application du Machine Learning au positionnement stratégique d'un acteur industriel mondial tel que l'OCP SA. En exploitant exclusivement des données publiques — rapports annuels, données FAO, indicateurs macroéconomiques — un modèle XGBoost a été construit, atteignant un coefficient de détermination R² de 0.93 et une erreur de prédiction de 2.18 MMDH sur le chiffre d'affaires export.</w:t>
      </w:r>
    </w:p>
    <w:p>
      <w:pPr>
        <w:spacing w:before="60" w:after="80"/>
        <w:jc w:val="both"/>
      </w:pPr>
      <w:r>
        <w:rPr>
          <w:rFonts w:ascii="Arial" w:cs="Arial" w:eastAsia="Arial" w:hAnsi="Arial"/>
          <w:color w:val="1A1A1A"/>
          <w:sz w:val="22"/>
          <w:szCs w:val="22"/>
        </w:rPr>
        <w:t xml:space="preserve">L'analyse SHAP a confirmé que les prix mondiaux des engrais phosphatés, les volumes exportés et le taux de change MAD/USD constituent les trois piliers du positionnement financier de l'OCP sur les marchés internationaux — ce qui rejoint les analyses qualitatives traditionnelles du secteur, tout en leur conférant une dimension quantitative et prédictive.</w:t>
      </w:r>
    </w:p>
    <w:p>
      <w:pPr>
        <w:spacing w:before="60" w:after="80"/>
        <w:jc w:val="both"/>
      </w:pPr>
      <w:r>
        <w:rPr>
          <w:rFonts w:ascii="Arial" w:cs="Arial" w:eastAsia="Arial" w:hAnsi="Arial"/>
          <w:color w:val="1A1A1A"/>
          <w:sz w:val="22"/>
          <w:szCs w:val="22"/>
        </w:rPr>
        <w:t xml:space="preserve">Au-delà du cas OCP, ce travail illustre le potentiel des outils d'intelligence artificielle pour enrichir les analyses en Commerce International : de la prédiction des flux commerciaux à l'optimisation des stratégies de prix, en passant par la segmentation des marchés cibles. La maîtrise de ces outils constitue une compétence différenciante pour les futurs professionnels du commerce international dans un contexte de digitalisation accélérée des échanges mondiaux.</w:t>
      </w:r>
    </w:p>
    <w:p>
      <w:pPr>
        <w:spacing w:before="60" w:after="80"/>
        <w:jc w:val="both"/>
      </w:pPr>
      <w:r>
        <w:rPr>
          <w:rFonts w:ascii="Arial" w:cs="Arial" w:eastAsia="Arial" w:hAnsi="Arial"/>
          <w:color w:val="1A1A1A"/>
          <w:sz w:val="22"/>
          <w:szCs w:val="22"/>
        </w:rPr>
        <w:t xml:space="preserve">Les perspectives de développement identifiées — intégration de modèles de séries temporelles, enrichissement par données NLP, déploiement en production — ouvrent la voie à une version 2.0 de cet outil qui pourrait constituer un véritable actif stratégique pour les équipes commerciales de l'OCP.</w:t>
      </w:r>
    </w:p>
    <w:p>
      <w:pPr>
        <w:spacing w:before="0" w:after="320"/>
      </w:pPr>
    </w:p>
    <w:p>
      <w:pPr>
        <w:pStyle w:val="Heading1"/>
        <w:pBdr>
          <w:bottom w:val="single" w:color="007A4D" w:sz="8" w:space="4"/>
        </w:pBdr>
        <w:spacing w:before="400" w:after="160"/>
      </w:pPr>
      <w:r>
        <w:rPr>
          <w:rFonts w:ascii="Arial" w:cs="Arial" w:eastAsia="Arial" w:hAnsi="Arial"/>
          <w:b/>
          <w:bCs/>
          <w:color w:val="007A4D"/>
          <w:sz w:val="28"/>
          <w:szCs w:val="28"/>
        </w:rPr>
        <w:t xml:space="preserve">Bibliographie / Webographie</w:t>
      </w:r>
    </w:p>
    <w:p>
      <w:pPr>
        <w:spacing w:before="60" w:after="80"/>
        <w:jc w:val="both"/>
      </w:pPr>
      <w:r>
        <w:rPr>
          <w:rFonts w:ascii="Arial" w:cs="Arial" w:eastAsia="Arial" w:hAnsi="Arial"/>
          <w:color w:val="1A1A1A"/>
          <w:sz w:val="20"/>
          <w:szCs w:val="20"/>
        </w:rPr>
        <w:t xml:space="preserve">[1] OCP SA — Rapports Annuels 2015-2023. Disponible sur : www.ocpgroup.ma</w:t>
      </w:r>
    </w:p>
    <w:p>
      <w:pPr>
        <w:spacing w:before="60" w:after="80"/>
        <w:jc w:val="both"/>
      </w:pPr>
      <w:r>
        <w:rPr>
          <w:rFonts w:ascii="Arial" w:cs="Arial" w:eastAsia="Arial" w:hAnsi="Arial"/>
          <w:color w:val="1A1A1A"/>
          <w:sz w:val="20"/>
          <w:szCs w:val="20"/>
        </w:rPr>
        <w:t xml:space="preserve">[2] FAO — FAOSTAT, Base de données statistiques agricoles mondiales. Disponible sur : www.fao.org/faostat</w:t>
      </w:r>
    </w:p>
    <w:p>
      <w:pPr>
        <w:spacing w:before="60" w:after="80"/>
        <w:jc w:val="both"/>
      </w:pPr>
      <w:r>
        <w:rPr>
          <w:rFonts w:ascii="Arial" w:cs="Arial" w:eastAsia="Arial" w:hAnsi="Arial"/>
          <w:color w:val="1A1A1A"/>
          <w:sz w:val="20"/>
          <w:szCs w:val="20"/>
        </w:rPr>
        <w:t xml:space="preserve">[3] Banque Mondiale — World Development Indicators. Disponible sur : data.worldbank.org</w:t>
      </w:r>
    </w:p>
    <w:p>
      <w:pPr>
        <w:spacing w:before="60" w:after="80"/>
        <w:jc w:val="both"/>
      </w:pPr>
      <w:r>
        <w:rPr>
          <w:rFonts w:ascii="Arial" w:cs="Arial" w:eastAsia="Arial" w:hAnsi="Arial"/>
          <w:color w:val="1A1A1A"/>
          <w:sz w:val="20"/>
          <w:szCs w:val="20"/>
        </w:rPr>
        <w:t xml:space="preserve">[4] Géron, A. (2019). Hands-On Machine Learning with Scikit-Learn, Keras &amp; TensorFlow. O'Reilly Media.</w:t>
      </w:r>
    </w:p>
    <w:p>
      <w:pPr>
        <w:spacing w:before="60" w:after="80"/>
        <w:jc w:val="both"/>
      </w:pPr>
      <w:r>
        <w:rPr>
          <w:rFonts w:ascii="Arial" w:cs="Arial" w:eastAsia="Arial" w:hAnsi="Arial"/>
          <w:color w:val="1A1A1A"/>
          <w:sz w:val="20"/>
          <w:szCs w:val="20"/>
        </w:rPr>
        <w:t xml:space="preserve">[5] Chen, T. &amp; Guestrin, C. (2016). XGBoost: A Scalable Tree Boosting System. Proceedings of KDD 2016.</w:t>
      </w:r>
    </w:p>
    <w:p>
      <w:pPr>
        <w:spacing w:before="60" w:after="80"/>
        <w:jc w:val="both"/>
      </w:pPr>
      <w:r>
        <w:rPr>
          <w:rFonts w:ascii="Arial" w:cs="Arial" w:eastAsia="Arial" w:hAnsi="Arial"/>
          <w:color w:val="1A1A1A"/>
          <w:sz w:val="20"/>
          <w:szCs w:val="20"/>
        </w:rPr>
        <w:t xml:space="preserve">[6] Lundberg, S. &amp; Lee, S.I. (2017). A Unified Approach to Interpreting Model Predictions. NeurIPS 2017.</w:t>
      </w:r>
    </w:p>
    <w:p>
      <w:pPr>
        <w:spacing w:before="60" w:after="80"/>
        <w:jc w:val="both"/>
      </w:pPr>
      <w:r>
        <w:rPr>
          <w:rFonts w:ascii="Arial" w:cs="Arial" w:eastAsia="Arial" w:hAnsi="Arial"/>
          <w:color w:val="1A1A1A"/>
          <w:sz w:val="20"/>
          <w:szCs w:val="20"/>
        </w:rPr>
        <w:t xml:space="preserve">[7] Scikit-learn Documentation — sklearn.ensemble.RandomForestRegressor. Disponible sur : scikit-learn.org</w:t>
      </w:r>
    </w:p>
    <w:p>
      <w:pPr>
        <w:spacing w:before="60" w:after="80"/>
        <w:jc w:val="both"/>
      </w:pPr>
      <w:r>
        <w:rPr>
          <w:rFonts w:ascii="Arial" w:cs="Arial" w:eastAsia="Arial" w:hAnsi="Arial"/>
          <w:color w:val="1A1A1A"/>
          <w:sz w:val="20"/>
          <w:szCs w:val="20"/>
        </w:rPr>
        <w:t xml:space="preserve">[8] ICIS Fertilizer Pricing — DAP/MAP Global Price Reports. Disponible sur : www.icis.com</w:t>
      </w:r>
    </w:p>
    <w:p>
      <w:pPr>
        <w:spacing w:before="60" w:after="80"/>
        <w:jc w:val="both"/>
      </w:pPr>
      <w:r>
        <w:rPr>
          <w:rFonts w:ascii="Arial" w:cs="Arial" w:eastAsia="Arial" w:hAnsi="Arial"/>
          <w:color w:val="1A1A1A"/>
          <w:sz w:val="20"/>
          <w:szCs w:val="20"/>
        </w:rPr>
        <w:t xml:space="preserve">[9] McKinsey Global Institute (2023). The Future of Commodities in a Disrupted World. McKinsey &amp; Company.</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A4D" w:sz="4" w:space="4"/>
      </w:pBdr>
      <w:jc w:val="center"/>
    </w:pPr>
    <w:r>
      <w:rPr>
        <w:rFonts w:ascii="Arial" w:cs="Arial" w:eastAsia="Arial" w:hAnsi="Arial"/>
        <w:color w:val="888888"/>
        <w:sz w:val="16"/>
        <w:szCs w:val="16"/>
      </w:rPr>
      <w:t xml:space="preserve">Commerce International  |  ENCG Settat  —  2025/2026          </w:t>
    </w:r>
    <w:r>
      <w:rPr>
        <w:rFonts w:ascii="Arial" w:cs="Arial" w:eastAsia="Arial" w:hAnsi="Arial"/>
        <w:color w:val="007A4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A4D" w:sz="4" w:space="4"/>
      </w:pBdr>
      <w:jc w:val="right"/>
    </w:pPr>
    <w:r>
      <w:rPr>
        <w:rFonts w:ascii="Arial" w:cs="Arial" w:eastAsia="Arial" w:hAnsi="Arial"/>
        <w:color w:val="888888"/>
        <w:sz w:val="16"/>
        <w:szCs w:val="16"/>
      </w:rPr>
      <w:t xml:space="preserve">Projet IA — Positionnement Stratégique OCP SA  |  Sara Benzeggoud  |  ENCG Settat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07A4D"/>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C8A4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2026-03-26T13:17:06.743Z</dcterms:created>
  <dcterms:modified xsi:type="dcterms:W3CDTF">2026-03-26T13:17:06.744Z</dcterms:modified>
</cp:coreProperties>
</file>

<file path=docProps/custom.xml><?xml version="1.0" encoding="utf-8"?>
<Properties xmlns="http://schemas.openxmlformats.org/officeDocument/2006/custom-properties" xmlns:vt="http://schemas.openxmlformats.org/officeDocument/2006/docPropsVTypes"/>
</file>