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48E80"/>
          <w:spacing w:val="40"/>
          <w:sz w:val="18"/>
          <w:szCs w:val="18"/>
        </w:rPr>
        <w:t xml:space="preserve">DEMO SCRIPT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7A2331"/>
          <w:sz w:val="36"/>
          <w:szCs w:val="36"/>
        </w:rPr>
        <w:t xml:space="preserve">LPU Assignment &amp; Rubric Designer – 10-minute demo</w:t>
      </w:r>
    </w:p>
    <w:p>
      <w:pPr>
        <w:spacing w:after="60" w:before="0" w:line="276"/>
      </w:pPr>
      <w:r>
        <w:rPr>
          <w:rFonts w:ascii="Calibri" w:cs="Calibri" w:eastAsia="Calibri" w:hAnsi="Calibri"/>
          <w:color w:val="5C574D"/>
          <w:sz w:val="20"/>
          <w:szCs w:val="20"/>
        </w:rPr>
        <w:t xml:space="preserve">Use with the slide deck. Presenter: </w:t>
      </w:r>
      <w:r>
        <w:rPr>
          <w:rFonts w:ascii="Calibri" w:cs="Calibri" w:eastAsia="Calibri" w:hAnsi="Calibri"/>
          <w:color w:val="5C574D"/>
          <w:sz w:val="20"/>
          <w:szCs w:val="20"/>
          <w:highlight w:val="yellow"/>
        </w:rPr>
        <w:t xml:space="preserve">[name]</w:t>
      </w:r>
      <w:r>
        <w:rPr>
          <w:rFonts w:ascii="Calibri" w:cs="Calibri" w:eastAsia="Calibri" w:hAnsi="Calibri"/>
          <w:color w:val="5C574D"/>
          <w:sz w:val="20"/>
          <w:szCs w:val="20"/>
        </w:rPr>
        <w:t xml:space="preserve">   ·   Date and venue: </w:t>
      </w:r>
      <w:r>
        <w:rPr>
          <w:rFonts w:ascii="Calibri" w:cs="Calibri" w:eastAsia="Calibri" w:hAnsi="Calibri"/>
          <w:color w:val="5C574D"/>
          <w:sz w:val="20"/>
          <w:szCs w:val="20"/>
          <w:highlight w:val="yellow"/>
        </w:rPr>
        <w:t xml:space="preserve">[details]</w:t>
      </w:r>
    </w:p>
    <w:p>
      <w:pPr>
        <w:keepNext/>
        <w:spacing w:after="70" w:before="160"/>
      </w:pPr>
      <w:r>
        <w:rPr>
          <w:rFonts w:ascii="Georgia" w:cs="Georgia" w:eastAsia="Georgia" w:hAnsi="Georgia"/>
          <w:b/>
          <w:bCs/>
          <w:color w:val="7A2331"/>
          <w:sz w:val="24"/>
          <w:szCs w:val="24"/>
        </w:rPr>
        <w:t xml:space="preserve">Before the day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color w:val="211E1A"/>
          <w:sz w:val="22"/>
          <w:szCs w:val="22"/>
        </w:rPr>
        <w:t xml:space="preserve">☐  Create a </w:t>
      </w: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demo account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with a neutral email and sign in before the audience arrives (the app shows your email at the top right).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color w:val="211E1A"/>
          <w:sz w:val="22"/>
          <w:szCs w:val="22"/>
        </w:rPr>
        <w:t xml:space="preserve">☐  Run the whole flow once with a course you know. Leave the result in </w:t>
      </w: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History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color w:val="211E1A"/>
          <w:sz w:val="22"/>
          <w:szCs w:val="22"/>
        </w:rPr>
        <w:t xml:space="preserve">☐  Run the </w:t>
      </w: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AI stress test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on that result, so a finished one is ready to show.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color w:val="211E1A"/>
          <w:sz w:val="22"/>
          <w:szCs w:val="22"/>
        </w:rPr>
        <w:t xml:space="preserve">☐  Rehearse the </w:t>
      </w: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before and after pair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(slide 7). Type the two AI scores into the slide.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color w:val="211E1A"/>
          <w:sz w:val="22"/>
          <w:szCs w:val="22"/>
        </w:rPr>
        <w:t xml:space="preserve">☐  Take a </w:t>
      </w: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screenshot of every screen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as a backup. Open History in a second tab. Check the Wi-Fi.</w:t>
      </w:r>
    </w:p>
    <w:p>
      <w:pPr>
        <w:keepNext/>
        <w:spacing w:after="70" w:before="160"/>
      </w:pPr>
      <w:r>
        <w:rPr>
          <w:rFonts w:ascii="Georgia" w:cs="Georgia" w:eastAsia="Georgia" w:hAnsi="Georgia"/>
          <w:b/>
          <w:bCs/>
          <w:color w:val="7A2331"/>
          <w:sz w:val="24"/>
          <w:szCs w:val="24"/>
        </w:rPr>
        <w:t xml:space="preserve">The 10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4"/>
        <w:gridCol w:w="1549"/>
        <w:gridCol w:w="3356"/>
        <w:gridCol w:w="3958"/>
      </w:tblGrid>
      <w:tr>
        <w:trPr>
          <w:cantSplit/>
          <w:tblHeader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do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say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0–2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Slides 1–3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Show the cover, the problem and the three decisions.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“AI can write any essay now. The guideline asks one question: does this task still show what the student can do?”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2–4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App: the form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color w:val="211E1A"/>
                <w:sz w:val="20"/>
                <w:szCs w:val="20"/>
              </w:rPr>
              <w:t xml:space="preserve">Lane A</w:t>
            </w: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, then </w:t>
            </w:r>
            <w:r>
              <w:rPr>
                <w:rFonts w:ascii="Calibri" w:cs="Calibri" w:eastAsia="Calibri" w:hAnsi="Calibri"/>
                <w:b/>
                <w:bCs/>
                <w:color w:val="211E1A"/>
                <w:sz w:val="20"/>
                <w:szCs w:val="20"/>
              </w:rPr>
              <w:t xml:space="preserve">Lane B</w:t>
            </w: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. Watch the AI-level list change.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“You can only ban AI where you can supervise. The app applies that rule for you.”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4–5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App: the form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Fill the form (see the example below) and click </w:t>
            </w:r>
            <w:r>
              <w:rPr>
                <w:rFonts w:ascii="Calibri" w:cs="Calibri" w:eastAsia="Calibri" w:hAnsi="Calibri"/>
                <w:b/>
                <w:bCs/>
                <w:color w:val="211E1A"/>
                <w:sz w:val="20"/>
                <w:szCs w:val="20"/>
              </w:rPr>
              <w:t xml:space="preserve">Generate</w:t>
            </w: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.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While it works (a minute or two): “The context anchor is the real local detail that makes a task hard to copy.”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5–7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App: the result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Scroll the brief, then the rubric. Optional: slide 5.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“The rubric grades what the student decides, not how polished the text is.”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7–9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History: stress test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Open your </w:t>
            </w:r>
            <w:r>
              <w:rPr>
                <w:rFonts w:ascii="Calibri" w:cs="Calibri" w:eastAsia="Calibri" w:hAnsi="Calibri"/>
                <w:b/>
                <w:bCs/>
                <w:color w:val="211E1A"/>
                <w:sz w:val="20"/>
                <w:szCs w:val="20"/>
              </w:rPr>
              <w:t xml:space="preserve">pre-run</w:t>
            </w: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 stress test. Read the band, then the criteria the AI satisfied.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“We let an AI attempt it. Green means the AI could not do it, which is what we want.”</w:t>
            </w:r>
          </w:p>
        </w:tc>
      </w:tr>
      <w:tr>
        <w:trPr>
          <w:cantSplit/>
        </w:trPr>
        <w:tc>
          <w:tcPr>
            <w:tcW w:type="dxa" w:w="77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9–10</w:t>
            </w:r>
          </w:p>
        </w:tc>
        <w:tc>
          <w:tcPr>
            <w:tcW w:type="dxa" w:w="15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Slides 7, 10</w:t>
            </w:r>
          </w:p>
        </w:tc>
        <w:tc>
          <w:tcPr>
            <w:tcW w:type="dxa" w:w="33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Show the before and after scores. Click </w:t>
            </w:r>
            <w:r>
              <w:rPr>
                <w:rFonts w:ascii="Calibri" w:cs="Calibri" w:eastAsia="Calibri" w:hAnsi="Calibri"/>
                <w:b/>
                <w:bCs/>
                <w:color w:val="211E1A"/>
                <w:sz w:val="20"/>
                <w:szCs w:val="20"/>
              </w:rPr>
              <w:t xml:space="preserve">Download as Word</w:t>
            </w: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. Close with slide 10.</w:t>
            </w:r>
          </w:p>
        </w:tc>
        <w:tc>
          <w:tcPr>
            <w:tcW w:type="dxa" w:w="395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“Bring one Course Outcome. Leave with a stress-tested assignment.”</w:t>
            </w:r>
          </w:p>
        </w:tc>
      </w:tr>
    </w:tbl>
    <w:p>
      <w:pPr>
        <w:keepNext/>
        <w:spacing w:after="70" w:before="160"/>
      </w:pPr>
      <w:r>
        <w:rPr>
          <w:rFonts w:ascii="Georgia" w:cs="Georgia" w:eastAsia="Georgia" w:hAnsi="Georgia"/>
          <w:b/>
          <w:bCs/>
          <w:color w:val="7A2331"/>
          <w:sz w:val="24"/>
          <w:szCs w:val="24"/>
        </w:rPr>
        <w:t xml:space="preserve">Example to type in (about 1 minute)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7"/>
        <w:gridCol w:w="3449"/>
        <w:gridCol w:w="1522"/>
        <w:gridCol w:w="3449"/>
      </w:tblGrid>
      <w:tr>
        <w:trPr>
          <w:cantSplit/>
          <w:tblHeader/>
        </w:trPr>
        <w:tc>
          <w:tcPr>
            <w:tcW w:type="dxa" w:w="121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52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7A233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121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Database Management Systems</w:t>
            </w:r>
          </w:p>
        </w:tc>
        <w:tc>
          <w:tcPr>
            <w:tcW w:type="dxa" w:w="152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Lane / AI level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Lane B, Level 3 (already selected)</w:t>
            </w:r>
          </w:p>
        </w:tc>
      </w:tr>
      <w:tr>
        <w:trPr>
          <w:cantSplit/>
        </w:trPr>
        <w:tc>
          <w:tcPr>
            <w:tcW w:type="dxa" w:w="121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Discipline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Computer Science / IT / Data Science</w:t>
            </w:r>
          </w:p>
        </w:tc>
        <w:tc>
          <w:tcPr>
            <w:tcW w:type="dxa" w:w="152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Depth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Knows how</w:t>
            </w:r>
          </w:p>
        </w:tc>
      </w:tr>
      <w:tr>
        <w:trPr>
          <w:cantSplit/>
        </w:trPr>
        <w:tc>
          <w:tcPr>
            <w:tcW w:type="dxa" w:w="121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Topic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Designing a normalized schema for a campus service</w:t>
            </w:r>
          </w:p>
        </w:tc>
        <w:tc>
          <w:tcPr>
            <w:tcW w:type="dxa" w:w="152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Context anchor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This semester’s hostel mess booking rules</w:t>
            </w:r>
          </w:p>
        </w:tc>
      </w:tr>
      <w:tr>
        <w:trPr>
          <w:cantSplit/>
        </w:trPr>
        <w:tc>
          <w:tcPr>
            <w:tcW w:type="dxa" w:w="121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Outcome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CO3: Design and normalize relational database schemas for real-world applications.</w:t>
            </w:r>
          </w:p>
        </w:tc>
        <w:tc>
          <w:tcPr>
            <w:tcW w:type="dxa" w:w="152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Oral check</w:t>
            </w:r>
          </w:p>
        </w:tc>
        <w:tc>
          <w:tcPr>
            <w:tcW w:type="dxa" w:w="344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AF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211E1A"/>
                <w:sz w:val="20"/>
                <w:szCs w:val="20"/>
              </w:rPr>
              <w:t xml:space="preserve">Random selection of about 15–25%</w:t>
            </w:r>
          </w:p>
        </w:tc>
      </w:tr>
    </w:tbl>
    <w:p>
      <w:pPr>
        <w:keepNext/>
        <w:spacing w:after="70" w:before="160"/>
      </w:pPr>
      <w:r>
        <w:rPr>
          <w:rFonts w:ascii="Georgia" w:cs="Georgia" w:eastAsia="Georgia" w:hAnsi="Georgia"/>
          <w:b/>
          <w:bCs/>
          <w:color w:val="7A2331"/>
          <w:sz w:val="24"/>
          <w:szCs w:val="24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Wi-Fi fails: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switch to your screenshots and say so calmly.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Generation is slow or shows an error: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open the finished result in History and carry on. Retry later.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Someone asks about data: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go to slide 9. Assignments are private to each account; organisers see anonymised summaries.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211E1A"/>
          <w:sz w:val="22"/>
          <w:szCs w:val="22"/>
        </w:rPr>
        <w:t xml:space="preserve">Do not</w:t>
      </w:r>
      <w:r>
        <w:rPr>
          <w:rFonts w:ascii="Calibri" w:cs="Calibri" w:eastAsia="Calibri" w:hAnsi="Calibri"/>
          <w:color w:val="211E1A"/>
          <w:sz w:val="22"/>
          <w:szCs w:val="22"/>
        </w:rPr>
        <w:t xml:space="preserve"> demo sign-up live (emails can be slow) and do not show the Supabase screen (it lists another app).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8E80"/>
        <w:sz w:val="17"/>
        <w:szCs w:val="17"/>
      </w:rPr>
      <w:t xml:space="preserve">LPU Assignment &amp; Rubric Designer – Demo Script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233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1E1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LPU Assignment &amp; Rubric Designer – Demo Script</dc:title>
  <dc:creator>LPU Assignment &amp; Rubric Designer</dc:creator>
  <cp:lastModifiedBy>Un-named</cp:lastModifiedBy>
  <cp:revision>1</cp:revision>
  <dcterms:created xsi:type="dcterms:W3CDTF">2026-10-08T06:32:58.023Z</dcterms:created>
  <dcterms:modified xsi:type="dcterms:W3CDTF">2026-10-08T06:32:58.031Z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