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lang w:val="en-US"/>
        </w:rPr>
        <w:t>Biomasses</w:t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lang w:val="en-US"/>
        </w:rPr>
        <w:t>HumanGEM</w:t>
      </w:r>
      <w:r>
        <w:rPr>
          <w:b/>
          <w:bCs/>
          <w:sz w:val="22"/>
          <w:szCs w:val="22"/>
          <w:lang w:val="en-US"/>
        </w:rPr>
        <w:t xml:space="preserve"> Model was modified prior to reconstruction of cell-type/tissue specific reconstruction </w:t>
      </w:r>
      <w:r>
        <w:rPr>
          <w:b/>
          <w:bCs/>
          <w:sz w:val="22"/>
          <w:szCs w:val="22"/>
          <w:lang w:val="en-US"/>
        </w:rPr>
        <w:t>of T-cells</w:t>
      </w:r>
      <w:r>
        <w:rPr>
          <w:b/>
          <w:bCs/>
          <w:sz w:val="22"/>
          <w:szCs w:val="22"/>
          <w:lang w:val="en-US"/>
        </w:rPr>
        <w:t>:</w:t>
      </w:r>
    </w:p>
    <w:p>
      <w:pPr>
        <w:pStyle w:val="Normal"/>
        <w:widowControl/>
        <w:overflowPunct w:val="false"/>
        <w:bidi w:val="0"/>
        <w:ind w:left="680" w:right="0" w:hanging="0"/>
        <w:jc w:val="both"/>
        <w:rPr/>
      </w:pPr>
      <w:r>
        <w:rPr>
          <w:sz w:val="22"/>
          <w:szCs w:val="22"/>
          <w:lang w:val="en-US"/>
        </w:rPr>
        <w:tab/>
        <w:t xml:space="preserve">- A biomass reaction from the macrophage model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iAB-AMØ-1410 was added (named </w:t>
      </w:r>
      <w:r>
        <w:rPr>
          <w:rFonts w:eastAsia="Times New Roman" w:cs="Calibri"/>
          <w:i/>
          <w:iCs/>
          <w:color w:val="000000"/>
          <w:sz w:val="22"/>
          <w:szCs w:val="22"/>
          <w:highlight w:val="white"/>
          <w:lang w:val="en-US" w:eastAsia="pt-PT"/>
        </w:rPr>
        <w:t>biomass_macrophage_iABAM01410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)</w:t>
      </w:r>
      <w:r>
        <w:rPr>
          <w:sz w:val="22"/>
          <w:szCs w:val="22"/>
          <w:lang w:val="en-US"/>
        </w:rPr>
        <w:t xml:space="preserve">. Thus,  </w:t>
      </w:r>
      <w:r>
        <w:rPr>
          <w:sz w:val="22"/>
          <w:szCs w:val="22"/>
          <w:lang w:val="en-US"/>
        </w:rPr>
        <w:t>two</w:t>
      </w:r>
      <w:r>
        <w:rPr>
          <w:sz w:val="22"/>
          <w:szCs w:val="22"/>
          <w:lang w:val="en-US"/>
        </w:rPr>
        <w:t xml:space="preserve"> different biomasses will be available to test: </w:t>
      </w:r>
      <w:r>
        <w:rPr>
          <w:i/>
          <w:iCs/>
          <w:sz w:val="22"/>
          <w:szCs w:val="22"/>
          <w:lang w:val="en-US"/>
        </w:rPr>
        <w:t>biomass_</w:t>
      </w:r>
      <w:r>
        <w:rPr>
          <w:i/>
          <w:iCs/>
          <w:sz w:val="22"/>
          <w:szCs w:val="22"/>
          <w:lang w:val="en-US"/>
        </w:rPr>
        <w:t xml:space="preserve">human </w:t>
      </w:r>
      <w:r>
        <w:rPr>
          <w:i w:val="false"/>
          <w:iCs w:val="false"/>
          <w:sz w:val="22"/>
          <w:szCs w:val="22"/>
          <w:lang w:val="en-US"/>
        </w:rPr>
        <w:t>(biomass from HumanGEM) and</w:t>
      </w:r>
      <w:r>
        <w:rPr>
          <w:sz w:val="22"/>
          <w:szCs w:val="22"/>
          <w:lang w:val="en-US"/>
        </w:rPr>
        <w:t xml:space="preserve"> </w:t>
      </w:r>
      <w:r>
        <w:rPr>
          <w:rFonts w:eastAsia="Times New Roman" w:cs="Calibri"/>
          <w:i/>
          <w:iCs/>
          <w:color w:val="000000"/>
          <w:sz w:val="22"/>
          <w:szCs w:val="22"/>
          <w:highlight w:val="white"/>
          <w:lang w:val="en-US" w:eastAsia="pt-PT"/>
        </w:rPr>
        <w:t xml:space="preserve">biomass_macrophage_iABAM01410 </w:t>
      </w:r>
      <w:r>
        <w:rPr>
          <w:sz w:val="22"/>
          <w:szCs w:val="22"/>
          <w:lang w:val="en-US"/>
        </w:rPr>
        <w:t>.</w:t>
      </w:r>
    </w:p>
    <w:p>
      <w:pPr>
        <w:pStyle w:val="Normal"/>
        <w:ind w:left="708" w:right="0" w:hanging="0"/>
        <w:jc w:val="both"/>
        <w:rPr/>
      </w:pP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- With this, we have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2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 generic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HumanGEM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 models, the original one (</w:t>
      </w:r>
      <w:r>
        <w:rPr>
          <w:rFonts w:eastAsia="Times New Roman" w:cs="Calibri"/>
          <w:i/>
          <w:iCs/>
          <w:color w:val="000000"/>
          <w:sz w:val="22"/>
          <w:szCs w:val="22"/>
          <w:highlight w:val="white"/>
          <w:lang w:val="en-US" w:eastAsia="pt-PT"/>
        </w:rPr>
        <w:t>HumanGEM-1.4.1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),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which will be used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 in cancer reconstruction models and the one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that will be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 use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d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 in T-cell reconstruction models (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HumanGEM-1.4.1</w:t>
      </w:r>
      <w:r>
        <w:rPr>
          <w:rFonts w:eastAsia="Times New Roman" w:cs="Calibri"/>
          <w:i/>
          <w:iCs/>
          <w:color w:val="000000"/>
          <w:sz w:val="22"/>
          <w:szCs w:val="22"/>
          <w:highlight w:val="white"/>
          <w:lang w:val="en-US" w:eastAsia="pt-PT"/>
        </w:rPr>
        <w:t>_forTcells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)</w:t>
      </w:r>
    </w:p>
    <w:p>
      <w:pPr>
        <w:pStyle w:val="Normal"/>
        <w:ind w:left="708" w:right="0" w:hanging="0"/>
        <w:jc w:val="both"/>
        <w:rPr/>
      </w:pP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-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Since the only difference between these two models is the presence of one more biomass reaction in one of them:</w:t>
      </w:r>
    </w:p>
    <w:p>
      <w:pPr>
        <w:pStyle w:val="Normal"/>
        <w:widowControl/>
        <w:overflowPunct w:val="false"/>
        <w:bidi w:val="0"/>
        <w:ind w:left="1417" w:right="0" w:hanging="0"/>
        <w:jc w:val="both"/>
        <w:rPr/>
      </w:pP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- HumanGEM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was tested for the ability to perform tasks that all cells should be able to perform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(adapted to a json file from </w:t>
      </w:r>
      <w:r>
        <w:rPr>
          <w:rFonts w:eastAsia="Times New Roman" w:cs="Calibri"/>
          <w:i/>
          <w:iCs/>
          <w:color w:val="000000"/>
          <w:sz w:val="22"/>
          <w:szCs w:val="22"/>
          <w:highlight w:val="white"/>
          <w:lang w:val="en-US" w:eastAsia="pt-PT"/>
        </w:rPr>
        <w:t>metabolicTasks_full.xlsx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 from HumanGEM: </w:t>
      </w:r>
      <w:hyperlink r:id="rId2">
        <w:r>
          <w:rPr>
            <w:rStyle w:val="InternetLink"/>
            <w:rFonts w:eastAsia="Times New Roman" w:cs="Calibri"/>
            <w:color w:val="000000"/>
            <w:sz w:val="22"/>
            <w:szCs w:val="22"/>
            <w:highlight w:val="white"/>
            <w:lang w:val="en-US" w:eastAsia="pt-PT"/>
          </w:rPr>
          <w:t>https://github.com/SysBioChalmers/Human-GEM/tree/master/data/metabolicTasks</w:t>
        </w:r>
      </w:hyperlink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)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.</w:t>
      </w:r>
    </w:p>
    <w:p>
      <w:pPr>
        <w:pStyle w:val="Normal"/>
        <w:ind w:left="708" w:right="0" w:hanging="0"/>
        <w:jc w:val="both"/>
        <w:rPr/>
      </w:pP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- The capacity to carry flux through the biomasses reactions was also tested, using the Plasmax 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 xml:space="preserve">and SMDB_Blood media (both as converting the concentrations to ub fluxes and open bounds) and the default open medium from </w:t>
      </w:r>
      <w:r>
        <w:rPr>
          <w:rFonts w:eastAsia="Times New Roman" w:cs="Calibri"/>
          <w:i/>
          <w:iCs/>
          <w:color w:val="000000"/>
          <w:sz w:val="22"/>
          <w:szCs w:val="22"/>
          <w:highlight w:val="white"/>
          <w:lang w:val="en-US" w:eastAsia="pt-PT"/>
        </w:rPr>
        <w:t>HumanGEM</w:t>
      </w:r>
      <w:r>
        <w:rPr>
          <w:rFonts w:eastAsia="Times New Roman" w:cs="Calibri"/>
          <w:color w:val="000000"/>
          <w:sz w:val="22"/>
          <w:szCs w:val="22"/>
          <w:highlight w:val="white"/>
          <w:lang w:val="en-US" w:eastAsia="pt-PT"/>
        </w:rPr>
        <w:t>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lang w:val="en-US"/>
        </w:rPr>
        <w:t>Units:</w:t>
      </w:r>
      <w:r>
        <w:rPr>
          <w:sz w:val="22"/>
          <w:szCs w:val="22"/>
          <w:lang w:val="en-US"/>
        </w:rPr>
        <w:t xml:space="preserve"> mmol gDW</w:t>
      </w:r>
      <w:r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 -&gt;  mmol of metabolite per gram of dry weight of cell per hour</w:t>
      </w:r>
    </w:p>
    <w:p>
      <w:pPr>
        <w:pStyle w:val="Normal"/>
        <w:jc w:val="both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widowControl/>
        <w:overflowPunct w:val="false"/>
        <w:bidi w:val="0"/>
        <w:ind w:left="0" w:right="0" w:hanging="0"/>
        <w:jc w:val="both"/>
        <w:rPr/>
      </w:pPr>
      <w:r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 xml:space="preserve">iomass reaction from the macrophage model </w:t>
      </w:r>
      <w:r>
        <w:rPr>
          <w:rFonts w:eastAsia="Times New Roman" w:cs="Calibri"/>
          <w:b/>
          <w:bCs/>
          <w:color w:val="000000"/>
          <w:sz w:val="22"/>
          <w:szCs w:val="22"/>
          <w:highlight w:val="white"/>
          <w:lang w:val="en-US" w:eastAsia="pt-PT"/>
        </w:rPr>
        <w:t>iAB-AMØ-1410:</w:t>
      </w:r>
    </w:p>
    <w:p>
      <w:pPr>
        <w:pStyle w:val="Normal"/>
        <w:ind w:left="708" w:right="0" w:hanging="0"/>
        <w:rPr>
          <w:rFonts w:eastAsia="Times New Roman" w:cs="Calibri"/>
          <w:color w:val="000000"/>
          <w:sz w:val="10"/>
          <w:szCs w:val="10"/>
          <w:highlight w:val="white"/>
          <w:lang w:val="en-US" w:eastAsia="pt-PT"/>
        </w:rPr>
      </w:pPr>
      <w:r>
        <w:rPr>
          <w:rFonts w:eastAsia="Times New Roman" w:cs="Calibri"/>
          <w:color w:val="000000"/>
          <w:sz w:val="10"/>
          <w:szCs w:val="10"/>
          <w:highlight w:val="white"/>
          <w:lang w:val="en-US" w:eastAsia="pt-PT"/>
        </w:rPr>
      </w:r>
    </w:p>
    <w:tbl>
      <w:tblPr>
        <w:tblW w:w="8475" w:type="dxa"/>
        <w:jc w:val="left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554"/>
        <w:gridCol w:w="4371"/>
        <w:gridCol w:w="1329"/>
      </w:tblGrid>
      <w:tr>
        <w:trPr/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>
        <w:trPr/>
        <w:tc>
          <w:tcPr>
            <w:tcW w:w="1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overflowPunct w:val="false"/>
              <w:bidi w:val="0"/>
              <w:ind w:left="-57" w:right="0" w:hanging="0"/>
              <w:jc w:val="left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m01307c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L-Alanine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0.396559456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alpa_hs_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Lysophosphatidic Acid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0.011499127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m01334c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Adenosine monophosphate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0.048664064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m01365c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L-Arginine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0.325724532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m01369c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L-Asparagine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0.215407845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m01370c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L-Aspartic acid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0.282759085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m01371c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ATP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25.17352552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m01450c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Cholesterol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0.020930954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m01590c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CMP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0.042373167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m01628c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L-Cysteine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0.127154496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m00240c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Diglyceride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1,2.diacylglycerol-LD-TAG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0.0036682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m01639c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dAMP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0.021495345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m01644c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dCMP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0.014937443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m01686c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dGMP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0.014937443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m01752c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dTMP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0.021495345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m01975c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L-Glutamine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0.280436629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m01974c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L-Glutamic acid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0.424428935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m01986c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Glycine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0.366948135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m03161c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Glycogen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</w:t>
            </w:r>
            <w:bookmarkStart w:id="0" w:name="__DdeLink__5388_2966461413"/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528027894</w:t>
            </w:r>
            <w:bookmarkEnd w:id="0"/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m02016c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GMP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0.043710887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m02040c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H2O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25.17352552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m02674c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Palmitic acid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0.004850777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m02675c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Palmitoleic acid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0.001222285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m02125c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L-Histidine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0.153862747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m02184c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L-Isoleucine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0.25953452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m02360c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L-Leucine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0.580614138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m02426c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L-Lysine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0.351852168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m02471c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L-Methionine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0.126573882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m02938c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Stearic acid[cytoplasm]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0.004736708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m02646c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Oleic acid[cytoplasm]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0.003853116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m02750c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1-Phosphatidyl-1D-Myo-Inositol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PI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0.003741686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m02684c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Phosphatidylcholine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PC-LD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0.031527146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m02685c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Phosphatidylethanolamine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PE-LD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0.021107135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2715c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Phosphatidylglycerol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PG-CL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0.008918017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m02724c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L-Phenylalanine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0.214246617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m02770c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L-Proline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0.346626641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m02808c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Phosphatidylserine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PS-LD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0.001024655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m02896c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L-Serine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0.476684207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m02908c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Sphingomyelin 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(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SM pool</w:t>
            </w: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0.007049706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m02959c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 xml:space="preserve">TAG-LD pool </w:t>
            </w:r>
            <w:r>
              <w:rPr>
                <w:rFonts w:eastAsia="Times New Roman" w:cs="Calibri"/>
                <w:b/>
                <w:bCs/>
                <w:sz w:val="22"/>
                <w:szCs w:val="22"/>
                <w:lang w:val="en-US" w:eastAsia="pt-PT"/>
              </w:rPr>
              <w:t>*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0.002742439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m02993c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highlight w:val="yellow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L-Threonine[cytoplasm]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0.303661194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m03089c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highlight w:val="yellow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L-Tryptophan[cytoplasm]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0.069673697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m02494c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Myristic acid[cytoplasm]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0.00136164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m03101c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highlight w:val="yellow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L-Tyrosine[cytoplasm]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0.156185203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m03114c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Uridine 5'-monophosphate[cytoplasm]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0.04602478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m03135c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highlight w:val="yellow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L-Valine[cytoplasm]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0.347207255</w:t>
            </w:r>
          </w:p>
        </w:tc>
      </w:tr>
      <w:tr>
        <w:trPr/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>
        <w:trPr/>
        <w:tc>
          <w:tcPr>
            <w:tcW w:w="1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adp[c]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ADP[cytoplasm]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25.17352552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highlight w:val="yellow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Hydrogen Ion[cytoplasm]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25.17352552</w:t>
            </w:r>
          </w:p>
        </w:tc>
      </w:tr>
      <w:tr>
        <w:trPr/>
        <w:tc>
          <w:tcPr>
            <w:tcW w:w="1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highlight w:val="yellow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Phosphate[cytoplasm]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25.17352552</w:t>
            </w:r>
          </w:p>
        </w:tc>
      </w:tr>
      <w:tr>
        <w:trPr/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7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0</w:t>
            </w:r>
          </w:p>
        </w:tc>
      </w:tr>
      <w:tr>
        <w:trPr/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b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7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Calibri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PT"/>
              </w:rPr>
              <w:t>1000</w:t>
            </w:r>
          </w:p>
        </w:tc>
      </w:tr>
    </w:tbl>
    <w:p>
      <w:pPr>
        <w:pStyle w:val="Normal"/>
        <w:ind w:right="0" w:hanging="0"/>
        <w:rPr>
          <w:sz w:val="18"/>
          <w:szCs w:val="18"/>
        </w:rPr>
      </w:pPr>
      <w:r>
        <w:rPr>
          <w:rFonts w:eastAsia="Times New Roman" w:cs="Calibri"/>
          <w:sz w:val="22"/>
          <w:szCs w:val="22"/>
          <w:lang w:val="en-US" w:eastAsia="pt-PT"/>
        </w:rPr>
      </w:r>
    </w:p>
    <w:p>
      <w:pPr>
        <w:pStyle w:val="Normal"/>
        <w:ind w:right="0" w:hanging="0"/>
        <w:rPr>
          <w:rFonts w:eastAsia="Times New Roman" w:cs="Calibri"/>
          <w:b w:val="false"/>
          <w:b w:val="false"/>
          <w:bCs w:val="false"/>
          <w:sz w:val="22"/>
          <w:szCs w:val="22"/>
          <w:lang w:val="en-US" w:eastAsia="pt-PT"/>
        </w:rPr>
      </w:pPr>
      <w:r>
        <w:rPr>
          <w:rFonts w:eastAsia="Times New Roman" w:cs="Calibri"/>
          <w:b/>
          <w:bCs/>
          <w:color w:val="000000"/>
          <w:sz w:val="22"/>
          <w:szCs w:val="22"/>
          <w:lang w:val="en-US" w:eastAsia="pt-PT"/>
        </w:rPr>
        <w:t>*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val="en-US" w:eastAsia="pt-PT"/>
        </w:rPr>
        <w:t xml:space="preserve"> 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val="en-US" w:eastAsia="pt-PT"/>
        </w:rPr>
        <w:t>In the macrophage model (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highlight w:val="white"/>
          <w:lang w:val="en-US" w:eastAsia="pt-PT"/>
        </w:rPr>
        <w:t>iAB-AMØ-1410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val="en-US" w:eastAsia="pt-PT"/>
        </w:rPr>
        <w:t xml:space="preserve">), 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val="en-US" w:eastAsia="pt-PT"/>
        </w:rPr>
        <w:t xml:space="preserve">Triglyceride was considered as 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val="en-US" w:eastAsia="pt-PT"/>
        </w:rPr>
        <w:t xml:space="preserve">TAG-VLDL pool. 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val="en-US" w:eastAsia="pt-PT"/>
        </w:rPr>
        <w:t>However, it was changed to TAG-LD pool (due to unability to produce biomass from either Plasmax or SMDB_Blood media).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Plc">
    <w:name w:val="pl-c"/>
    <w:basedOn w:val="DefaultParagraphFont"/>
    <w:qFormat/>
    <w:rPr/>
  </w:style>
  <w:style w:type="character" w:styleId="HTMLprformatadoCarter">
    <w:name w:val="HTML pré-formatado Caráter"/>
    <w:basedOn w:val="DefaultParagraphFont"/>
    <w:qFormat/>
    <w:rPr>
      <w:rFonts w:ascii="Courier New" w:hAnsi="Courier New" w:eastAsia="Times New Roman" w:cs="Courier New"/>
      <w:sz w:val="20"/>
      <w:szCs w:val="20"/>
      <w:lang w:eastAsia="pt-PT"/>
    </w:rPr>
  </w:style>
  <w:style w:type="character" w:styleId="ListLabel1">
    <w:name w:val="ListLabel 1"/>
    <w:qFormat/>
    <w:rPr>
      <w:sz w:val="22"/>
      <w:szCs w:val="22"/>
      <w:lang w:val="en-GB"/>
    </w:rPr>
  </w:style>
  <w:style w:type="character" w:styleId="ListLabel2">
    <w:name w:val="ListLabel 2"/>
    <w:qFormat/>
    <w:rPr>
      <w:sz w:val="22"/>
      <w:szCs w:val="22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pt-PT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PT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ysBioChalmers/Human-GEM/tree/master/data/metabolicTask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34728</TotalTime>
  <Application>LibreOffice/6.0.7.3$Linux_X86_64 LibreOffice_project/00m0$Build-3</Application>
  <Pages>2</Pages>
  <Words>409</Words>
  <Characters>3054</Characters>
  <CharactersWithSpaces>3299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2020-07-03T12:02:00Z</dcterms:created>
  <dc:creator>Sara Manso de Sousa Cardoso</dc:creator>
  <dc:description/>
  <dc:language>pt-PT</dc:language>
  <cp:lastModifiedBy/>
  <dcterms:modified xsi:type="dcterms:W3CDTF">2020-09-08T14:39:37Z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