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971920" w:rsidRDefault="005D240B" w:rsidP="00971920">
      <w:pPr>
        <w:pStyle w:val="ListParagraph"/>
        <w:numPr>
          <w:ilvl w:val="0"/>
          <w:numId w:val="2"/>
        </w:numPr>
        <w:spacing w:line="480" w:lineRule="auto"/>
        <w:jc w:val="both"/>
        <w:rPr>
          <w:b/>
          <w:bCs/>
          <w:sz w:val="22"/>
          <w:szCs w:val="22"/>
        </w:rPr>
      </w:pPr>
      <w:r w:rsidRPr="00971920">
        <w:rPr>
          <w:b/>
          <w:bCs/>
          <w:sz w:val="22"/>
          <w:szCs w:val="22"/>
        </w:rPr>
        <w:t>Systems-Level Insights into Bronchopulmonary Dysplasia from Meta-Analysis of Genome-Scale Studies</w:t>
      </w:r>
    </w:p>
    <w:p w14:paraId="29EC562B" w14:textId="77777777" w:rsidR="005D240B" w:rsidRPr="005B64D9" w:rsidRDefault="005D240B" w:rsidP="005D240B">
      <w:pPr>
        <w:spacing w:line="480" w:lineRule="auto"/>
        <w:jc w:val="both"/>
        <w:rPr>
          <w:b/>
          <w:bCs/>
          <w:sz w:val="22"/>
          <w:szCs w:val="22"/>
        </w:rPr>
      </w:pPr>
    </w:p>
    <w:p w14:paraId="6AB27514" w14:textId="77777777" w:rsidR="005D240B" w:rsidRPr="005B64D9" w:rsidRDefault="005D240B" w:rsidP="005D240B">
      <w:pPr>
        <w:spacing w:line="480" w:lineRule="auto"/>
        <w:jc w:val="both"/>
        <w:rPr>
          <w:sz w:val="22"/>
          <w:szCs w:val="22"/>
        </w:rPr>
      </w:pPr>
      <w:r w:rsidRPr="005B64D9">
        <w:rPr>
          <w:sz w:val="22"/>
          <w:szCs w:val="22"/>
        </w:rPr>
        <w:t>Chris Happs</w:t>
      </w:r>
      <w:r w:rsidRPr="005B64D9">
        <w:rPr>
          <w:sz w:val="22"/>
          <w:szCs w:val="22"/>
          <w:vertAlign w:val="superscript"/>
        </w:rPr>
        <w:t>1,2</w:t>
      </w:r>
      <w:r w:rsidRPr="005B64D9">
        <w:rPr>
          <w:sz w:val="22"/>
          <w:szCs w:val="22"/>
        </w:rPr>
        <w:t>*, Prerna Khanna</w:t>
      </w:r>
      <w:r w:rsidRPr="005B64D9">
        <w:rPr>
          <w:sz w:val="22"/>
          <w:szCs w:val="22"/>
          <w:vertAlign w:val="superscript"/>
        </w:rPr>
        <w:t>1,2</w:t>
      </w:r>
      <w:r w:rsidRPr="005B64D9">
        <w:rPr>
          <w:sz w:val="22"/>
          <w:szCs w:val="22"/>
        </w:rPr>
        <w:t>*, Charlotte Scoynes</w:t>
      </w:r>
      <w:r w:rsidRPr="005B64D9">
        <w:rPr>
          <w:sz w:val="22"/>
          <w:szCs w:val="22"/>
          <w:vertAlign w:val="superscript"/>
        </w:rPr>
        <w:t>2</w:t>
      </w:r>
      <w:r w:rsidRPr="005B64D9">
        <w:rPr>
          <w:sz w:val="22"/>
          <w:szCs w:val="22"/>
        </w:rPr>
        <w:t>, Nelly Muriungi</w:t>
      </w:r>
      <w:r w:rsidRPr="005B64D9">
        <w:rPr>
          <w:sz w:val="22"/>
          <w:szCs w:val="22"/>
          <w:vertAlign w:val="superscript"/>
        </w:rPr>
        <w:t>1</w:t>
      </w:r>
      <w:r w:rsidRPr="005B64D9">
        <w:rPr>
          <w:sz w:val="22"/>
          <w:szCs w:val="22"/>
        </w:rPr>
        <w:t>, Akira Alexander</w:t>
      </w:r>
      <w:r w:rsidRPr="005B64D9">
        <w:rPr>
          <w:sz w:val="22"/>
          <w:szCs w:val="22"/>
          <w:vertAlign w:val="superscript"/>
        </w:rPr>
        <w:t>1</w:t>
      </w:r>
      <w:r w:rsidRPr="005B64D9">
        <w:rPr>
          <w:sz w:val="22"/>
          <w:szCs w:val="22"/>
        </w:rPr>
        <w:t>, Josh Rogers</w:t>
      </w:r>
      <w:r w:rsidRPr="005B64D9">
        <w:rPr>
          <w:sz w:val="22"/>
          <w:szCs w:val="22"/>
          <w:vertAlign w:val="superscript"/>
        </w:rPr>
        <w:t>1</w:t>
      </w:r>
      <w:r w:rsidRPr="005B64D9">
        <w:rPr>
          <w:sz w:val="22"/>
          <w:szCs w:val="22"/>
        </w:rPr>
        <w:t>, Elizabeth Lake</w:t>
      </w:r>
      <w:r w:rsidRPr="005B64D9">
        <w:rPr>
          <w:sz w:val="22"/>
          <w:szCs w:val="22"/>
          <w:vertAlign w:val="superscript"/>
        </w:rPr>
        <w:t>1,2</w:t>
      </w:r>
      <w:r w:rsidRPr="005B64D9">
        <w:rPr>
          <w:sz w:val="22"/>
          <w:szCs w:val="22"/>
        </w:rPr>
        <w:t>, Maximillian Pickup</w:t>
      </w:r>
      <w:r w:rsidRPr="005B64D9">
        <w:rPr>
          <w:sz w:val="22"/>
          <w:szCs w:val="22"/>
          <w:vertAlign w:val="superscript"/>
        </w:rPr>
        <w:t>1,2</w:t>
      </w:r>
      <w:r w:rsidRPr="005B64D9">
        <w:rPr>
          <w:sz w:val="22"/>
          <w:szCs w:val="22"/>
        </w:rPr>
        <w:t>, Nicholas Parkinson</w:t>
      </w:r>
      <w:r w:rsidRPr="005B64D9">
        <w:rPr>
          <w:sz w:val="22"/>
          <w:szCs w:val="22"/>
          <w:vertAlign w:val="superscript"/>
        </w:rPr>
        <w:t>1</w:t>
      </w:r>
      <w:r w:rsidRPr="005B64D9">
        <w:rPr>
          <w:sz w:val="22"/>
          <w:szCs w:val="22"/>
        </w:rPr>
        <w:t>, Jonathan Millar</w:t>
      </w:r>
      <w:r w:rsidRPr="005B64D9">
        <w:rPr>
          <w:sz w:val="22"/>
          <w:szCs w:val="22"/>
          <w:vertAlign w:val="superscript"/>
        </w:rPr>
        <w:t>2</w:t>
      </w:r>
      <w:r w:rsidRPr="005B64D9">
        <w:rPr>
          <w:sz w:val="22"/>
          <w:szCs w:val="22"/>
        </w:rPr>
        <w:t>, Kenneth Baillie</w:t>
      </w:r>
      <w:r w:rsidRPr="005B64D9">
        <w:rPr>
          <w:sz w:val="22"/>
          <w:szCs w:val="22"/>
          <w:vertAlign w:val="superscript"/>
        </w:rPr>
        <w:t>1,2</w:t>
      </w:r>
      <w:r w:rsidRPr="005B64D9">
        <w:rPr>
          <w:sz w:val="22"/>
          <w:szCs w:val="22"/>
        </w:rPr>
        <w:t>, Sara Clohisey Hendry</w:t>
      </w:r>
      <w:r w:rsidRPr="005B64D9">
        <w:rPr>
          <w:sz w:val="22"/>
          <w:szCs w:val="22"/>
          <w:vertAlign w:val="superscript"/>
        </w:rPr>
        <w:t>1,2</w:t>
      </w:r>
    </w:p>
    <w:p w14:paraId="5B4268B7" w14:textId="77777777" w:rsidR="005D240B" w:rsidRPr="005B64D9" w:rsidRDefault="005D240B" w:rsidP="005D240B">
      <w:pPr>
        <w:spacing w:line="480" w:lineRule="auto"/>
        <w:jc w:val="both"/>
        <w:rPr>
          <w:sz w:val="22"/>
          <w:szCs w:val="22"/>
        </w:rPr>
      </w:pPr>
    </w:p>
    <w:p w14:paraId="1DB81644" w14:textId="77777777" w:rsidR="005D240B" w:rsidRPr="005B64D9" w:rsidRDefault="005D240B" w:rsidP="005D240B">
      <w:pPr>
        <w:spacing w:line="480" w:lineRule="auto"/>
        <w:jc w:val="both"/>
        <w:rPr>
          <w:sz w:val="22"/>
          <w:szCs w:val="22"/>
        </w:rPr>
      </w:pPr>
      <w:r w:rsidRPr="005B64D9">
        <w:rPr>
          <w:sz w:val="22"/>
          <w:szCs w:val="22"/>
        </w:rPr>
        <w:t>*  These authors contributed equally</w:t>
      </w:r>
    </w:p>
    <w:p w14:paraId="3A3AE3C1" w14:textId="77777777" w:rsidR="005D240B" w:rsidRPr="005B64D9" w:rsidRDefault="005D240B" w:rsidP="005D240B">
      <w:pPr>
        <w:pStyle w:val="ListParagraph"/>
        <w:numPr>
          <w:ilvl w:val="0"/>
          <w:numId w:val="1"/>
        </w:numPr>
        <w:spacing w:line="480" w:lineRule="auto"/>
        <w:rPr>
          <w:rFonts w:cs="Calibri"/>
          <w:color w:val="000000" w:themeColor="text1"/>
          <w:sz w:val="22"/>
          <w:szCs w:val="22"/>
        </w:rPr>
      </w:pPr>
      <w:r w:rsidRPr="005B64D9">
        <w:rPr>
          <w:rFonts w:cs="Calibri"/>
          <w:color w:val="000000" w:themeColor="text1"/>
          <w:sz w:val="22"/>
          <w:szCs w:val="22"/>
        </w:rPr>
        <w:t>Roslin Institute, University of Edinburgh, Edinburgh, U.K.</w:t>
      </w:r>
    </w:p>
    <w:p w14:paraId="00402DAC" w14:textId="77777777" w:rsidR="005D240B" w:rsidRPr="005B64D9" w:rsidRDefault="005D240B" w:rsidP="005D240B">
      <w:pPr>
        <w:pStyle w:val="ListParagraph"/>
        <w:numPr>
          <w:ilvl w:val="0"/>
          <w:numId w:val="1"/>
        </w:numPr>
        <w:spacing w:line="480" w:lineRule="auto"/>
        <w:rPr>
          <w:rFonts w:cs="Calibri"/>
          <w:color w:val="000000" w:themeColor="text1"/>
          <w:sz w:val="22"/>
          <w:szCs w:val="22"/>
        </w:rPr>
      </w:pPr>
      <w:r w:rsidRPr="005B64D9">
        <w:rPr>
          <w:rFonts w:cs="Calibri"/>
          <w:color w:val="000000" w:themeColor="text1"/>
          <w:sz w:val="22"/>
          <w:szCs w:val="22"/>
        </w:rPr>
        <w:t>Baillie-Gifford Pandemic Science Hub, Institute for Regeneration and Repair, University of Edinburgh, Edinburgh, U.K.</w:t>
      </w:r>
    </w:p>
    <w:p w14:paraId="3924C8B2" w14:textId="77777777" w:rsidR="005D240B" w:rsidRPr="005B64D9" w:rsidRDefault="005D240B" w:rsidP="005D240B">
      <w:pPr>
        <w:spacing w:line="480" w:lineRule="auto"/>
        <w:jc w:val="both"/>
        <w:rPr>
          <w:sz w:val="22"/>
          <w:szCs w:val="22"/>
        </w:rPr>
      </w:pPr>
    </w:p>
    <w:p w14:paraId="53342AC2" w14:textId="77777777" w:rsidR="005D240B" w:rsidRPr="005B64D9" w:rsidRDefault="005D240B" w:rsidP="005D240B">
      <w:pPr>
        <w:spacing w:line="480" w:lineRule="auto"/>
        <w:jc w:val="both"/>
        <w:rPr>
          <w:rFonts w:cs="Calibri"/>
          <w:color w:val="000000" w:themeColor="text1"/>
          <w:sz w:val="22"/>
          <w:szCs w:val="22"/>
        </w:rPr>
      </w:pPr>
      <w:r w:rsidRPr="005B64D9">
        <w:rPr>
          <w:rFonts w:cs="Calibri"/>
          <w:b/>
          <w:bCs/>
          <w:color w:val="000000" w:themeColor="text1"/>
          <w:sz w:val="22"/>
          <w:szCs w:val="22"/>
        </w:rPr>
        <w:t xml:space="preserve">Running title: </w:t>
      </w:r>
      <w:r>
        <w:rPr>
          <w:rFonts w:cs="Calibri"/>
          <w:color w:val="000000" w:themeColor="text1"/>
          <w:sz w:val="22"/>
          <w:szCs w:val="22"/>
        </w:rPr>
        <w:t>MAIC analysis</w:t>
      </w:r>
      <w:r w:rsidRPr="005B64D9">
        <w:rPr>
          <w:rFonts w:cs="Calibri"/>
          <w:color w:val="000000" w:themeColor="text1"/>
          <w:sz w:val="22"/>
          <w:szCs w:val="22"/>
        </w:rPr>
        <w:t xml:space="preserve"> of Bronchopulmonary Dysplasia</w:t>
      </w:r>
    </w:p>
    <w:p w14:paraId="13593164" w14:textId="77777777" w:rsidR="005D240B" w:rsidRPr="005B64D9" w:rsidRDefault="005D240B" w:rsidP="005D240B">
      <w:pPr>
        <w:spacing w:line="480" w:lineRule="auto"/>
        <w:jc w:val="both"/>
        <w:rPr>
          <w:rFonts w:cs="Calibri"/>
          <w:b/>
          <w:bCs/>
          <w:color w:val="000000" w:themeColor="text1"/>
          <w:sz w:val="22"/>
          <w:szCs w:val="22"/>
        </w:rPr>
      </w:pPr>
      <w:r w:rsidRPr="005B64D9">
        <w:rPr>
          <w:rFonts w:cs="Calibri"/>
          <w:color w:val="000000" w:themeColor="text1"/>
          <w:sz w:val="22"/>
          <w:szCs w:val="22"/>
        </w:rPr>
        <w:br w:type="column"/>
      </w:r>
      <w:r w:rsidRPr="005B64D9">
        <w:rPr>
          <w:rFonts w:cs="Calibri"/>
          <w:b/>
          <w:bCs/>
          <w:color w:val="000000" w:themeColor="text1"/>
          <w:sz w:val="22"/>
          <w:szCs w:val="22"/>
        </w:rPr>
        <w:lastRenderedPageBreak/>
        <w:t>ABSTRACT</w:t>
      </w:r>
    </w:p>
    <w:p w14:paraId="5FC885CB" w14:textId="77777777" w:rsidR="005D240B" w:rsidRPr="005B64D9" w:rsidRDefault="005D240B" w:rsidP="005D240B">
      <w:pPr>
        <w:spacing w:line="480" w:lineRule="auto"/>
        <w:jc w:val="both"/>
        <w:rPr>
          <w:rFonts w:cs="Calibri"/>
          <w:b/>
          <w:bCs/>
          <w:color w:val="000000" w:themeColor="text1"/>
          <w:sz w:val="22"/>
          <w:szCs w:val="22"/>
        </w:rPr>
      </w:pPr>
    </w:p>
    <w:p w14:paraId="2AC1ACFE" w14:textId="77777777" w:rsidR="005D240B"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Background</w:t>
      </w:r>
    </w:p>
    <w:p w14:paraId="6316437E" w14:textId="77777777" w:rsidR="005D240B" w:rsidRPr="00CC2DFC" w:rsidRDefault="005D240B" w:rsidP="005D240B">
      <w:pPr>
        <w:spacing w:line="480" w:lineRule="auto"/>
        <w:jc w:val="both"/>
        <w:rPr>
          <w:rFonts w:cs="Calibri"/>
          <w:b/>
          <w:bCs/>
          <w:color w:val="000000" w:themeColor="text1"/>
          <w:sz w:val="22"/>
          <w:szCs w:val="22"/>
        </w:rPr>
      </w:pPr>
      <w:r w:rsidRPr="00CC2DFC">
        <w:rPr>
          <w:sz w:val="22"/>
          <w:szCs w:val="22"/>
        </w:rPr>
        <w:t xml:space="preserve">Despite marked improvements in survival following preterm birth, the incidence of bronchopulmonary dysplasia (BPD) continues to rise. BPD remains the most prevalent complication of prematurity and carries the risk of long-term morbidity. </w:t>
      </w:r>
      <w:r>
        <w:rPr>
          <w:sz w:val="22"/>
          <w:szCs w:val="22"/>
        </w:rPr>
        <w:t>Characterising</w:t>
      </w:r>
      <w:r w:rsidRPr="00CC2DFC">
        <w:rPr>
          <w:sz w:val="22"/>
          <w:szCs w:val="22"/>
        </w:rPr>
        <w:t xml:space="preserve">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682833F4" w14:textId="77777777" w:rsidR="005D240B" w:rsidRPr="005B64D9" w:rsidRDefault="005D240B" w:rsidP="005D240B">
      <w:pPr>
        <w:spacing w:line="480" w:lineRule="auto"/>
        <w:jc w:val="both"/>
        <w:rPr>
          <w:rFonts w:cs="Calibri"/>
          <w:b/>
          <w:bCs/>
          <w:color w:val="000000" w:themeColor="text1"/>
          <w:sz w:val="22"/>
          <w:szCs w:val="22"/>
        </w:rPr>
      </w:pPr>
    </w:p>
    <w:p w14:paraId="695E0928" w14:textId="77777777" w:rsidR="005D240B" w:rsidRPr="005B64D9"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Methods</w:t>
      </w:r>
    </w:p>
    <w:p w14:paraId="5792247D" w14:textId="77777777" w:rsidR="005D240B" w:rsidRPr="005B64D9" w:rsidRDefault="005D240B" w:rsidP="005D240B">
      <w:pPr>
        <w:spacing w:line="480" w:lineRule="auto"/>
        <w:jc w:val="both"/>
        <w:rPr>
          <w:rFonts w:cs="Calibri"/>
          <w:b/>
          <w:bCs/>
          <w:color w:val="000000" w:themeColor="text1"/>
          <w:sz w:val="22"/>
          <w:szCs w:val="22"/>
        </w:rPr>
      </w:pPr>
    </w:p>
    <w:p w14:paraId="1C8EAAE6" w14:textId="77777777" w:rsidR="005D240B" w:rsidRPr="005B64D9" w:rsidRDefault="005D240B" w:rsidP="005D240B">
      <w:pPr>
        <w:spacing w:line="480" w:lineRule="auto"/>
        <w:jc w:val="both"/>
        <w:rPr>
          <w:rFonts w:cs="Calibri"/>
          <w:color w:val="000000" w:themeColor="text1"/>
          <w:sz w:val="22"/>
          <w:szCs w:val="22"/>
        </w:rPr>
      </w:pPr>
      <w:r w:rsidRPr="005B64D9">
        <w:rPr>
          <w:rFonts w:cs="Calibri"/>
          <w:color w:val="000000" w:themeColor="text1"/>
          <w:sz w:val="22"/>
          <w:szCs w:val="22"/>
        </w:rPr>
        <w:t>Gene lists associated with bronchopulmonary dysplasia in humans and in rodent models were obtained from systematically identified genome-scale studies. These lists were then analy</w:t>
      </w:r>
      <w:r>
        <w:rPr>
          <w:rFonts w:cs="Calibri"/>
          <w:color w:val="000000" w:themeColor="text1"/>
          <w:sz w:val="22"/>
          <w:szCs w:val="22"/>
        </w:rPr>
        <w:t>s</w:t>
      </w:r>
      <w:r w:rsidRPr="005B64D9">
        <w:rPr>
          <w:rFonts w:cs="Calibri"/>
          <w:color w:val="000000" w:themeColor="text1"/>
          <w:sz w:val="22"/>
          <w:szCs w:val="22"/>
        </w:rPr>
        <w:t>ed using the meta-analysis by information content (MAIC) algorithm, which integrates multiple datasets to produce a single aggregated, ranked gene list based on the cumulative strength of evidence for each gene.</w:t>
      </w:r>
    </w:p>
    <w:p w14:paraId="283F0B14" w14:textId="77777777" w:rsidR="005D240B" w:rsidRPr="005B64D9" w:rsidRDefault="005D240B" w:rsidP="005D240B">
      <w:pPr>
        <w:spacing w:line="480" w:lineRule="auto"/>
        <w:jc w:val="both"/>
        <w:rPr>
          <w:rFonts w:cs="Calibri"/>
          <w:b/>
          <w:bCs/>
          <w:color w:val="000000" w:themeColor="text1"/>
          <w:sz w:val="22"/>
          <w:szCs w:val="22"/>
        </w:rPr>
      </w:pPr>
    </w:p>
    <w:p w14:paraId="1598C9B9" w14:textId="77777777" w:rsidR="005D240B" w:rsidRPr="005B64D9"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Results</w:t>
      </w:r>
    </w:p>
    <w:p w14:paraId="217F6E50" w14:textId="77777777" w:rsidR="005D240B" w:rsidRPr="005B64D9" w:rsidRDefault="005D240B" w:rsidP="005D240B">
      <w:pPr>
        <w:spacing w:line="480" w:lineRule="auto"/>
        <w:jc w:val="both"/>
        <w:rPr>
          <w:rFonts w:cs="Calibri"/>
          <w:color w:val="000000" w:themeColor="text1"/>
          <w:sz w:val="22"/>
          <w:szCs w:val="22"/>
        </w:rPr>
      </w:pPr>
    </w:p>
    <w:p w14:paraId="30B7BE11" w14:textId="77777777" w:rsidR="005D240B" w:rsidRPr="005B64D9" w:rsidRDefault="005D240B" w:rsidP="005D240B">
      <w:pPr>
        <w:spacing w:line="480" w:lineRule="auto"/>
        <w:jc w:val="both"/>
        <w:rPr>
          <w:rFonts w:cs="Calibri"/>
          <w:b/>
          <w:bCs/>
          <w:color w:val="000000" w:themeColor="text1"/>
          <w:sz w:val="22"/>
          <w:szCs w:val="22"/>
        </w:rPr>
      </w:pPr>
    </w:p>
    <w:p w14:paraId="14036533" w14:textId="77777777" w:rsidR="005D240B" w:rsidRPr="005B64D9"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Conclusions</w:t>
      </w:r>
    </w:p>
    <w:p w14:paraId="614E12E4" w14:textId="77777777" w:rsidR="005D240B" w:rsidRPr="005B64D9" w:rsidRDefault="005D240B" w:rsidP="005D240B">
      <w:pPr>
        <w:spacing w:line="480" w:lineRule="auto"/>
        <w:jc w:val="both"/>
        <w:rPr>
          <w:rFonts w:cs="Calibri"/>
          <w:color w:val="000000" w:themeColor="text1"/>
          <w:sz w:val="22"/>
          <w:szCs w:val="22"/>
        </w:rPr>
      </w:pPr>
    </w:p>
    <w:p w14:paraId="0B37ABF8" w14:textId="77777777" w:rsidR="005D240B" w:rsidRPr="005B64D9" w:rsidRDefault="005D240B" w:rsidP="005D240B">
      <w:pPr>
        <w:spacing w:line="480" w:lineRule="auto"/>
        <w:jc w:val="both"/>
        <w:rPr>
          <w:rFonts w:cs="Calibri"/>
          <w:color w:val="000000" w:themeColor="text1"/>
          <w:sz w:val="22"/>
          <w:szCs w:val="22"/>
        </w:rPr>
      </w:pPr>
      <w:r w:rsidRPr="005B64D9">
        <w:rPr>
          <w:rFonts w:cs="Calibri"/>
          <w:b/>
          <w:bCs/>
          <w:color w:val="000000" w:themeColor="text1"/>
          <w:sz w:val="22"/>
          <w:szCs w:val="22"/>
        </w:rPr>
        <w:t xml:space="preserve">Key words: </w:t>
      </w:r>
      <w:r w:rsidRPr="005B64D9">
        <w:rPr>
          <w:rFonts w:cs="Calibri"/>
          <w:color w:val="000000" w:themeColor="text1"/>
          <w:sz w:val="22"/>
          <w:szCs w:val="22"/>
        </w:rPr>
        <w:t xml:space="preserve">Bronchopulmonary Dysplasia; adaptive immunity, T cells, </w:t>
      </w:r>
    </w:p>
    <w:p w14:paraId="71CCF539" w14:textId="77777777" w:rsidR="005D240B" w:rsidRPr="005B64D9" w:rsidRDefault="005D240B" w:rsidP="005D240B">
      <w:pPr>
        <w:spacing w:line="480" w:lineRule="auto"/>
        <w:jc w:val="both"/>
        <w:rPr>
          <w:b/>
          <w:bCs/>
          <w:sz w:val="22"/>
          <w:szCs w:val="22"/>
        </w:rPr>
      </w:pPr>
      <w:r w:rsidRPr="005B64D9">
        <w:rPr>
          <w:b/>
          <w:bCs/>
          <w:sz w:val="22"/>
          <w:szCs w:val="22"/>
        </w:rPr>
        <w:br w:type="column"/>
      </w:r>
      <w:r w:rsidRPr="005B64D9">
        <w:rPr>
          <w:b/>
          <w:bCs/>
          <w:sz w:val="22"/>
          <w:szCs w:val="22"/>
        </w:rPr>
        <w:lastRenderedPageBreak/>
        <w:t>Background</w:t>
      </w:r>
    </w:p>
    <w:p w14:paraId="5EE88B62" w14:textId="77777777" w:rsidR="005D240B" w:rsidRPr="005B64D9" w:rsidRDefault="005D240B" w:rsidP="005D240B">
      <w:pPr>
        <w:spacing w:line="480" w:lineRule="auto"/>
        <w:jc w:val="both"/>
        <w:rPr>
          <w:sz w:val="22"/>
          <w:szCs w:val="22"/>
        </w:rPr>
      </w:pPr>
    </w:p>
    <w:p w14:paraId="1A381C39" w14:textId="21763BCE" w:rsidR="005D240B" w:rsidRPr="005B64D9" w:rsidRDefault="005D240B" w:rsidP="005D240B">
      <w:pPr>
        <w:spacing w:line="480" w:lineRule="auto"/>
        <w:jc w:val="both"/>
        <w:rPr>
          <w:color w:val="FF0000"/>
          <w:sz w:val="22"/>
          <w:szCs w:val="22"/>
        </w:rPr>
      </w:pPr>
      <w:r w:rsidRPr="005B64D9">
        <w:rPr>
          <w:sz w:val="22"/>
          <w:szCs w:val="22"/>
        </w:rPr>
        <w:t xml:space="preserve">Bronchopulmonary dysplasia (BPD), </w:t>
      </w:r>
      <w:r w:rsidR="00BE6D81">
        <w:rPr>
          <w:sz w:val="22"/>
          <w:szCs w:val="22"/>
        </w:rPr>
        <w:t>a</w:t>
      </w:r>
      <w:r w:rsidRPr="005B64D9">
        <w:rPr>
          <w:sz w:val="22"/>
          <w:szCs w:val="22"/>
        </w:rPr>
        <w:t xml:space="preserve"> </w:t>
      </w:r>
      <w:r w:rsidR="00BE6D81">
        <w:rPr>
          <w:sz w:val="22"/>
          <w:szCs w:val="22"/>
        </w:rPr>
        <w:t>c</w:t>
      </w:r>
      <w:r w:rsidRPr="005B64D9">
        <w:rPr>
          <w:sz w:val="22"/>
          <w:szCs w:val="22"/>
        </w:rPr>
        <w:t xml:space="preserve">hronic </w:t>
      </w:r>
      <w:r w:rsidR="00BE6D81">
        <w:rPr>
          <w:sz w:val="22"/>
          <w:szCs w:val="22"/>
        </w:rPr>
        <w:t>l</w:t>
      </w:r>
      <w:r w:rsidRPr="005B64D9">
        <w:rPr>
          <w:sz w:val="22"/>
          <w:szCs w:val="22"/>
        </w:rPr>
        <w:t xml:space="preserve">ung </w:t>
      </w:r>
      <w:r w:rsidR="00BE6D81">
        <w:rPr>
          <w:sz w:val="22"/>
          <w:szCs w:val="22"/>
        </w:rPr>
        <w:t>d</w:t>
      </w:r>
      <w:r w:rsidRPr="005B64D9">
        <w:rPr>
          <w:sz w:val="22"/>
          <w:szCs w:val="22"/>
        </w:rPr>
        <w:t>isease, is one of the most common complications of preterm birth, affecting up to 30% of preterm infants born before 32 weeks post-menstrual age (PMA).</w:t>
      </w:r>
      <w:r w:rsidRPr="005B64D9">
        <w:rPr>
          <w:sz w:val="22"/>
          <w:szCs w:val="22"/>
        </w:rPr>
        <w:fldChar w:fldCharType="begin"/>
      </w:r>
      <w:r>
        <w:rPr>
          <w:sz w:val="22"/>
          <w:szCs w:val="22"/>
        </w:rPr>
        <w:instrText xml:space="preserve"> ADDIN ZOTERO_ITEM CSL_CITATION {"citationID":"abq0jeead","properties":{"formattedCitation":"({\\i{}Neonatal Data Analysis Unit (NDAU). Neonatal Health Intelligence Tool. 2021. Available: Https://Www.Imperial.Ac.Uk/Neonatal-Data-Analysis-Unit/Neonatal-Data-Analysis-Unit/Neonatal-Data-Visualisations/}, n.d.)","plainCitation":"(Neonatal Data Analysis Unit (NDAU). Neonatal Health Intelligence Tool. 2021. Available: Https://Www.Imperial.Ac.Uk/Neonatal-Data-Analysis-Unit/Neonatal-Data-Analysis-Unit/Neonatal-Data-Visualisations/, n.d.)","noteIndex":0},"citationItems":[{"id":546,"uris":["http://zotero.org/users/14418362/items/BVMIFMDA"],"itemData":{"id":546,"type":"post-weblog","title":"Neonatal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5B64D9">
        <w:rPr>
          <w:sz w:val="22"/>
          <w:szCs w:val="22"/>
        </w:rPr>
        <w:fldChar w:fldCharType="separate"/>
      </w:r>
      <w:r w:rsidRPr="009E4E9B">
        <w:rPr>
          <w:rFonts w:ascii="Aptos" w:cs="Times New Roman"/>
          <w:sz w:val="22"/>
        </w:rPr>
        <w:t>(</w:t>
      </w:r>
      <w:r w:rsidRPr="009E4E9B">
        <w:rPr>
          <w:rFonts w:ascii="Aptos" w:cs="Times New Roman"/>
          <w:i/>
          <w:iCs/>
          <w:sz w:val="22"/>
        </w:rPr>
        <w:t>Neonatal Data Analysis Unit (NDAU). Neonatal Health Intelligence Tool. 2021. Available: Https://Www.Imperial.Ac.Uk/Neonatal-Data-Analysis-Unit/Neonatal-Data-Analysis-Unit/Neonatal-Data-Visualisations/</w:t>
      </w:r>
      <w:r w:rsidRPr="009E4E9B">
        <w:rPr>
          <w:rFonts w:ascii="Aptos" w:cs="Times New Roman"/>
          <w:sz w:val="22"/>
        </w:rPr>
        <w:t>, n.d.)</w:t>
      </w:r>
      <w:r w:rsidRPr="005B64D9">
        <w:rPr>
          <w:sz w:val="22"/>
          <w:szCs w:val="22"/>
        </w:rPr>
        <w:fldChar w:fldCharType="end"/>
      </w:r>
      <w:r w:rsidRPr="005B64D9">
        <w:rPr>
          <w:sz w:val="22"/>
          <w:szCs w:val="22"/>
          <w:vertAlign w:val="superscript"/>
        </w:rPr>
        <w:t>,</w:t>
      </w:r>
      <w:r w:rsidRPr="005B64D9">
        <w:rPr>
          <w:sz w:val="22"/>
          <w:szCs w:val="22"/>
        </w:rPr>
        <w:fldChar w:fldCharType="begin"/>
      </w:r>
      <w:r>
        <w:rPr>
          <w:sz w:val="22"/>
          <w:szCs w:val="22"/>
        </w:rPr>
        <w:instrText xml:space="preserve"> ADDIN ZOTERO_ITEM CSL_CITATION {"citationID":"a12abtf8lgk","properties":{"unsorted":true,"formattedCitation":"(Isayama et al., 2017; Jensen et al., 2019)","plainCitation":"(Isayama et al., 2017; Jensen et al., 2019)","noteIndex":0},"citationItems":[{"id":575,"uris":["http://zotero.org/users/14418362/items/P247ZRCA"],"itemData":{"id":575,"type":"article-journal","container-title":"JAMA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5B64D9">
        <w:rPr>
          <w:sz w:val="22"/>
          <w:szCs w:val="22"/>
        </w:rPr>
        <w:fldChar w:fldCharType="separate"/>
      </w:r>
      <w:r>
        <w:rPr>
          <w:rFonts w:cs="Times New Roman"/>
          <w:sz w:val="22"/>
          <w:szCs w:val="22"/>
        </w:rPr>
        <w:t>(Isayama et al., 2017; Jensen et al., 2019)</w:t>
      </w:r>
      <w:r w:rsidRPr="005B64D9">
        <w:rPr>
          <w:sz w:val="22"/>
          <w:szCs w:val="22"/>
        </w:rPr>
        <w:fldChar w:fldCharType="end"/>
      </w:r>
      <w:r w:rsidRPr="005B64D9">
        <w:rPr>
          <w:color w:val="FF0000"/>
          <w:sz w:val="22"/>
          <w:szCs w:val="22"/>
        </w:rPr>
        <w:t xml:space="preserve"> </w:t>
      </w:r>
      <w:r w:rsidRPr="005B64D9">
        <w:rPr>
          <w:sz w:val="22"/>
          <w:szCs w:val="22"/>
        </w:rPr>
        <w:t>Antenatal and postnatal factors disrupt the developing lung leading to decreased alveolarisation, larger alveoli, irregular pulmonary vessels, and fibrotic tissue.</w:t>
      </w:r>
      <w:r w:rsidRPr="005B64D9">
        <w:rPr>
          <w:rFonts w:eastAsia="Times New Roman"/>
          <w:sz w:val="22"/>
          <w:szCs w:val="22"/>
          <w:lang w:eastAsia="en-GB"/>
        </w:rPr>
        <w:fldChar w:fldCharType="begin"/>
      </w:r>
      <w:r>
        <w:rPr>
          <w:rFonts w:eastAsia="Times New Roman"/>
          <w:sz w:val="22"/>
          <w:szCs w:val="22"/>
          <w:lang w:eastAsia="en-GB"/>
        </w:rPr>
        <w:instrText xml:space="preserve"> ADDIN ZOTERO_ITEM CSL_CITATION {"citationID":"al1eucrh87","properties":{"formattedCitation":"(Gilfillan et al., 2021; Th\\uc0\\u233{}baud et al., 2019)","plainCitation":"(Gilfillan et al., 2021; Thébaud et al., 2019)","noteIndex":0},"citationItems":[{"id":579,"uris":["http://zotero.org/users/14418362/items/MJ26QLGT"],"itemData":{"id":579,"type":"article-journal","abstract":"Abstract\n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5B64D9">
        <w:rPr>
          <w:rFonts w:eastAsia="Times New Roman"/>
          <w:sz w:val="22"/>
          <w:szCs w:val="22"/>
          <w:lang w:eastAsia="en-GB"/>
        </w:rPr>
        <w:fldChar w:fldCharType="separate"/>
      </w:r>
      <w:r w:rsidRPr="009E4E9B">
        <w:rPr>
          <w:rFonts w:ascii="Aptos" w:cs="Times New Roman"/>
          <w:sz w:val="22"/>
        </w:rPr>
        <w:t>(Gilfillan et al., 2021; Thébaud et al., 2019)</w:t>
      </w:r>
      <w:r w:rsidRPr="005B64D9">
        <w:rPr>
          <w:rFonts w:eastAsia="Times New Roman"/>
          <w:sz w:val="22"/>
          <w:szCs w:val="22"/>
          <w:lang w:eastAsia="en-GB"/>
        </w:rPr>
        <w:fldChar w:fldCharType="end"/>
      </w:r>
      <w:r w:rsidRPr="005B64D9">
        <w:rPr>
          <w:rFonts w:eastAsia="Times New Roman"/>
          <w:sz w:val="22"/>
          <w:szCs w:val="22"/>
          <w:lang w:eastAsia="en-GB"/>
        </w:rPr>
        <w:t xml:space="preserve"> </w:t>
      </w:r>
      <w:r w:rsidRPr="005B64D9">
        <w:rPr>
          <w:sz w:val="22"/>
          <w:szCs w:val="22"/>
        </w:rPr>
        <w:t xml:space="preserve">The effects of BPD </w:t>
      </w:r>
      <w:r w:rsidR="00BE6D81">
        <w:rPr>
          <w:sz w:val="22"/>
          <w:szCs w:val="22"/>
        </w:rPr>
        <w:t>can be</w:t>
      </w:r>
      <w:r w:rsidRPr="005B64D9">
        <w:rPr>
          <w:sz w:val="22"/>
          <w:szCs w:val="22"/>
        </w:rPr>
        <w:t xml:space="preserve"> life-long; individuals with BPD are more likely to require rehospitalisation during their childhood</w:t>
      </w:r>
      <w:r w:rsidR="00BE6D81">
        <w:rPr>
          <w:sz w:val="22"/>
          <w:szCs w:val="22"/>
        </w:rPr>
        <w:t xml:space="preserve"> and</w:t>
      </w:r>
      <w:r w:rsidRPr="005B64D9">
        <w:rPr>
          <w:sz w:val="22"/>
          <w:szCs w:val="22"/>
        </w:rPr>
        <w:t xml:space="preserve"> to have limited lung function compared to those born preterm without BPD.</w:t>
      </w:r>
      <w:r w:rsidRPr="005B64D9">
        <w:rPr>
          <w:rFonts w:eastAsia="Times New Roman"/>
          <w:sz w:val="22"/>
          <w:szCs w:val="22"/>
          <w:lang w:eastAsia="en-GB"/>
        </w:rPr>
        <w:fldChar w:fldCharType="begin"/>
      </w:r>
      <w:r>
        <w:rPr>
          <w:rFonts w:eastAsia="Times New Roman"/>
          <w:sz w:val="22"/>
          <w:szCs w:val="22"/>
          <w:lang w:eastAsia="en-GB"/>
        </w:rPr>
        <w:instrText xml:space="preserve"> ADDIN ZOTERO_ITEM CSL_CITATION {"citationID":"a3mgi8k89m","properties":{"formattedCitation":"(Dassios &amp; Greenough, 2021; Greenough, 2000, 2006; Sun et al., 2023)","plainCitation":"(Dassios &amp; Greenough, 2021; Greenough, 2000, 2006; Sun et al., 2023)","noteIndex":0},"citationItems":[{"id":582,"uris":["http://zotero.org/users/14418362/items/WE8AKN3D"],"itemData":{"id":582,"type":"article-journal","container-title":"Seminars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1.73, 95% confidence interval (CI)</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 xml:space="preserve">1.43–2.09]. Moreover, there was no obvious heterogeneity across the studies (\n                P\n                </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 xml:space="preserve">0.617,\n                I\n                2\n                </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0%). The pooled OR remained stable and ranged from 1.65 (95% CI</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1.35–2.01) to 1.78 (95% CI</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Pr>
          <w:rFonts w:ascii="Arial" w:eastAsia="Times New Roman" w:hAnsi="Arial" w:cs="Arial"/>
          <w:sz w:val="22"/>
          <w:szCs w:val="22"/>
          <w:lang w:eastAsia="en-GB"/>
        </w:rPr>
        <w:instrText> </w:instrText>
      </w:r>
      <w:r>
        <w:rPr>
          <w:rFonts w:eastAsia="Times New Roman"/>
          <w:sz w:val="22"/>
          <w:szCs w:val="22"/>
          <w:lang w:eastAsia="en-GB"/>
        </w:rPr>
        <w:instrText>&gt; |\n                Z\n                | =</w:instrText>
      </w:r>
      <w:r>
        <w:rPr>
          <w:rFonts w:ascii="Arial" w:eastAsia="Times New Roman" w:hAnsi="Arial" w:cs="Arial"/>
          <w:sz w:val="22"/>
          <w:szCs w:val="22"/>
          <w:lang w:eastAsia="en-GB"/>
        </w:rPr>
        <w:instrText> </w:instrText>
      </w:r>
      <w:r>
        <w:rPr>
          <w:rFonts w:eastAsia="Times New Roman"/>
          <w:sz w:val="22"/>
          <w:szCs w:val="22"/>
          <w:lang w:eastAsia="en-GB"/>
        </w:rPr>
        <w:instrText xml:space="preserve">0.602 for Begg’s test, and\n                P\n                </w:instrText>
      </w:r>
      <w:r>
        <w:rPr>
          <w:rFonts w:ascii="Arial" w:eastAsia="Times New Roman" w:hAnsi="Arial" w:cs="Arial"/>
          <w:sz w:val="22"/>
          <w:szCs w:val="22"/>
          <w:lang w:eastAsia="en-GB"/>
        </w:rPr>
        <w:instrText> </w:instrText>
      </w:r>
      <w:r>
        <w:rPr>
          <w:rFonts w:eastAsia="Times New Roman"/>
          <w:sz w:val="22"/>
          <w:szCs w:val="22"/>
          <w:lang w:eastAsia="en-GB"/>
        </w:rPr>
        <w:instrText>&gt; |\n                t\n                | =</w:instrText>
      </w:r>
      <w:r>
        <w:rPr>
          <w:rFonts w:ascii="Arial" w:eastAsia="Times New Roman" w:hAnsi="Arial" w:cs="Arial"/>
          <w:sz w:val="22"/>
          <w:szCs w:val="22"/>
          <w:lang w:eastAsia="en-GB"/>
        </w:rPr>
        <w:instrText> </w:instrText>
      </w:r>
      <w:r>
        <w:rPr>
          <w:rFonts w:eastAsia="Times New Roman"/>
          <w:sz w:val="22"/>
          <w:szCs w:val="22"/>
          <w:lang w:eastAsia="en-GB"/>
        </w:rPr>
        <w:instrText>0.991 for Egger’s test).\n              \n            \n            \n              Conclusions\n              Our findings indicate that preterm infants with BPD have a much higher risk of developing asthma in the future (OR</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1.73, 95% CI</w:instrText>
      </w:r>
      <w:r>
        <w:rPr>
          <w:rFonts w:ascii="Arial" w:eastAsia="Times New Roman" w:hAnsi="Arial" w:cs="Arial"/>
          <w:sz w:val="22"/>
          <w:szCs w:val="22"/>
          <w:lang w:eastAsia="en-GB"/>
        </w:rPr>
        <w:instrText> </w:instrText>
      </w:r>
      <w:r>
        <w:rPr>
          <w:rFonts w:eastAsia="Times New Roman"/>
          <w:sz w:val="22"/>
          <w:szCs w:val="22"/>
          <w:lang w:eastAsia="en-GB"/>
        </w:rPr>
        <w:instrText>=</w:instrText>
      </w:r>
      <w:r>
        <w:rPr>
          <w:rFonts w:ascii="Arial" w:eastAsia="Times New Roman" w:hAnsi="Arial" w:cs="Arial"/>
          <w:sz w:val="22"/>
          <w:szCs w:val="22"/>
          <w:lang w:eastAsia="en-GB"/>
        </w:rPr>
        <w:instrText> </w:instrText>
      </w:r>
      <w:r>
        <w:rPr>
          <w:rFonts w:eastAsia="Times New Roman"/>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5B64D9">
        <w:rPr>
          <w:rFonts w:eastAsia="Times New Roman"/>
          <w:sz w:val="22"/>
          <w:szCs w:val="22"/>
          <w:lang w:eastAsia="en-GB"/>
        </w:rPr>
        <w:fldChar w:fldCharType="separate"/>
      </w:r>
      <w:r>
        <w:rPr>
          <w:rFonts w:cs="Times New Roman"/>
          <w:sz w:val="22"/>
          <w:szCs w:val="22"/>
        </w:rPr>
        <w:t>(Dassios &amp; Greenough, 2021; Greenough, 2000, 2006; Sun et al., 2023)</w:t>
      </w:r>
      <w:r w:rsidRPr="005B64D9">
        <w:rPr>
          <w:rFonts w:eastAsia="Times New Roman"/>
          <w:sz w:val="22"/>
          <w:szCs w:val="22"/>
          <w:lang w:eastAsia="en-GB"/>
        </w:rPr>
        <w:fldChar w:fldCharType="end"/>
      </w:r>
    </w:p>
    <w:p w14:paraId="759F8694" w14:textId="77777777" w:rsidR="005D240B" w:rsidRPr="005B64D9" w:rsidRDefault="005D240B" w:rsidP="005D240B">
      <w:pPr>
        <w:spacing w:line="480" w:lineRule="auto"/>
        <w:jc w:val="both"/>
        <w:rPr>
          <w:color w:val="000000" w:themeColor="text1"/>
          <w:sz w:val="22"/>
          <w:szCs w:val="22"/>
        </w:rPr>
      </w:pPr>
    </w:p>
    <w:p w14:paraId="03FACDBC" w14:textId="53B0D55C" w:rsidR="005D240B" w:rsidRDefault="00BE6D81" w:rsidP="005D240B">
      <w:pPr>
        <w:spacing w:line="480" w:lineRule="auto"/>
        <w:jc w:val="both"/>
        <w:rPr>
          <w:sz w:val="22"/>
          <w:szCs w:val="22"/>
        </w:rPr>
      </w:pPr>
      <w:r w:rsidRPr="005B64D9">
        <w:rPr>
          <w:color w:val="000000" w:themeColor="text1"/>
          <w:sz w:val="22"/>
          <w:szCs w:val="22"/>
        </w:rPr>
        <w:t>The heterogeneity of the disease has hampered efforts to identify reliable, consistent biomarkers.</w:t>
      </w:r>
      <w:r>
        <w:rPr>
          <w:color w:val="000000" w:themeColor="text1"/>
          <w:sz w:val="22"/>
          <w:szCs w:val="22"/>
        </w:rPr>
        <w:t xml:space="preserve"> </w:t>
      </w:r>
      <w:r w:rsidR="005D240B" w:rsidRPr="005B64D9">
        <w:rPr>
          <w:color w:val="000000" w:themeColor="text1"/>
          <w:sz w:val="22"/>
          <w:szCs w:val="22"/>
        </w:rPr>
        <w:t xml:space="preserve">Understanding the molecular mechanisms that contribute to BPD could aid in risk prediction, targeted therapies, and understanding disease mechanisms. </w:t>
      </w:r>
      <w:r w:rsidR="005D240B">
        <w:rPr>
          <w:sz w:val="22"/>
          <w:szCs w:val="22"/>
        </w:rPr>
        <w:t>A</w:t>
      </w:r>
      <w:r w:rsidR="005D240B" w:rsidRPr="005B64D9">
        <w:rPr>
          <w:sz w:val="22"/>
          <w:szCs w:val="22"/>
        </w:rPr>
        <w:t>longside evidence from twin studies pointing to a possible heritable component in BPD</w:t>
      </w:r>
      <w:r w:rsidR="0065547A">
        <w:rPr>
          <w:sz w:val="22"/>
          <w:szCs w:val="22"/>
        </w:rPr>
        <w:t xml:space="preserve"> </w:t>
      </w:r>
      <w:r w:rsidR="005D240B" w:rsidRPr="005B64D9">
        <w:rPr>
          <w:color w:val="000000" w:themeColor="text1"/>
          <w:sz w:val="22"/>
          <w:szCs w:val="22"/>
        </w:rPr>
        <w:fldChar w:fldCharType="begin"/>
      </w:r>
      <w:r w:rsidR="005D240B">
        <w:rPr>
          <w:color w:val="000000" w:themeColor="text1"/>
          <w:sz w:val="22"/>
          <w:szCs w:val="22"/>
        </w:rPr>
        <w:instrText xml:space="preserve"> ADDIN ZOTERO_ITEM CSL_CITATION {"citationID":"TugNsHcX","properties":{"formattedCitation":"(Bhandari et al., 2006; Lavoie et al., 2008)","plainCitation":"(Bhandari et al., 2006; Lavoie et al., 2008)","noteIndex":0},"citationItems":[{"id":21,"uris":["http://zotero.org/users/14418362/items/P6YNYH5C"],"itemData":{"id":21,"type":"article-journal","abstract":"OBJECTIVE.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5D240B">
        <w:rPr>
          <w:rFonts w:ascii="Sylfaen" w:hAnsi="Sylfaen" w:cs="Sylfaen"/>
          <w:color w:val="000000" w:themeColor="text1"/>
          <w:sz w:val="22"/>
          <w:szCs w:val="22"/>
        </w:rPr>
        <w:instrText>Յ</w:instrText>
      </w:r>
      <w:r w:rsidR="005D240B">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5D240B">
        <w:rPr>
          <w:rFonts w:ascii="Sylfaen" w:hAnsi="Sylfaen" w:cs="Sylfaen"/>
          <w:color w:val="000000" w:themeColor="text1"/>
          <w:sz w:val="22"/>
          <w:szCs w:val="22"/>
        </w:rPr>
        <w:instrText>Յ</w:instrText>
      </w:r>
      <w:r w:rsidR="005D240B">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5D240B">
        <w:rPr>
          <w:rFonts w:ascii="Sylfaen" w:hAnsi="Sylfaen" w:cs="Sylfaen"/>
          <w:color w:val="000000" w:themeColor="text1"/>
          <w:sz w:val="22"/>
          <w:szCs w:val="22"/>
        </w:rPr>
        <w:instrText>Ն</w:instrText>
      </w:r>
      <w:r w:rsidR="005D240B">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5B64D9">
        <w:rPr>
          <w:color w:val="000000" w:themeColor="text1"/>
          <w:sz w:val="22"/>
          <w:szCs w:val="22"/>
        </w:rPr>
        <w:fldChar w:fldCharType="separate"/>
      </w:r>
      <w:r w:rsidR="005D240B">
        <w:rPr>
          <w:rFonts w:cs="Times New Roman"/>
          <w:color w:val="000000" w:themeColor="text1"/>
          <w:sz w:val="22"/>
          <w:szCs w:val="22"/>
        </w:rPr>
        <w:t>(Bhandari et al., 2006; Lavoie et al., 2008)</w:t>
      </w:r>
      <w:r w:rsidR="005D240B" w:rsidRPr="005B64D9">
        <w:rPr>
          <w:color w:val="000000" w:themeColor="text1"/>
          <w:sz w:val="22"/>
          <w:szCs w:val="22"/>
        </w:rPr>
        <w:fldChar w:fldCharType="end"/>
      </w:r>
      <w:r w:rsidR="005D240B" w:rsidRPr="005B64D9">
        <w:rPr>
          <w:color w:val="000000" w:themeColor="text1"/>
          <w:sz w:val="22"/>
          <w:szCs w:val="22"/>
        </w:rPr>
        <w:t xml:space="preserve"> some candidates have been identified (e.g. SPOCK2, CRP)</w:t>
      </w:r>
      <w:r w:rsidR="005D240B">
        <w:rPr>
          <w:color w:val="000000" w:themeColor="text1"/>
          <w:sz w:val="22"/>
          <w:szCs w:val="22"/>
        </w:rPr>
        <w:t>. Though</w:t>
      </w:r>
      <w:r w:rsidR="005D240B" w:rsidRPr="005B64D9">
        <w:rPr>
          <w:color w:val="000000" w:themeColor="text1"/>
          <w:sz w:val="22"/>
          <w:szCs w:val="22"/>
        </w:rPr>
        <w:t xml:space="preserve"> no gene has been significantly associated with the development of BPD via Genome Wide Association Studies (GWAS) or exome sequencing.</w:t>
      </w:r>
      <w:r w:rsidR="005D240B" w:rsidRPr="005B64D9">
        <w:rPr>
          <w:color w:val="000000" w:themeColor="text1"/>
          <w:sz w:val="22"/>
          <w:szCs w:val="22"/>
        </w:rPr>
        <w:fldChar w:fldCharType="begin"/>
      </w:r>
      <w:r w:rsidR="005D240B">
        <w:rPr>
          <w:color w:val="000000" w:themeColor="text1"/>
          <w:sz w:val="22"/>
          <w:szCs w:val="22"/>
        </w:rPr>
        <w:instrText xml:space="preserve"> ADDIN ZOTERO_ITEM CSL_CITATION {"citationID":"kXMrB53G","properties":{"formattedCitation":"(Ambalavanan et al., 2015; Hadchouel et al., 2011; Mahlman et al., 2017; Torgerson et al., 2018; H. Wang et al., 2013)","plainCitation":"(Ambalavanan et al., 2015; Hadchouel et al., 2011; Mahlman et al., 2017; Torgerson et al., 2018; H. Wang et al., 2013)","noteIndex":0},"citationItems":[{"id":16,"uris":["http://zotero.org/users/14418362/items/MBS3TYY6"],"itemData":{"id":16,"type":"article-journal","container-title":"American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555) and non-Finnish (\n              n</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3.4</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2.9</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 xml:space="preserve">10\n              –4\n              ) and the SNP rs3093059 associated nominally with plasma CRP levels. Finally, SNP rs11265269 was identified as a risk factor of BPD (OR 1.8,\n              p\n              </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5.3</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5D240B">
        <w:rPr>
          <w:rFonts w:ascii="Arial" w:hAnsi="Arial" w:cs="Arial"/>
          <w:color w:val="000000" w:themeColor="text1"/>
          <w:sz w:val="22"/>
          <w:szCs w:val="22"/>
        </w:rPr>
        <w:instrText> </w:instrText>
      </w:r>
      <w:r w:rsidR="005D240B">
        <w:rPr>
          <w:color w:val="000000" w:themeColor="text1"/>
          <w:sz w:val="22"/>
          <w:szCs w:val="22"/>
        </w:rPr>
        <w:instrText>=</w:instrText>
      </w:r>
      <w:r w:rsidR="005D240B">
        <w:rPr>
          <w:rFonts w:ascii="Arial" w:hAnsi="Arial" w:cs="Arial"/>
          <w:color w:val="000000" w:themeColor="text1"/>
          <w:sz w:val="22"/>
          <w:szCs w:val="22"/>
        </w:rPr>
        <w:instrText> </w:instrText>
      </w:r>
      <w:r w:rsidR="005D240B">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5B64D9">
        <w:rPr>
          <w:color w:val="000000" w:themeColor="text1"/>
          <w:sz w:val="22"/>
          <w:szCs w:val="22"/>
        </w:rPr>
        <w:fldChar w:fldCharType="separate"/>
      </w:r>
      <w:r w:rsidR="005D240B">
        <w:rPr>
          <w:rFonts w:cs="Times New Roman"/>
          <w:color w:val="000000" w:themeColor="text1"/>
          <w:sz w:val="22"/>
          <w:szCs w:val="22"/>
        </w:rPr>
        <w:t>(Ambalavanan et al., 2015; Hadchouel et al., 2011; Mahlman et al., 2017; Torgerson et al., 2018; H. Wang et al., 2013)</w:t>
      </w:r>
      <w:r w:rsidR="005D240B" w:rsidRPr="005B64D9">
        <w:rPr>
          <w:color w:val="000000" w:themeColor="text1"/>
          <w:sz w:val="22"/>
          <w:szCs w:val="22"/>
        </w:rPr>
        <w:fldChar w:fldCharType="end"/>
      </w:r>
      <w:r w:rsidR="005D240B" w:rsidRPr="005B64D9">
        <w:rPr>
          <w:color w:val="000000" w:themeColor="text1"/>
          <w:sz w:val="22"/>
          <w:szCs w:val="22"/>
        </w:rPr>
        <w:t xml:space="preserve"> </w:t>
      </w:r>
      <w:r w:rsidR="005D240B">
        <w:rPr>
          <w:sz w:val="22"/>
          <w:szCs w:val="22"/>
        </w:rPr>
        <w:t xml:space="preserve">Recently, </w:t>
      </w:r>
      <w:r w:rsidR="005D240B">
        <w:rPr>
          <w:color w:val="000000" w:themeColor="text1"/>
          <w:sz w:val="22"/>
          <w:szCs w:val="22"/>
        </w:rPr>
        <w:t>t</w:t>
      </w:r>
      <w:r w:rsidR="005D240B" w:rsidRPr="005B64D9">
        <w:rPr>
          <w:color w:val="000000" w:themeColor="text1"/>
          <w:sz w:val="22"/>
          <w:szCs w:val="22"/>
        </w:rPr>
        <w:t xml:space="preserve">ranscriptomic data has been used to identify four endotypes of BPD, distinguished by T helper </w:t>
      </w:r>
      <w:r w:rsidR="005D240B" w:rsidRPr="005B64D9">
        <w:rPr>
          <w:sz w:val="22"/>
          <w:szCs w:val="22"/>
        </w:rPr>
        <w:t>cell and T cell signalling.</w:t>
      </w:r>
      <w:r w:rsidR="005D240B" w:rsidRPr="005B64D9">
        <w:rPr>
          <w:sz w:val="22"/>
          <w:szCs w:val="22"/>
        </w:rPr>
        <w:fldChar w:fldCharType="begin"/>
      </w:r>
      <w:r w:rsidR="005D240B">
        <w:rPr>
          <w:sz w:val="22"/>
          <w:szCs w:val="22"/>
        </w:rPr>
        <w:instrText xml:space="preserve"> ADDIN ZOTERO_ITEM CSL_CITATION {"citationID":"A5WpL8Rw","properties":{"formattedCitation":"(Moreira et al., 2023)","plainCitation":"(Moreira et al., 2023)","noteIndex":0},"citationItems":[{"id":1738,"uris":["http://zotero.org/users/14418362/items/4FM3ID98"],"itemData":{"id":1738,"type":"article-journal","abstract":"IMPACT: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5B64D9">
        <w:rPr>
          <w:sz w:val="22"/>
          <w:szCs w:val="22"/>
        </w:rPr>
        <w:fldChar w:fldCharType="separate"/>
      </w:r>
      <w:r w:rsidR="005D240B">
        <w:rPr>
          <w:rFonts w:cs="Times New Roman"/>
          <w:sz w:val="22"/>
          <w:szCs w:val="22"/>
        </w:rPr>
        <w:t>(Moreira et al., 2023)</w:t>
      </w:r>
      <w:r w:rsidR="005D240B" w:rsidRPr="005B64D9">
        <w:rPr>
          <w:sz w:val="22"/>
          <w:szCs w:val="22"/>
        </w:rPr>
        <w:fldChar w:fldCharType="end"/>
      </w:r>
      <w:r w:rsidR="005D240B" w:rsidRPr="005B64D9">
        <w:rPr>
          <w:sz w:val="22"/>
          <w:szCs w:val="22"/>
        </w:rPr>
        <w:t xml:space="preserve"> </w:t>
      </w:r>
    </w:p>
    <w:p w14:paraId="327A3697" w14:textId="77777777" w:rsidR="009122EE" w:rsidRPr="005B64D9" w:rsidRDefault="009122EE" w:rsidP="005D240B">
      <w:pPr>
        <w:spacing w:line="480" w:lineRule="auto"/>
        <w:jc w:val="both"/>
        <w:rPr>
          <w:sz w:val="22"/>
          <w:szCs w:val="22"/>
        </w:rPr>
      </w:pPr>
    </w:p>
    <w:p w14:paraId="47B3636A" w14:textId="77777777" w:rsidR="005D240B" w:rsidRPr="005B64D9" w:rsidRDefault="005D240B" w:rsidP="005D240B">
      <w:pPr>
        <w:spacing w:line="480" w:lineRule="auto"/>
        <w:jc w:val="both"/>
        <w:rPr>
          <w:sz w:val="22"/>
          <w:szCs w:val="22"/>
        </w:rPr>
      </w:pPr>
      <w:r w:rsidRPr="005B64D9">
        <w:rPr>
          <w:sz w:val="22"/>
          <w:szCs w:val="22"/>
        </w:rPr>
        <w:t>Comparative transcriptomic analyses across species can provide valuable insights into common mechanisms while also highlighting potential species-specific responses.</w:t>
      </w:r>
      <w:r>
        <w:rPr>
          <w:sz w:val="22"/>
          <w:szCs w:val="22"/>
        </w:rPr>
        <w:t xml:space="preserve"> </w:t>
      </w:r>
      <w:r w:rsidRPr="005B64D9">
        <w:rPr>
          <w:sz w:val="22"/>
          <w:szCs w:val="22"/>
        </w:rPr>
        <w:t xml:space="preserve">Rodent models, </w:t>
      </w:r>
      <w:r w:rsidRPr="005B64D9">
        <w:rPr>
          <w:sz w:val="22"/>
          <w:szCs w:val="22"/>
        </w:rPr>
        <w:lastRenderedPageBreak/>
        <w:t>particularly murine models, have been widely employed to study the pathophysiology of BPD. Anatomical and physiological differences have prevented in-depth research of ventilator induced lung injury in this model and research has concentrated primarily on hyperoxia-induced lung injury, mimicking the impaired alveolar development and inflammation observed in preterm infants.</w:t>
      </w:r>
      <w:r w:rsidRPr="005B64D9">
        <w:rPr>
          <w:sz w:val="22"/>
          <w:szCs w:val="22"/>
        </w:rPr>
        <w:fldChar w:fldCharType="begin"/>
      </w:r>
      <w:r>
        <w:rPr>
          <w:sz w:val="22"/>
          <w:szCs w:val="22"/>
        </w:rPr>
        <w:instrText xml:space="preserve"> ADDIN ZOTERO_ITEM CSL_CITATION {"citationID":"eY47ZLSQ","properties":{"formattedCitation":"(Hurskainen et al., 2021)","plainCitation":"(Hurskainen et al., 2021)","noteIndex":0},"citationItems":[{"id":1115,"uris":["http://zotero.org/users/14418362/items/6CPGENAH"],"itemData":{"id":1115,"type":"article-journal","abstract":"During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5B64D9">
        <w:rPr>
          <w:sz w:val="22"/>
          <w:szCs w:val="22"/>
        </w:rPr>
        <w:fldChar w:fldCharType="separate"/>
      </w:r>
      <w:r>
        <w:rPr>
          <w:rFonts w:cs="Times New Roman"/>
          <w:sz w:val="22"/>
          <w:szCs w:val="22"/>
        </w:rPr>
        <w:t>(Hurskainen et al., 2021)</w:t>
      </w:r>
      <w:r w:rsidRPr="005B64D9">
        <w:rPr>
          <w:sz w:val="22"/>
          <w:szCs w:val="22"/>
        </w:rPr>
        <w:fldChar w:fldCharType="end"/>
      </w:r>
      <w:r w:rsidRPr="005B64D9">
        <w:rPr>
          <w:sz w:val="22"/>
          <w:szCs w:val="22"/>
        </w:rPr>
        <w:t xml:space="preserve"> </w:t>
      </w:r>
    </w:p>
    <w:p w14:paraId="47F9A33D" w14:textId="77777777" w:rsidR="005D240B" w:rsidRPr="005B64D9" w:rsidRDefault="005D240B" w:rsidP="005D240B">
      <w:pPr>
        <w:spacing w:line="480" w:lineRule="auto"/>
        <w:jc w:val="both"/>
        <w:rPr>
          <w:sz w:val="22"/>
          <w:szCs w:val="22"/>
        </w:rPr>
      </w:pPr>
    </w:p>
    <w:p w14:paraId="4EF82ACF" w14:textId="2A7F5B8F" w:rsidR="005D240B" w:rsidRPr="005B64D9" w:rsidRDefault="009122EE" w:rsidP="005D240B">
      <w:pPr>
        <w:spacing w:line="480" w:lineRule="auto"/>
        <w:jc w:val="both"/>
        <w:rPr>
          <w:sz w:val="22"/>
          <w:szCs w:val="22"/>
        </w:rPr>
      </w:pPr>
      <w:r w:rsidRPr="009122EE">
        <w:rPr>
          <w:sz w:val="22"/>
          <w:szCs w:val="22"/>
        </w:rPr>
        <w:t xml:space="preserve">Integrating results from heterogenous sources can allow for novel insights. In this study we incorporate insights from genome-scale research to complement the longstanding emphasis on clinical studies in the field.  </w:t>
      </w:r>
      <w:r w:rsidR="005D240B" w:rsidRPr="009122EE">
        <w:rPr>
          <w:sz w:val="22"/>
          <w:szCs w:val="22"/>
        </w:rPr>
        <w:t>We conducted two concurrent systematic reviews of the BPD literature, focusing on genome-scale</w:t>
      </w:r>
      <w:r w:rsidR="005D240B" w:rsidRPr="005B64D9">
        <w:rPr>
          <w:sz w:val="22"/>
          <w:szCs w:val="22"/>
        </w:rPr>
        <w:t xml:space="preserve"> studies in humans and rodents. Results were extracted from identified studies, where possible, and analysed using Meta Analysis by Information Content (MAIC) algorithm. MAIC is a previously described algorithm that uses data-driven gene list weightings to produce a comprehensive ranked list of genes associated with the trait of interest.</w:t>
      </w:r>
      <w:r w:rsidR="005D240B" w:rsidRPr="005B64D9">
        <w:rPr>
          <w:sz w:val="22"/>
          <w:szCs w:val="22"/>
        </w:rPr>
        <w:fldChar w:fldCharType="begin"/>
      </w:r>
      <w:r w:rsidR="005D240B">
        <w:rPr>
          <w:sz w:val="22"/>
          <w:szCs w:val="22"/>
        </w:rPr>
        <w:instrText xml:space="preserve"> ADDIN ZOTERO_ITEM CSL_CITATION {"citationID":"ehZZ6W1l","properties":{"formattedCitation":"(Millar et al., 2024; Parkinson et al., 2020; The GenOMICC Investigators et al., 2021; B. Wang et al., 2022)","plainCitation":"(Millar et al., 2024; Parkinson et al., 2020; The GenOMICC Investigators et al., 2021; B. Wang et al., 2022)","noteIndex":0},"citationItems":[{"id":540,"uris":["http://zotero.org/users/14418362/items/2GA2N3ZL"],"itemData":{"id":540,"type":"article-journal","container-title":"Nature","DOI":"10.1038/s41586-020-03065-y","ISSN":"0028-0836,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5B64D9">
        <w:rPr>
          <w:sz w:val="22"/>
          <w:szCs w:val="22"/>
        </w:rPr>
        <w:fldChar w:fldCharType="separate"/>
      </w:r>
      <w:r w:rsidR="005D240B">
        <w:rPr>
          <w:rFonts w:cs="Times New Roman"/>
          <w:sz w:val="22"/>
          <w:szCs w:val="22"/>
        </w:rPr>
        <w:t>(Millar et al., 2024; Parkinson et al., 2020; The GenOMICC Investigators et al., 2021; B. Wang et al., 2022)</w:t>
      </w:r>
      <w:r w:rsidR="005D240B" w:rsidRPr="005B64D9">
        <w:rPr>
          <w:sz w:val="22"/>
          <w:szCs w:val="22"/>
        </w:rPr>
        <w:fldChar w:fldCharType="end"/>
      </w:r>
    </w:p>
    <w:p w14:paraId="218F2443" w14:textId="77777777" w:rsidR="005D240B" w:rsidRPr="005B64D9" w:rsidRDefault="005D240B" w:rsidP="005D240B">
      <w:pPr>
        <w:spacing w:line="480" w:lineRule="auto"/>
        <w:jc w:val="both"/>
        <w:rPr>
          <w:sz w:val="22"/>
          <w:szCs w:val="22"/>
        </w:rPr>
      </w:pPr>
    </w:p>
    <w:p w14:paraId="0B6EE8BF" w14:textId="33310DD7" w:rsidR="005D240B" w:rsidRPr="005B64D9" w:rsidRDefault="009122EE" w:rsidP="005D240B">
      <w:pPr>
        <w:spacing w:line="480" w:lineRule="auto"/>
        <w:jc w:val="both"/>
        <w:rPr>
          <w:color w:val="FF0000"/>
          <w:sz w:val="22"/>
          <w:szCs w:val="22"/>
        </w:rPr>
      </w:pPr>
      <w:r w:rsidRPr="009122EE">
        <w:rPr>
          <w:sz w:val="22"/>
          <w:szCs w:val="22"/>
        </w:rPr>
        <w:t xml:space="preserve">Our findings show that BPD is a multifaceted disease characterised by disruptions in adaptive immune signalling and extracellular matrix organisation. </w:t>
      </w:r>
      <w:r w:rsidR="005D240B" w:rsidRPr="009122EE">
        <w:rPr>
          <w:sz w:val="22"/>
          <w:szCs w:val="22"/>
        </w:rPr>
        <w:t>Of note, genes</w:t>
      </w:r>
      <w:r w:rsidRPr="009122EE">
        <w:rPr>
          <w:sz w:val="22"/>
          <w:szCs w:val="22"/>
        </w:rPr>
        <w:t xml:space="preserve"> associated with development and</w:t>
      </w:r>
      <w:r>
        <w:rPr>
          <w:sz w:val="22"/>
          <w:szCs w:val="22"/>
        </w:rPr>
        <w:t xml:space="preserve"> maintenance of adaptive immunity</w:t>
      </w:r>
      <w:r w:rsidR="005D240B" w:rsidRPr="005B64D9">
        <w:rPr>
          <w:sz w:val="22"/>
          <w:szCs w:val="22"/>
        </w:rPr>
        <w:t xml:space="preserve"> feature prominently</w:t>
      </w:r>
      <w:r>
        <w:rPr>
          <w:sz w:val="22"/>
          <w:szCs w:val="22"/>
        </w:rPr>
        <w:t>,</w:t>
      </w:r>
      <w:r w:rsidR="005D240B" w:rsidRPr="005B64D9">
        <w:rPr>
          <w:sz w:val="22"/>
          <w:szCs w:val="22"/>
        </w:rPr>
        <w:t xml:space="preserve"> suggesting that </w:t>
      </w:r>
      <w:r w:rsidR="00645074">
        <w:rPr>
          <w:sz w:val="22"/>
          <w:szCs w:val="22"/>
        </w:rPr>
        <w:t>adaptive-lineage cells</w:t>
      </w:r>
      <w:r w:rsidR="005D240B" w:rsidRPr="005B64D9">
        <w:rPr>
          <w:sz w:val="22"/>
          <w:szCs w:val="22"/>
        </w:rPr>
        <w:t xml:space="preserve"> may play a larger role in BPD pathogenesis</w:t>
      </w:r>
      <w:r w:rsidR="005D240B">
        <w:rPr>
          <w:sz w:val="22"/>
          <w:szCs w:val="22"/>
        </w:rPr>
        <w:t>,</w:t>
      </w:r>
      <w:r w:rsidR="005D240B" w:rsidRPr="005B64D9">
        <w:rPr>
          <w:sz w:val="22"/>
          <w:szCs w:val="22"/>
        </w:rPr>
        <w:t xml:space="preserve"> and </w:t>
      </w:r>
      <w:r>
        <w:rPr>
          <w:sz w:val="22"/>
          <w:szCs w:val="22"/>
        </w:rPr>
        <w:t xml:space="preserve">a wider role in </w:t>
      </w:r>
      <w:r w:rsidR="005D240B" w:rsidRPr="005B64D9">
        <w:rPr>
          <w:sz w:val="22"/>
          <w:szCs w:val="22"/>
        </w:rPr>
        <w:t>ventilator associated lung injury, than previously appreciated.</w:t>
      </w:r>
      <w:r w:rsidR="005D240B" w:rsidRPr="005B64D9">
        <w:rPr>
          <w:color w:val="FF0000"/>
          <w:sz w:val="22"/>
          <w:szCs w:val="22"/>
        </w:rPr>
        <w:br w:type="page"/>
      </w:r>
    </w:p>
    <w:p w14:paraId="38E3A906" w14:textId="77777777" w:rsidR="005D240B" w:rsidRPr="005B64D9" w:rsidRDefault="005D240B" w:rsidP="005D240B">
      <w:pPr>
        <w:spacing w:line="480" w:lineRule="auto"/>
        <w:jc w:val="both"/>
        <w:rPr>
          <w:b/>
          <w:bCs/>
          <w:sz w:val="22"/>
          <w:szCs w:val="22"/>
        </w:rPr>
      </w:pPr>
      <w:r w:rsidRPr="005B64D9">
        <w:rPr>
          <w:b/>
          <w:bCs/>
          <w:sz w:val="22"/>
          <w:szCs w:val="22"/>
        </w:rPr>
        <w:lastRenderedPageBreak/>
        <w:t>Result</w:t>
      </w:r>
      <w:commentRangeStart w:id="0"/>
      <w:r w:rsidRPr="005B64D9">
        <w:rPr>
          <w:b/>
          <w:bCs/>
          <w:sz w:val="22"/>
          <w:szCs w:val="22"/>
        </w:rPr>
        <w:t>s</w:t>
      </w:r>
      <w:commentRangeEnd w:id="0"/>
      <w:r>
        <w:rPr>
          <w:rStyle w:val="CommentReference"/>
        </w:rPr>
        <w:commentReference w:id="0"/>
      </w:r>
    </w:p>
    <w:p w14:paraId="10D82985" w14:textId="77777777" w:rsidR="005D240B" w:rsidRPr="005B64D9" w:rsidRDefault="005D240B" w:rsidP="005D240B">
      <w:pPr>
        <w:spacing w:line="480" w:lineRule="auto"/>
        <w:jc w:val="both"/>
        <w:rPr>
          <w:sz w:val="22"/>
          <w:szCs w:val="22"/>
        </w:rPr>
      </w:pPr>
    </w:p>
    <w:p w14:paraId="4FBD7ABA" w14:textId="77777777" w:rsidR="005D240B" w:rsidRPr="005B64D9" w:rsidRDefault="005D240B" w:rsidP="005D240B">
      <w:pPr>
        <w:spacing w:line="480" w:lineRule="auto"/>
        <w:jc w:val="both"/>
        <w:rPr>
          <w:i/>
          <w:iCs/>
          <w:sz w:val="22"/>
          <w:szCs w:val="22"/>
        </w:rPr>
      </w:pPr>
      <w:r w:rsidRPr="005B64D9">
        <w:rPr>
          <w:i/>
          <w:iCs/>
          <w:sz w:val="22"/>
          <w:szCs w:val="22"/>
        </w:rPr>
        <w:t xml:space="preserve">Systematic review </w:t>
      </w:r>
    </w:p>
    <w:p w14:paraId="331A203E" w14:textId="77777777" w:rsidR="005D240B" w:rsidRPr="005B64D9" w:rsidRDefault="005D240B" w:rsidP="005D240B">
      <w:pPr>
        <w:spacing w:line="480" w:lineRule="auto"/>
        <w:jc w:val="both"/>
        <w:rPr>
          <w:sz w:val="22"/>
          <w:szCs w:val="22"/>
        </w:rPr>
      </w:pPr>
    </w:p>
    <w:p w14:paraId="008204EC" w14:textId="17BC4EDB" w:rsidR="005D240B" w:rsidRDefault="005D240B" w:rsidP="005D240B">
      <w:pPr>
        <w:spacing w:line="480" w:lineRule="auto"/>
        <w:jc w:val="both"/>
        <w:rPr>
          <w:sz w:val="22"/>
          <w:szCs w:val="22"/>
        </w:rPr>
      </w:pPr>
      <w:r w:rsidRPr="005B64D9">
        <w:rPr>
          <w:sz w:val="22"/>
          <w:szCs w:val="22"/>
        </w:rPr>
        <w:t xml:space="preserve">We </w:t>
      </w:r>
      <w:r w:rsidR="00740014">
        <w:rPr>
          <w:sz w:val="22"/>
          <w:szCs w:val="22"/>
        </w:rPr>
        <w:t xml:space="preserve">first </w:t>
      </w:r>
      <w:r w:rsidRPr="005B64D9">
        <w:rPr>
          <w:sz w:val="22"/>
          <w:szCs w:val="22"/>
        </w:rPr>
        <w:t xml:space="preserve">conducted a systematic review of studies that reported associations between genes, transcripts, or proteins, and the development of BPD in humans or the study of BPD in </w:t>
      </w:r>
      <w:r w:rsidR="009122EE">
        <w:rPr>
          <w:sz w:val="22"/>
          <w:szCs w:val="22"/>
        </w:rPr>
        <w:t xml:space="preserve">non-human </w:t>
      </w:r>
      <w:r w:rsidR="00740014">
        <w:rPr>
          <w:sz w:val="22"/>
          <w:szCs w:val="22"/>
        </w:rPr>
        <w:t>mammalian</w:t>
      </w:r>
      <w:r w:rsidRPr="005B64D9">
        <w:rPr>
          <w:sz w:val="22"/>
          <w:szCs w:val="22"/>
        </w:rPr>
        <w:t xml:space="preserve"> models. </w:t>
      </w:r>
      <w:r w:rsidR="000B0759" w:rsidRPr="000B0759">
        <w:rPr>
          <w:sz w:val="22"/>
          <w:szCs w:val="22"/>
        </w:rPr>
        <w:t>We did not restrict the search to a specific definition of BPD; however, the timeline of genome-scale studies results in an indirect emphasis on ‘new BPD’.</w:t>
      </w:r>
      <w:r w:rsidR="000B0759">
        <w:rPr>
          <w:sz w:val="22"/>
          <w:szCs w:val="22"/>
        </w:rPr>
        <w:t xml:space="preserve"> </w:t>
      </w:r>
      <w:r w:rsidRPr="005B64D9">
        <w:rPr>
          <w:sz w:val="22"/>
          <w:szCs w:val="22"/>
        </w:rPr>
        <w:t>Our search yielded 4450 unique citations that were evaluated for inclusion [</w:t>
      </w:r>
      <w:r w:rsidRPr="000F518A">
        <w:rPr>
          <w:sz w:val="22"/>
          <w:szCs w:val="22"/>
          <w:highlight w:val="darkMagenta"/>
        </w:rPr>
        <w:t>Supplementary Figures 1 and 2</w:t>
      </w:r>
      <w:r w:rsidRPr="005B64D9">
        <w:rPr>
          <w:sz w:val="22"/>
          <w:szCs w:val="22"/>
        </w:rPr>
        <w:t xml:space="preserve">]. For full text evaluation we retrieved 76 articles for human studies and 118 for </w:t>
      </w:r>
      <w:r w:rsidR="00740014">
        <w:rPr>
          <w:sz w:val="22"/>
          <w:szCs w:val="22"/>
        </w:rPr>
        <w:t>mammalian</w:t>
      </w:r>
      <w:r w:rsidRPr="005B64D9">
        <w:rPr>
          <w:sz w:val="22"/>
          <w:szCs w:val="22"/>
        </w:rPr>
        <w:t xml:space="preserve"> studies</w:t>
      </w:r>
      <w:r>
        <w:rPr>
          <w:sz w:val="22"/>
          <w:szCs w:val="22"/>
        </w:rPr>
        <w:t xml:space="preserve">, </w:t>
      </w:r>
      <w:r w:rsidRPr="00E76DCD">
        <w:rPr>
          <w:sz w:val="22"/>
          <w:szCs w:val="22"/>
        </w:rPr>
        <w:t>without overlap. Although</w:t>
      </w:r>
      <w:r w:rsidRPr="005B64D9">
        <w:rPr>
          <w:sz w:val="22"/>
          <w:szCs w:val="22"/>
        </w:rPr>
        <w:t xml:space="preserve"> large </w:t>
      </w:r>
      <w:r w:rsidR="00740014">
        <w:rPr>
          <w:sz w:val="22"/>
          <w:szCs w:val="22"/>
        </w:rPr>
        <w:t>mammal</w:t>
      </w:r>
      <w:r w:rsidRPr="005B64D9">
        <w:rPr>
          <w:sz w:val="22"/>
          <w:szCs w:val="22"/>
        </w:rPr>
        <w:t xml:space="preserve"> models are used to explore BPD,</w:t>
      </w:r>
      <w:r w:rsidRPr="005B64D9">
        <w:rPr>
          <w:sz w:val="22"/>
          <w:szCs w:val="22"/>
        </w:rPr>
        <w:fldChar w:fldCharType="begin"/>
      </w:r>
      <w:r w:rsidR="000B0759">
        <w:rPr>
          <w:sz w:val="22"/>
          <w:szCs w:val="22"/>
        </w:rPr>
        <w:instrText xml:space="preserve"> ADDIN ZOTERO_ITEM CSL_CITATION {"citationID":"1WRFWVRS","properties":{"formattedCitation":"(Eiby et al., 2013; Rozance et al., 2011)","plainCitation":"(Eiby et al., 2013; Rozance et al., 2011)","noteIndex":0},"citationItems":[{"id":2060,"uris":["http://zotero.org/users/14418362/items/4W55XNDV"],"itemData":{"id":2060,"type":"article-journal","abstract":"Background: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5B64D9">
        <w:rPr>
          <w:sz w:val="22"/>
          <w:szCs w:val="22"/>
        </w:rPr>
        <w:fldChar w:fldCharType="separate"/>
      </w:r>
      <w:r w:rsidR="000B0759">
        <w:rPr>
          <w:rFonts w:cs="Times New Roman"/>
          <w:sz w:val="22"/>
          <w:szCs w:val="22"/>
        </w:rPr>
        <w:t>(Eiby et al., 2013; Rozance et al., 2011)</w:t>
      </w:r>
      <w:r w:rsidRPr="005B64D9">
        <w:rPr>
          <w:sz w:val="22"/>
          <w:szCs w:val="22"/>
        </w:rPr>
        <w:fldChar w:fldCharType="end"/>
      </w:r>
      <w:r w:rsidRPr="005B64D9">
        <w:rPr>
          <w:sz w:val="22"/>
          <w:szCs w:val="22"/>
          <w:shd w:val="clear" w:color="auto" w:fill="FFFFFF"/>
        </w:rPr>
        <w:fldChar w:fldCharType="begin"/>
      </w:r>
      <w:r>
        <w:rPr>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5B64D9">
        <w:rPr>
          <w:sz w:val="22"/>
          <w:szCs w:val="22"/>
          <w:shd w:val="clear" w:color="auto" w:fill="FFFFFF"/>
        </w:rPr>
        <w:fldChar w:fldCharType="separate"/>
      </w:r>
      <w:r w:rsidRPr="005B64D9">
        <w:rPr>
          <w:sz w:val="22"/>
          <w:szCs w:val="22"/>
          <w:shd w:val="clear" w:color="auto" w:fill="FFFFFF"/>
        </w:rPr>
        <w:fldChar w:fldCharType="end"/>
      </w:r>
      <w:r w:rsidRPr="005B64D9">
        <w:rPr>
          <w:sz w:val="22"/>
          <w:szCs w:val="22"/>
        </w:rPr>
        <w:t xml:space="preserve"> we </w:t>
      </w:r>
      <w:r w:rsidR="009122EE">
        <w:rPr>
          <w:sz w:val="22"/>
          <w:szCs w:val="22"/>
        </w:rPr>
        <w:t>did not identify any</w:t>
      </w:r>
      <w:r w:rsidRPr="005B64D9">
        <w:rPr>
          <w:sz w:val="22"/>
          <w:szCs w:val="22"/>
        </w:rPr>
        <w:t xml:space="preserve"> that met our inclusion criteria</w:t>
      </w:r>
      <w:r>
        <w:rPr>
          <w:sz w:val="22"/>
          <w:szCs w:val="22"/>
        </w:rPr>
        <w:t xml:space="preserve"> (</w:t>
      </w:r>
      <w:r w:rsidRPr="004201F6">
        <w:rPr>
          <w:sz w:val="22"/>
          <w:szCs w:val="22"/>
          <w:highlight w:val="darkMagenta"/>
        </w:rPr>
        <w:t>Supplementary Tables 1 and 2)</w:t>
      </w:r>
      <w:r>
        <w:rPr>
          <w:sz w:val="22"/>
          <w:szCs w:val="22"/>
        </w:rPr>
        <w:t xml:space="preserve"> and the analysis therefore focused on rodents(mice and rats).</w:t>
      </w:r>
    </w:p>
    <w:p w14:paraId="71C971F9" w14:textId="77777777" w:rsidR="00E334A6" w:rsidRPr="005B64D9" w:rsidRDefault="00E334A6" w:rsidP="005D240B">
      <w:pPr>
        <w:spacing w:line="480" w:lineRule="auto"/>
        <w:jc w:val="both"/>
        <w:rPr>
          <w:sz w:val="22"/>
          <w:szCs w:val="22"/>
        </w:rPr>
      </w:pPr>
    </w:p>
    <w:p w14:paraId="17039506" w14:textId="77777777" w:rsidR="005D240B" w:rsidRPr="005B64D9" w:rsidRDefault="005D240B" w:rsidP="005D240B">
      <w:pPr>
        <w:spacing w:line="480" w:lineRule="auto"/>
        <w:jc w:val="both"/>
        <w:rPr>
          <w:i/>
          <w:iCs/>
          <w:sz w:val="22"/>
          <w:szCs w:val="22"/>
        </w:rPr>
      </w:pPr>
      <w:r w:rsidRPr="005B64D9">
        <w:rPr>
          <w:i/>
          <w:iCs/>
          <w:sz w:val="22"/>
          <w:szCs w:val="22"/>
        </w:rPr>
        <w:t>Meta-Analysis by Information Content of human studies</w:t>
      </w:r>
    </w:p>
    <w:p w14:paraId="7F78BF00" w14:textId="5D4701BC" w:rsidR="005D240B" w:rsidRPr="005B64D9" w:rsidRDefault="005D240B" w:rsidP="005D240B">
      <w:pPr>
        <w:tabs>
          <w:tab w:val="left" w:pos="8364"/>
        </w:tabs>
        <w:spacing w:line="480" w:lineRule="auto"/>
        <w:jc w:val="both"/>
        <w:rPr>
          <w:sz w:val="22"/>
          <w:szCs w:val="22"/>
        </w:rPr>
      </w:pPr>
      <w:r w:rsidRPr="005B64D9">
        <w:rPr>
          <w:sz w:val="22"/>
          <w:szCs w:val="22"/>
        </w:rPr>
        <w:t xml:space="preserve">From the 81 human studies, 21 met our eligibility </w:t>
      </w:r>
      <w:proofErr w:type="gramStart"/>
      <w:r w:rsidRPr="005B64D9">
        <w:rPr>
          <w:sz w:val="22"/>
          <w:szCs w:val="22"/>
        </w:rPr>
        <w:t>criteria[</w:t>
      </w:r>
      <w:proofErr w:type="gramEnd"/>
      <w:r w:rsidRPr="000F518A">
        <w:rPr>
          <w:sz w:val="22"/>
          <w:szCs w:val="22"/>
          <w:highlight w:val="darkMagenta"/>
        </w:rPr>
        <w:t>Supplementary Figure</w:t>
      </w:r>
      <w:r>
        <w:rPr>
          <w:sz w:val="22"/>
          <w:szCs w:val="22"/>
        </w:rPr>
        <w:t xml:space="preserve"> 1, Table 1</w:t>
      </w:r>
      <w:r w:rsidRPr="005B64D9">
        <w:rPr>
          <w:sz w:val="22"/>
          <w:szCs w:val="22"/>
        </w:rPr>
        <w:t>]. This yielded 31 gene lists, 23 ranked and 8 unranked, employing 5 experimental techniques</w:t>
      </w:r>
      <w:r w:rsidR="000B0759">
        <w:rPr>
          <w:sz w:val="22"/>
          <w:szCs w:val="22"/>
        </w:rPr>
        <w:t>.</w:t>
      </w:r>
      <w:r w:rsidRPr="005B64D9">
        <w:rPr>
          <w:sz w:val="22"/>
          <w:szCs w:val="22"/>
        </w:rPr>
        <w:t xml:space="preserve"> </w:t>
      </w:r>
      <w:r>
        <w:rPr>
          <w:sz w:val="22"/>
          <w:szCs w:val="22"/>
        </w:rPr>
        <w:t>(</w:t>
      </w:r>
      <w:r w:rsidRPr="004201F6">
        <w:rPr>
          <w:sz w:val="22"/>
          <w:szCs w:val="22"/>
          <w:highlight w:val="darkMagenta"/>
        </w:rPr>
        <w:t xml:space="preserve">Supplementary Table </w:t>
      </w:r>
      <w:r>
        <w:rPr>
          <w:sz w:val="22"/>
          <w:szCs w:val="22"/>
        </w:rPr>
        <w:t>3</w:t>
      </w:r>
      <w:r w:rsidRPr="005B64D9">
        <w:rPr>
          <w:sz w:val="22"/>
          <w:szCs w:val="22"/>
        </w:rPr>
        <w:t>,</w:t>
      </w:r>
      <w:r>
        <w:rPr>
          <w:sz w:val="22"/>
          <w:szCs w:val="22"/>
        </w:rPr>
        <w:t>)</w:t>
      </w:r>
      <w:r w:rsidRPr="005B64D9">
        <w:rPr>
          <w:sz w:val="22"/>
          <w:szCs w:val="22"/>
        </w:rPr>
        <w:t xml:space="preserve"> </w:t>
      </w:r>
      <w:r w:rsidR="000B0759">
        <w:rPr>
          <w:sz w:val="22"/>
          <w:szCs w:val="22"/>
        </w:rPr>
        <w:t xml:space="preserve">The included studies </w:t>
      </w:r>
      <w:r w:rsidRPr="005B64D9">
        <w:rPr>
          <w:sz w:val="22"/>
          <w:szCs w:val="22"/>
        </w:rPr>
        <w:t>represent</w:t>
      </w:r>
      <w:r w:rsidR="000B0759">
        <w:rPr>
          <w:sz w:val="22"/>
          <w:szCs w:val="22"/>
        </w:rPr>
        <w:t xml:space="preserve">ed </w:t>
      </w:r>
      <w:r w:rsidRPr="005B64D9">
        <w:rPr>
          <w:sz w:val="22"/>
          <w:szCs w:val="22"/>
        </w:rPr>
        <w:t>4358 infants (cases = 2247, controls = 2111).  While the definition of BPD varied between studies, over two-thirds of studies, (71.4%, 15/21), used receipt of respiratory support at 36 weeks PMA.</w:t>
      </w:r>
      <w:r w:rsidRPr="005B64D9">
        <w:rPr>
          <w:sz w:val="22"/>
          <w:szCs w:val="22"/>
        </w:rPr>
        <w:fldChar w:fldCharType="begin"/>
      </w:r>
      <w:r>
        <w:rPr>
          <w:sz w:val="22"/>
          <w:szCs w:val="22"/>
        </w:rPr>
        <w:instrText xml:space="preserve"> ADDIN ZOTERO_ITEM CSL_CITATION {"citationID":"nf5WnUWa","properties":{"formattedCitation":"(Jensen et al., 2019)","plainCitation":"(Jensen et al., 2019)","noteIndex":0},"citationItems":[{"id":539,"uris":["http://zotero.org/users/14418362/items/33JX5C8W"],"itemData":{"id":539,"type":"article-journal","abstract":"Rationale: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5B64D9">
        <w:rPr>
          <w:sz w:val="22"/>
          <w:szCs w:val="22"/>
        </w:rPr>
        <w:fldChar w:fldCharType="separate"/>
      </w:r>
      <w:r>
        <w:rPr>
          <w:rFonts w:cs="Times New Roman"/>
          <w:sz w:val="22"/>
          <w:szCs w:val="22"/>
        </w:rPr>
        <w:t>(Jensen et al., 2019)</w:t>
      </w:r>
      <w:r w:rsidRPr="005B64D9">
        <w:rPr>
          <w:sz w:val="22"/>
          <w:szCs w:val="22"/>
        </w:rPr>
        <w:fldChar w:fldCharType="end"/>
      </w:r>
      <w:r w:rsidRPr="005B64D9">
        <w:rPr>
          <w:sz w:val="22"/>
          <w:szCs w:val="22"/>
        </w:rPr>
        <w:t xml:space="preserve"> All but a single study used primary tissue</w:t>
      </w:r>
      <w:r w:rsidR="00740014">
        <w:rPr>
          <w:sz w:val="22"/>
          <w:szCs w:val="22"/>
        </w:rPr>
        <w:t xml:space="preserve"> or blood</w:t>
      </w:r>
      <w:r w:rsidR="000B0759">
        <w:rPr>
          <w:sz w:val="22"/>
          <w:szCs w:val="22"/>
        </w:rPr>
        <w:t xml:space="preserve"> (</w:t>
      </w:r>
      <w:r w:rsidR="000B0759" w:rsidRPr="000B0759">
        <w:rPr>
          <w:sz w:val="22"/>
          <w:szCs w:val="22"/>
          <w:highlight w:val="darkMagenta"/>
        </w:rPr>
        <w:t>Table 1</w:t>
      </w:r>
      <w:r w:rsidR="000B0759">
        <w:rPr>
          <w:sz w:val="22"/>
          <w:szCs w:val="22"/>
        </w:rPr>
        <w:t>)</w:t>
      </w:r>
      <w:r w:rsidRPr="005B64D9">
        <w:rPr>
          <w:sz w:val="22"/>
          <w:szCs w:val="22"/>
        </w:rPr>
        <w:t xml:space="preserve">. </w:t>
      </w:r>
      <w:r>
        <w:rPr>
          <w:sz w:val="22"/>
          <w:szCs w:val="22"/>
        </w:rPr>
        <w:t xml:space="preserve">MAIC collated and ranked </w:t>
      </w:r>
      <w:r w:rsidRPr="005B64D9">
        <w:rPr>
          <w:sz w:val="22"/>
          <w:szCs w:val="22"/>
        </w:rPr>
        <w:t>8017 unique genes across the datasets</w:t>
      </w:r>
      <w:r>
        <w:rPr>
          <w:sz w:val="22"/>
          <w:szCs w:val="22"/>
        </w:rPr>
        <w:t xml:space="preserve"> [</w:t>
      </w:r>
      <w:proofErr w:type="spellStart"/>
      <w:r w:rsidRPr="00F25B82">
        <w:rPr>
          <w:sz w:val="22"/>
          <w:szCs w:val="22"/>
          <w:highlight w:val="darkMagenta"/>
        </w:rPr>
        <w:t>Supplmentary</w:t>
      </w:r>
      <w:proofErr w:type="spellEnd"/>
      <w:r w:rsidRPr="00F25B82">
        <w:rPr>
          <w:sz w:val="22"/>
          <w:szCs w:val="22"/>
          <w:highlight w:val="darkMagenta"/>
        </w:rPr>
        <w:t xml:space="preserve"> Table 4</w:t>
      </w:r>
      <w:r>
        <w:rPr>
          <w:sz w:val="22"/>
          <w:szCs w:val="22"/>
        </w:rPr>
        <w:t xml:space="preserve">, </w:t>
      </w:r>
      <w:r w:rsidRPr="00F25B82">
        <w:rPr>
          <w:sz w:val="22"/>
          <w:szCs w:val="22"/>
          <w:highlight w:val="red"/>
        </w:rPr>
        <w:t>Figure1A</w:t>
      </w:r>
      <w:r>
        <w:rPr>
          <w:sz w:val="22"/>
          <w:szCs w:val="22"/>
        </w:rPr>
        <w:t>]</w:t>
      </w:r>
      <w:commentRangeStart w:id="1"/>
      <w:r w:rsidRPr="005B64D9">
        <w:rPr>
          <w:sz w:val="22"/>
          <w:szCs w:val="22"/>
        </w:rPr>
        <w:t>,</w:t>
      </w:r>
      <w:commentRangeEnd w:id="1"/>
      <w:r>
        <w:rPr>
          <w:rStyle w:val="CommentReference"/>
        </w:rPr>
        <w:commentReference w:id="1"/>
      </w:r>
      <w:r w:rsidRPr="005B64D9">
        <w:rPr>
          <w:sz w:val="22"/>
          <w:szCs w:val="22"/>
        </w:rPr>
        <w:t xml:space="preserve"> </w:t>
      </w:r>
      <w:r>
        <w:rPr>
          <w:sz w:val="22"/>
          <w:szCs w:val="22"/>
        </w:rPr>
        <w:t xml:space="preserve">and </w:t>
      </w:r>
      <w:r w:rsidRPr="005B64D9">
        <w:rPr>
          <w:sz w:val="22"/>
          <w:szCs w:val="22"/>
        </w:rPr>
        <w:t>only a single gene was supported by evidence from all 5 experimental techniques (</w:t>
      </w:r>
      <w:r w:rsidRPr="005B64D9">
        <w:rPr>
          <w:i/>
          <w:iCs/>
          <w:sz w:val="22"/>
          <w:szCs w:val="22"/>
        </w:rPr>
        <w:t>RASGRP3</w:t>
      </w:r>
      <w:r w:rsidRPr="005B64D9">
        <w:rPr>
          <w:sz w:val="22"/>
          <w:szCs w:val="22"/>
        </w:rPr>
        <w:t>, rank = 1). Few genes (n = 53 genes, 0.6%) were supported by &gt;=3 methods while 745 genes (9.74%) were supported by more than 1 method.</w:t>
      </w:r>
      <w:r>
        <w:rPr>
          <w:sz w:val="22"/>
          <w:szCs w:val="22"/>
        </w:rPr>
        <w:t xml:space="preserve"> </w:t>
      </w:r>
      <w:r w:rsidR="000B0759">
        <w:rPr>
          <w:sz w:val="22"/>
          <w:szCs w:val="22"/>
        </w:rPr>
        <w:t>Genes associated with</w:t>
      </w:r>
      <w:r>
        <w:rPr>
          <w:sz w:val="22"/>
          <w:szCs w:val="22"/>
        </w:rPr>
        <w:t xml:space="preserve"> </w:t>
      </w:r>
      <w:r w:rsidRPr="000B0759">
        <w:rPr>
          <w:sz w:val="22"/>
          <w:szCs w:val="22"/>
          <w:highlight w:val="green"/>
        </w:rPr>
        <w:t>immun</w:t>
      </w:r>
      <w:r w:rsidR="00083898">
        <w:rPr>
          <w:sz w:val="22"/>
          <w:szCs w:val="22"/>
        </w:rPr>
        <w:t>e processes</w:t>
      </w:r>
      <w:r>
        <w:rPr>
          <w:sz w:val="22"/>
          <w:szCs w:val="22"/>
        </w:rPr>
        <w:t xml:space="preserve"> (</w:t>
      </w:r>
      <w:r w:rsidRPr="006639D2">
        <w:rPr>
          <w:i/>
          <w:iCs/>
          <w:sz w:val="22"/>
          <w:szCs w:val="22"/>
        </w:rPr>
        <w:t>RASGRP3, IL1R2, CD2, CHIT1, GPA33, CD177</w:t>
      </w:r>
      <w:r>
        <w:rPr>
          <w:i/>
          <w:iCs/>
          <w:sz w:val="22"/>
          <w:szCs w:val="22"/>
        </w:rPr>
        <w:t xml:space="preserve">, RCAN3) </w:t>
      </w:r>
      <w:r w:rsidRPr="00750C51">
        <w:rPr>
          <w:sz w:val="22"/>
          <w:szCs w:val="22"/>
        </w:rPr>
        <w:t xml:space="preserve">and </w:t>
      </w:r>
      <w:r w:rsidR="00740014">
        <w:rPr>
          <w:sz w:val="22"/>
          <w:szCs w:val="22"/>
        </w:rPr>
        <w:t xml:space="preserve">extracellular </w:t>
      </w:r>
      <w:r w:rsidRPr="00750C51">
        <w:rPr>
          <w:sz w:val="22"/>
          <w:szCs w:val="22"/>
        </w:rPr>
        <w:t>structure</w:t>
      </w:r>
      <w:r>
        <w:rPr>
          <w:i/>
          <w:iCs/>
          <w:sz w:val="22"/>
          <w:szCs w:val="22"/>
        </w:rPr>
        <w:t xml:space="preserve"> (</w:t>
      </w:r>
      <w:r w:rsidRPr="006639D2">
        <w:rPr>
          <w:i/>
          <w:iCs/>
          <w:sz w:val="22"/>
          <w:szCs w:val="22"/>
        </w:rPr>
        <w:t>LRRN3,</w:t>
      </w:r>
      <w:r w:rsidRPr="00750C51">
        <w:rPr>
          <w:i/>
          <w:iCs/>
          <w:sz w:val="22"/>
          <w:szCs w:val="22"/>
        </w:rPr>
        <w:t xml:space="preserve"> </w:t>
      </w:r>
      <w:r w:rsidRPr="006639D2">
        <w:rPr>
          <w:i/>
          <w:iCs/>
          <w:sz w:val="22"/>
          <w:szCs w:val="22"/>
        </w:rPr>
        <w:t>FBN1</w:t>
      </w:r>
      <w:r>
        <w:rPr>
          <w:i/>
          <w:iCs/>
          <w:sz w:val="22"/>
          <w:szCs w:val="22"/>
        </w:rPr>
        <w:t>)</w:t>
      </w:r>
      <w:r>
        <w:rPr>
          <w:sz w:val="22"/>
          <w:szCs w:val="22"/>
        </w:rPr>
        <w:t xml:space="preserve"> </w:t>
      </w:r>
      <w:r w:rsidR="000B0759">
        <w:rPr>
          <w:sz w:val="22"/>
          <w:szCs w:val="22"/>
        </w:rPr>
        <w:t xml:space="preserve">are heavily represented </w:t>
      </w:r>
      <w:r>
        <w:rPr>
          <w:sz w:val="22"/>
          <w:szCs w:val="22"/>
        </w:rPr>
        <w:t xml:space="preserve">within the top 10 </w:t>
      </w:r>
      <w:r>
        <w:rPr>
          <w:sz w:val="22"/>
          <w:szCs w:val="22"/>
        </w:rPr>
        <w:lastRenderedPageBreak/>
        <w:t xml:space="preserve">ranked genes. Additionally, a subunit of foetal </w:t>
      </w:r>
      <w:r w:rsidR="00740014">
        <w:rPr>
          <w:sz w:val="22"/>
          <w:szCs w:val="22"/>
        </w:rPr>
        <w:t>haemoglobin</w:t>
      </w:r>
      <w:r w:rsidR="000B0759">
        <w:rPr>
          <w:sz w:val="22"/>
          <w:szCs w:val="22"/>
        </w:rPr>
        <w:t>,</w:t>
      </w:r>
      <w:r w:rsidR="000B0759" w:rsidRPr="000B0759">
        <w:rPr>
          <w:i/>
          <w:iCs/>
          <w:sz w:val="22"/>
          <w:szCs w:val="22"/>
        </w:rPr>
        <w:t xml:space="preserve"> </w:t>
      </w:r>
      <w:r w:rsidR="000B0759" w:rsidRPr="00750C51">
        <w:rPr>
          <w:i/>
          <w:iCs/>
          <w:sz w:val="22"/>
          <w:szCs w:val="22"/>
        </w:rPr>
        <w:t>HGB1</w:t>
      </w:r>
      <w:r w:rsidR="000B0759">
        <w:rPr>
          <w:i/>
          <w:iCs/>
          <w:sz w:val="22"/>
          <w:szCs w:val="22"/>
        </w:rPr>
        <w:t>,</w:t>
      </w:r>
      <w:r w:rsidR="000B0759">
        <w:rPr>
          <w:sz w:val="22"/>
          <w:szCs w:val="22"/>
        </w:rPr>
        <w:t xml:space="preserve"> features</w:t>
      </w:r>
      <w:r>
        <w:rPr>
          <w:sz w:val="22"/>
          <w:szCs w:val="22"/>
        </w:rPr>
        <w:t xml:space="preserve">. </w:t>
      </w:r>
      <w:r w:rsidRPr="005B64D9">
        <w:rPr>
          <w:sz w:val="22"/>
          <w:szCs w:val="22"/>
        </w:rPr>
        <w:t>We prioritised 945 genes for further investigation [</w:t>
      </w:r>
      <w:r w:rsidRPr="00AB1CAB">
        <w:rPr>
          <w:sz w:val="22"/>
          <w:szCs w:val="22"/>
          <w:highlight w:val="darkMagenta"/>
        </w:rPr>
        <w:t>Figure 1B</w:t>
      </w:r>
      <w:r w:rsidRPr="005B64D9">
        <w:rPr>
          <w:sz w:val="22"/>
          <w:szCs w:val="22"/>
        </w:rPr>
        <w:t>], as previously described</w:t>
      </w:r>
      <w:r w:rsidR="000B0759">
        <w:rPr>
          <w:sz w:val="22"/>
          <w:szCs w:val="22"/>
        </w:rPr>
        <w:t xml:space="preserve"> </w:t>
      </w:r>
      <w:r w:rsidRPr="005B64D9">
        <w:rPr>
          <w:sz w:val="22"/>
          <w:szCs w:val="22"/>
        </w:rPr>
        <w:fldChar w:fldCharType="begin"/>
      </w:r>
      <w:r>
        <w:rPr>
          <w:sz w:val="22"/>
          <w:szCs w:val="22"/>
        </w:rPr>
        <w:instrText xml:space="preserve"> ADDIN ZOTERO_ITEM CSL_CITATION {"citationID":"A0juvxsw","properties":{"formattedCitation":"(Millar et al., 2024)","plainCitation":"(Millar et al., 2024)","noteIndex":0},"citationItems":[{"id":2244,"uris":["http://zotero.org/users/14418362/items/WPBH2JSR"],"itemData":{"id":2244,"type":"article","abstract":"Acute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5B64D9">
        <w:rPr>
          <w:sz w:val="22"/>
          <w:szCs w:val="22"/>
        </w:rPr>
        <w:fldChar w:fldCharType="separate"/>
      </w:r>
      <w:r>
        <w:rPr>
          <w:rFonts w:cs="Times New Roman"/>
          <w:sz w:val="22"/>
          <w:szCs w:val="22"/>
        </w:rPr>
        <w:t>(Millar et al., 2024)</w:t>
      </w:r>
      <w:r w:rsidRPr="005B64D9">
        <w:rPr>
          <w:sz w:val="22"/>
          <w:szCs w:val="22"/>
        </w:rPr>
        <w:fldChar w:fldCharType="end"/>
      </w:r>
      <w:r w:rsidR="000B0759">
        <w:rPr>
          <w:sz w:val="22"/>
          <w:szCs w:val="22"/>
        </w:rPr>
        <w:t xml:space="preserve"> and of these 310 (38%) were identified as druggable using the Druggable Genome.</w:t>
      </w:r>
      <w:r w:rsidR="0079558E">
        <w:rPr>
          <w:sz w:val="22"/>
          <w:szCs w:val="22"/>
        </w:rPr>
        <w:fldChar w:fldCharType="begin"/>
      </w:r>
      <w:r w:rsidR="0079558E">
        <w:rPr>
          <w:sz w:val="22"/>
          <w:szCs w:val="22"/>
        </w:rPr>
        <w:instrText xml:space="preserve"> ADDIN ZOTERO_ITEM CSL_CITATION {"citationID":"nQIgC9MA","properties":{"formattedCitation":"(Freshour et al., 2021)","plainCitation":"(Freshour et al., 2021)","noteIndex":0},"citationItems":[{"id":2517,"uris":["http://zotero.org/users/14418362/items/2RAFLB25"],"itemData":{"id":2517,"type":"article-journal","abstract":"The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79558E">
        <w:rPr>
          <w:sz w:val="22"/>
          <w:szCs w:val="22"/>
        </w:rPr>
        <w:fldChar w:fldCharType="separate"/>
      </w:r>
      <w:r w:rsidR="0079558E">
        <w:rPr>
          <w:noProof/>
          <w:sz w:val="22"/>
          <w:szCs w:val="22"/>
        </w:rPr>
        <w:t>(Freshour et al., 2021)</w:t>
      </w:r>
      <w:r w:rsidR="0079558E">
        <w:rPr>
          <w:sz w:val="22"/>
          <w:szCs w:val="22"/>
        </w:rPr>
        <w:fldChar w:fldCharType="end"/>
      </w:r>
      <w:r w:rsidR="00502716" w:rsidRPr="00502716">
        <w:rPr>
          <w:sz w:val="22"/>
          <w:szCs w:val="22"/>
        </w:rPr>
        <w:t xml:space="preserve"> </w:t>
      </w:r>
      <w:r w:rsidR="00502716" w:rsidRPr="00502716">
        <w:rPr>
          <w:sz w:val="22"/>
          <w:szCs w:val="22"/>
        </w:rPr>
        <w:t>Cell type–specific enrichment analysis indicates that the gene rankings are most strongly driven by</w:t>
      </w:r>
      <w:r w:rsidR="00502716">
        <w:rPr>
          <w:sz w:val="22"/>
          <w:szCs w:val="22"/>
        </w:rPr>
        <w:t xml:space="preserve"> cells of the</w:t>
      </w:r>
      <w:r w:rsidR="00502716" w:rsidRPr="00502716">
        <w:rPr>
          <w:sz w:val="22"/>
          <w:szCs w:val="22"/>
        </w:rPr>
        <w:t xml:space="preserve"> lymphoid lineage</w:t>
      </w:r>
      <w:r w:rsidR="00502716" w:rsidRPr="00502716">
        <w:rPr>
          <w:sz w:val="22"/>
          <w:szCs w:val="22"/>
        </w:rPr>
        <w:t xml:space="preserve"> </w:t>
      </w:r>
      <w:r w:rsidR="00502716">
        <w:rPr>
          <w:sz w:val="22"/>
          <w:szCs w:val="22"/>
        </w:rPr>
        <w:t>(</w:t>
      </w:r>
      <w:r w:rsidR="00502716" w:rsidRPr="00502716">
        <w:rPr>
          <w:sz w:val="22"/>
          <w:szCs w:val="22"/>
          <w:highlight w:val="darkMagenta"/>
        </w:rPr>
        <w:t>supplementary figure 5</w:t>
      </w:r>
      <w:r w:rsidR="00502716">
        <w:rPr>
          <w:sz w:val="22"/>
          <w:szCs w:val="22"/>
        </w:rPr>
        <w:t>)</w:t>
      </w:r>
      <w:r w:rsidR="00502716">
        <w:rPr>
          <w:sz w:val="22"/>
          <w:szCs w:val="22"/>
        </w:rPr>
        <w:t xml:space="preserve">. </w:t>
      </w:r>
      <w:r w:rsidR="00502716">
        <w:rPr>
          <w:sz w:val="22"/>
          <w:szCs w:val="22"/>
        </w:rPr>
        <w:fldChar w:fldCharType="begin"/>
      </w:r>
      <w:r w:rsidR="00502716">
        <w:rPr>
          <w:sz w:val="22"/>
          <w:szCs w:val="22"/>
        </w:rPr>
        <w:instrText xml:space="preserve"> ADDIN ZOTERO_ITEM CSL_CITATION {"citationID":"qycrGrlJ","properties":{"formattedCitation":"(Dai et al., 2022)","plainCitation":"(Dai et al., 2022)","noteIndex":0},"citationItems":[{"id":2494,"uris":["http://zotero.org/users/14418362/items/UR9I3N8T"],"itemData":{"id":2494,"type":"article-journal","abstract":"Abstract\n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02716">
        <w:rPr>
          <w:sz w:val="22"/>
          <w:szCs w:val="22"/>
        </w:rPr>
        <w:fldChar w:fldCharType="separate"/>
      </w:r>
      <w:r w:rsidR="00502716">
        <w:rPr>
          <w:noProof/>
          <w:sz w:val="22"/>
          <w:szCs w:val="22"/>
        </w:rPr>
        <w:t>(Dai et al., 2022)</w:t>
      </w:r>
      <w:r w:rsidR="00502716">
        <w:rPr>
          <w:sz w:val="22"/>
          <w:szCs w:val="22"/>
        </w:rPr>
        <w:fldChar w:fldCharType="end"/>
      </w:r>
    </w:p>
    <w:p w14:paraId="564454B4" w14:textId="77777777" w:rsidR="005D240B" w:rsidRPr="005B64D9" w:rsidRDefault="005D240B" w:rsidP="005D240B">
      <w:pPr>
        <w:spacing w:line="480" w:lineRule="auto"/>
        <w:jc w:val="both"/>
        <w:rPr>
          <w:i/>
          <w:iCs/>
          <w:sz w:val="22"/>
          <w:szCs w:val="22"/>
        </w:rPr>
      </w:pPr>
    </w:p>
    <w:p w14:paraId="16725CA1" w14:textId="77777777" w:rsidR="005D240B" w:rsidRPr="005B64D9" w:rsidRDefault="005D240B" w:rsidP="005D240B">
      <w:pPr>
        <w:spacing w:line="480" w:lineRule="auto"/>
        <w:jc w:val="both"/>
        <w:rPr>
          <w:i/>
          <w:iCs/>
          <w:sz w:val="22"/>
          <w:szCs w:val="22"/>
        </w:rPr>
      </w:pPr>
      <w:r w:rsidRPr="005B64D9">
        <w:rPr>
          <w:i/>
          <w:iCs/>
          <w:sz w:val="22"/>
          <w:szCs w:val="22"/>
        </w:rPr>
        <w:t>Over representation and enrichment analyses</w:t>
      </w:r>
    </w:p>
    <w:p w14:paraId="31A6965A" w14:textId="47632BBE" w:rsidR="005D240B" w:rsidRDefault="005D240B" w:rsidP="005D240B">
      <w:pPr>
        <w:spacing w:line="480" w:lineRule="auto"/>
        <w:jc w:val="both"/>
        <w:rPr>
          <w:sz w:val="22"/>
          <w:szCs w:val="22"/>
        </w:rPr>
      </w:pPr>
      <w:r w:rsidRPr="004F6F62">
        <w:rPr>
          <w:sz w:val="22"/>
          <w:szCs w:val="22"/>
        </w:rPr>
        <w:t xml:space="preserve">We first performed Over Representation Analysis (ORA), on the prioritised list of 945 genes. The ORA results from the Gene Ontology database (encompassing all ontologies) were grouped first based on semantic similarity and then based on function </w:t>
      </w:r>
      <w:r w:rsidRPr="004F6F62">
        <w:rPr>
          <w:sz w:val="22"/>
          <w:szCs w:val="22"/>
          <w:highlight w:val="darkMagenta"/>
        </w:rPr>
        <w:t>[Figure 1C</w:t>
      </w:r>
      <w:r w:rsidRPr="004F6F62">
        <w:rPr>
          <w:sz w:val="22"/>
          <w:szCs w:val="22"/>
        </w:rPr>
        <w:t xml:space="preserve">].  Our analysis reveals a significant over-representation of </w:t>
      </w:r>
      <w:r w:rsidR="004F6F62">
        <w:rPr>
          <w:sz w:val="22"/>
          <w:szCs w:val="22"/>
        </w:rPr>
        <w:t>i</w:t>
      </w:r>
      <w:r w:rsidRPr="004F6F62">
        <w:rPr>
          <w:sz w:val="22"/>
          <w:szCs w:val="22"/>
        </w:rPr>
        <w:t>mmune system processes</w:t>
      </w:r>
      <w:r w:rsidR="004F6F62">
        <w:rPr>
          <w:sz w:val="22"/>
          <w:szCs w:val="22"/>
        </w:rPr>
        <w:t xml:space="preserve"> </w:t>
      </w:r>
      <w:r w:rsidR="0079558E">
        <w:rPr>
          <w:sz w:val="22"/>
          <w:szCs w:val="22"/>
        </w:rPr>
        <w:t>associated</w:t>
      </w:r>
      <w:r w:rsidR="004F6F62">
        <w:rPr>
          <w:sz w:val="22"/>
          <w:szCs w:val="22"/>
        </w:rPr>
        <w:t xml:space="preserve"> with adaptive immunity and lymphoid cells</w:t>
      </w:r>
      <w:r w:rsidRPr="004F6F62">
        <w:rPr>
          <w:sz w:val="22"/>
          <w:szCs w:val="22"/>
        </w:rPr>
        <w:t xml:space="preserve">, with a prominent emphasis on T cell differentiation and regulation, </w:t>
      </w:r>
      <w:r w:rsidR="004F6F62">
        <w:rPr>
          <w:sz w:val="22"/>
          <w:szCs w:val="22"/>
        </w:rPr>
        <w:t>and</w:t>
      </w:r>
      <w:r w:rsidRPr="004F6F62">
        <w:rPr>
          <w:sz w:val="22"/>
          <w:szCs w:val="22"/>
        </w:rPr>
        <w:t xml:space="preserve"> cell-cell adhesion. This is further supported by ORA using the KEGG and </w:t>
      </w:r>
      <w:proofErr w:type="spellStart"/>
      <w:r w:rsidRPr="004F6F62">
        <w:rPr>
          <w:sz w:val="22"/>
          <w:szCs w:val="22"/>
        </w:rPr>
        <w:t>Reactome</w:t>
      </w:r>
      <w:proofErr w:type="spellEnd"/>
      <w:r w:rsidRPr="004F6F62">
        <w:rPr>
          <w:sz w:val="22"/>
          <w:szCs w:val="22"/>
        </w:rPr>
        <w:t xml:space="preserve"> databases [</w:t>
      </w:r>
      <w:r w:rsidRPr="008506FE">
        <w:rPr>
          <w:sz w:val="22"/>
          <w:szCs w:val="22"/>
          <w:highlight w:val="darkMagenta"/>
        </w:rPr>
        <w:t>Supplementary</w:t>
      </w:r>
      <w:r w:rsidR="004F6F62" w:rsidRPr="008506FE">
        <w:rPr>
          <w:sz w:val="22"/>
          <w:szCs w:val="22"/>
          <w:highlight w:val="darkMagenta"/>
        </w:rPr>
        <w:t xml:space="preserve"> Tables 5-8</w:t>
      </w:r>
      <w:r w:rsidRPr="004F6F62">
        <w:rPr>
          <w:sz w:val="22"/>
          <w:szCs w:val="22"/>
        </w:rPr>
        <w:t>]. T cell development was further highlighted when we carried out gene set enrichment analysis (GSEA) of the human BPD MAIC dataset [</w:t>
      </w:r>
      <w:r w:rsidRPr="004F6F62">
        <w:rPr>
          <w:sz w:val="22"/>
          <w:szCs w:val="22"/>
          <w:highlight w:val="darkMagenta"/>
        </w:rPr>
        <w:t>Figure 1D, E</w:t>
      </w:r>
      <w:r w:rsidRPr="004F6F62">
        <w:rPr>
          <w:sz w:val="22"/>
          <w:szCs w:val="22"/>
        </w:rPr>
        <w:t>].</w:t>
      </w:r>
      <w:r w:rsidR="004F6F62" w:rsidRPr="004F6F62">
        <w:rPr>
          <w:sz w:val="22"/>
          <w:szCs w:val="22"/>
        </w:rPr>
        <w:t xml:space="preserve"> </w:t>
      </w:r>
      <w:r w:rsidRPr="004F6F62">
        <w:rPr>
          <w:sz w:val="22"/>
          <w:szCs w:val="22"/>
        </w:rPr>
        <w:t xml:space="preserve">We then created a protein-protein interaction (PPI) network using the prioritised set of genes. </w:t>
      </w:r>
      <w:r w:rsidRPr="004F6F62">
        <w:rPr>
          <w:rFonts w:cs="Helvetica"/>
          <w:sz w:val="22"/>
          <w:szCs w:val="22"/>
        </w:rPr>
        <w:t>MCL clustering identified 25 clusters with &gt;=5 members. The 7 largest clusters contained &gt;=10 members [</w:t>
      </w:r>
      <w:r w:rsidRPr="004F6F62">
        <w:rPr>
          <w:rFonts w:cs="Helvetica"/>
          <w:sz w:val="22"/>
          <w:szCs w:val="22"/>
          <w:highlight w:val="darkMagenta"/>
        </w:rPr>
        <w:t>Supplementary Figures shows the top 5 clusters</w:t>
      </w:r>
      <w:r w:rsidRPr="004F6F62">
        <w:rPr>
          <w:rFonts w:cs="Helvetica"/>
          <w:sz w:val="22"/>
          <w:szCs w:val="22"/>
        </w:rPr>
        <w:t xml:space="preserve">]. </w:t>
      </w:r>
      <w:r w:rsidR="001D6A71" w:rsidRPr="004F6F62">
        <w:rPr>
          <w:sz w:val="22"/>
          <w:szCs w:val="22"/>
        </w:rPr>
        <w:t>Using previously reported methods (Millar et al., 2024), we identified 32 hub genes proposed to play central roles in the broader network [</w:t>
      </w:r>
      <w:r w:rsidR="001D6A71" w:rsidRPr="004F6F62">
        <w:rPr>
          <w:sz w:val="22"/>
          <w:szCs w:val="22"/>
          <w:highlight w:val="darkMagenta"/>
        </w:rPr>
        <w:t>Figure 1F</w:t>
      </w:r>
      <w:r w:rsidR="001D6A71" w:rsidRPr="004F6F62">
        <w:rPr>
          <w:sz w:val="22"/>
          <w:szCs w:val="22"/>
        </w:rPr>
        <w:t xml:space="preserve">]. MCL clustering </w:t>
      </w:r>
      <w:r w:rsidR="004F6F62" w:rsidRPr="004F6F62">
        <w:rPr>
          <w:sz w:val="22"/>
          <w:szCs w:val="22"/>
        </w:rPr>
        <w:t xml:space="preserve">of this </w:t>
      </w:r>
      <w:r w:rsidR="004F6F62">
        <w:rPr>
          <w:sz w:val="22"/>
          <w:szCs w:val="22"/>
        </w:rPr>
        <w:t>hub</w:t>
      </w:r>
      <w:r w:rsidR="004F6F62" w:rsidRPr="004F6F62">
        <w:rPr>
          <w:sz w:val="22"/>
          <w:szCs w:val="22"/>
        </w:rPr>
        <w:t xml:space="preserve"> </w:t>
      </w:r>
      <w:r w:rsidR="001D6A71" w:rsidRPr="004F6F62">
        <w:rPr>
          <w:sz w:val="22"/>
          <w:szCs w:val="22"/>
        </w:rPr>
        <w:t>revealed three major clusters related to lymphocytes, corresponding to activation (red, blue), receptors (blue), and i</w:t>
      </w:r>
      <w:r w:rsidR="001D6A71" w:rsidRPr="004F6F62">
        <w:rPr>
          <w:sz w:val="22"/>
          <w:szCs w:val="22"/>
          <w:highlight w:val="green"/>
        </w:rPr>
        <w:t>mmunoglobulins</w:t>
      </w:r>
      <w:r w:rsidR="001D6A71" w:rsidRPr="004F6F62">
        <w:rPr>
          <w:sz w:val="22"/>
          <w:szCs w:val="22"/>
        </w:rPr>
        <w:t xml:space="preserve"> (green) (</w:t>
      </w:r>
      <w:r w:rsidR="001D6A71" w:rsidRPr="004F6F62">
        <w:rPr>
          <w:sz w:val="22"/>
          <w:szCs w:val="22"/>
          <w:highlight w:val="darkMagenta"/>
        </w:rPr>
        <w:t>Figure 1G</w:t>
      </w:r>
      <w:r w:rsidR="001D6A71" w:rsidRPr="004F6F62">
        <w:rPr>
          <w:sz w:val="22"/>
          <w:szCs w:val="22"/>
        </w:rPr>
        <w:t>).</w:t>
      </w:r>
    </w:p>
    <w:p w14:paraId="747D866D" w14:textId="77777777" w:rsidR="00502716" w:rsidRPr="004F6F62" w:rsidRDefault="00502716" w:rsidP="005D240B">
      <w:pPr>
        <w:spacing w:line="480" w:lineRule="auto"/>
        <w:jc w:val="both"/>
        <w:rPr>
          <w:sz w:val="22"/>
          <w:szCs w:val="22"/>
        </w:rPr>
      </w:pPr>
    </w:p>
    <w:p w14:paraId="5473D510" w14:textId="6140811A" w:rsidR="00502716" w:rsidRPr="00502716" w:rsidRDefault="00502716" w:rsidP="005D240B">
      <w:pPr>
        <w:spacing w:line="480" w:lineRule="auto"/>
        <w:jc w:val="both"/>
        <w:rPr>
          <w:i/>
          <w:iCs/>
          <w:sz w:val="22"/>
          <w:szCs w:val="22"/>
        </w:rPr>
      </w:pPr>
      <w:r w:rsidRPr="00502716">
        <w:rPr>
          <w:i/>
          <w:iCs/>
          <w:sz w:val="22"/>
          <w:szCs w:val="22"/>
        </w:rPr>
        <w:t xml:space="preserve">Comparative </w:t>
      </w:r>
      <w:r>
        <w:rPr>
          <w:i/>
          <w:iCs/>
          <w:sz w:val="22"/>
          <w:szCs w:val="22"/>
        </w:rPr>
        <w:t>a</w:t>
      </w:r>
      <w:r w:rsidRPr="00502716">
        <w:rPr>
          <w:i/>
          <w:iCs/>
          <w:sz w:val="22"/>
          <w:szCs w:val="22"/>
        </w:rPr>
        <w:t xml:space="preserve">nalysis with ARDS </w:t>
      </w:r>
      <w:r>
        <w:rPr>
          <w:i/>
          <w:iCs/>
          <w:sz w:val="22"/>
          <w:szCs w:val="22"/>
        </w:rPr>
        <w:t>d</w:t>
      </w:r>
      <w:r w:rsidRPr="00502716">
        <w:rPr>
          <w:i/>
          <w:iCs/>
          <w:sz w:val="22"/>
          <w:szCs w:val="22"/>
        </w:rPr>
        <w:t>ataset</w:t>
      </w:r>
    </w:p>
    <w:p w14:paraId="375A8821" w14:textId="11CFA8A8" w:rsidR="005D240B" w:rsidRDefault="005D240B" w:rsidP="005D240B">
      <w:pPr>
        <w:spacing w:line="480" w:lineRule="auto"/>
        <w:jc w:val="both"/>
        <w:rPr>
          <w:sz w:val="22"/>
          <w:szCs w:val="22"/>
        </w:rPr>
      </w:pPr>
      <w:r w:rsidRPr="005B64D9">
        <w:rPr>
          <w:sz w:val="22"/>
          <w:szCs w:val="22"/>
        </w:rPr>
        <w:t xml:space="preserve">Acute lung injury caused or worsened by mechanical ventilation during treatment is a feature of BPD in neonates and </w:t>
      </w:r>
      <w:proofErr w:type="gramStart"/>
      <w:r w:rsidRPr="005B64D9">
        <w:rPr>
          <w:sz w:val="22"/>
          <w:szCs w:val="22"/>
        </w:rPr>
        <w:t>Acute Respiratory Distress Syndrome</w:t>
      </w:r>
      <w:proofErr w:type="gramEnd"/>
      <w:r w:rsidRPr="005B64D9">
        <w:rPr>
          <w:sz w:val="22"/>
          <w:szCs w:val="22"/>
        </w:rPr>
        <w:t xml:space="preserve"> (ARDS) in adults (paediatric ARDS in </w:t>
      </w:r>
      <w:r w:rsidRPr="005B64D9">
        <w:rPr>
          <w:sz w:val="22"/>
          <w:szCs w:val="22"/>
        </w:rPr>
        <w:lastRenderedPageBreak/>
        <w:t xml:space="preserve">children). We </w:t>
      </w:r>
      <w:r w:rsidR="00955096">
        <w:rPr>
          <w:sz w:val="22"/>
          <w:szCs w:val="22"/>
        </w:rPr>
        <w:t>wished</w:t>
      </w:r>
      <w:r w:rsidRPr="005B64D9">
        <w:rPr>
          <w:sz w:val="22"/>
          <w:szCs w:val="22"/>
        </w:rPr>
        <w:t xml:space="preserve"> to </w:t>
      </w:r>
      <w:r w:rsidR="00955096">
        <w:rPr>
          <w:sz w:val="22"/>
          <w:szCs w:val="22"/>
        </w:rPr>
        <w:t xml:space="preserve">characterise, </w:t>
      </w:r>
      <w:r w:rsidRPr="005B64D9">
        <w:rPr>
          <w:sz w:val="22"/>
          <w:szCs w:val="22"/>
        </w:rPr>
        <w:t xml:space="preserve">firstly, the </w:t>
      </w:r>
      <w:r w:rsidR="00955096">
        <w:rPr>
          <w:sz w:val="22"/>
          <w:szCs w:val="22"/>
        </w:rPr>
        <w:t>shared of</w:t>
      </w:r>
      <w:r w:rsidRPr="005B64D9">
        <w:rPr>
          <w:sz w:val="22"/>
          <w:szCs w:val="22"/>
        </w:rPr>
        <w:t xml:space="preserve"> effects mechanical ventilation may have on the developed </w:t>
      </w:r>
      <w:r w:rsidR="00955096">
        <w:rPr>
          <w:sz w:val="22"/>
          <w:szCs w:val="22"/>
        </w:rPr>
        <w:t>and</w:t>
      </w:r>
      <w:r w:rsidRPr="005B64D9">
        <w:rPr>
          <w:sz w:val="22"/>
          <w:szCs w:val="22"/>
        </w:rPr>
        <w:t xml:space="preserve"> the developing lung, and to understand </w:t>
      </w:r>
      <w:r w:rsidR="00955096">
        <w:rPr>
          <w:sz w:val="22"/>
          <w:szCs w:val="22"/>
        </w:rPr>
        <w:t>distinct</w:t>
      </w:r>
      <w:r w:rsidRPr="005B64D9">
        <w:rPr>
          <w:sz w:val="22"/>
          <w:szCs w:val="22"/>
        </w:rPr>
        <w:t xml:space="preserve"> factors that may underlie </w:t>
      </w:r>
      <w:r w:rsidR="00955096">
        <w:rPr>
          <w:sz w:val="22"/>
          <w:szCs w:val="22"/>
        </w:rPr>
        <w:t>each</w:t>
      </w:r>
      <w:r w:rsidRPr="005B64D9">
        <w:rPr>
          <w:sz w:val="22"/>
          <w:szCs w:val="22"/>
        </w:rPr>
        <w:t xml:space="preserve"> syndrome. </w:t>
      </w:r>
      <w:r w:rsidR="00955096">
        <w:rPr>
          <w:sz w:val="22"/>
          <w:szCs w:val="22"/>
        </w:rPr>
        <w:t>We</w:t>
      </w:r>
      <w:r w:rsidRPr="005B64D9">
        <w:rPr>
          <w:sz w:val="22"/>
          <w:szCs w:val="22"/>
        </w:rPr>
        <w:t xml:space="preserve"> evaluated </w:t>
      </w:r>
      <w:r w:rsidRPr="001B5DBE">
        <w:rPr>
          <w:sz w:val="22"/>
          <w:szCs w:val="22"/>
        </w:rPr>
        <w:t>the human BPD MAIC dataset</w:t>
      </w:r>
      <w:r w:rsidRPr="005B64D9">
        <w:rPr>
          <w:sz w:val="22"/>
          <w:szCs w:val="22"/>
        </w:rPr>
        <w:t xml:space="preserve"> against our previously generated ARDS MAIC analysis.</w:t>
      </w:r>
      <w:r w:rsidRPr="005B64D9">
        <w:rPr>
          <w:sz w:val="22"/>
          <w:szCs w:val="22"/>
        </w:rPr>
        <w:fldChar w:fldCharType="begin"/>
      </w:r>
      <w:r>
        <w:rPr>
          <w:sz w:val="22"/>
          <w:szCs w:val="22"/>
        </w:rPr>
        <w:instrText xml:space="preserve"> ADDIN ZOTERO_ITEM CSL_CITATION {"citationID":"RiRd1wzb","properties":{"formattedCitation":"(Millar et al., 2024)","plainCitation":"(Millar et al., 2024)","noteIndex":0},"citationItems":[{"id":2244,"uris":["http://zotero.org/users/14418362/items/WPBH2JSR"],"itemData":{"id":2244,"type":"article","abstract":"Acute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5B64D9">
        <w:rPr>
          <w:sz w:val="22"/>
          <w:szCs w:val="22"/>
        </w:rPr>
        <w:fldChar w:fldCharType="separate"/>
      </w:r>
      <w:r>
        <w:rPr>
          <w:rFonts w:cs="Times New Roman"/>
          <w:sz w:val="22"/>
          <w:szCs w:val="22"/>
        </w:rPr>
        <w:t>(Millar et al., 2024)</w:t>
      </w:r>
      <w:r w:rsidRPr="005B64D9">
        <w:rPr>
          <w:sz w:val="22"/>
          <w:szCs w:val="22"/>
        </w:rPr>
        <w:fldChar w:fldCharType="end"/>
      </w:r>
      <w:r w:rsidRPr="005B64D9">
        <w:rPr>
          <w:sz w:val="22"/>
          <w:szCs w:val="22"/>
        </w:rPr>
        <w:t xml:space="preserve"> </w:t>
      </w:r>
    </w:p>
    <w:p w14:paraId="15EDB832" w14:textId="77777777" w:rsidR="007C3ADC" w:rsidRPr="005B64D9" w:rsidRDefault="007C3ADC" w:rsidP="005D240B">
      <w:pPr>
        <w:spacing w:line="480" w:lineRule="auto"/>
        <w:jc w:val="both"/>
        <w:rPr>
          <w:sz w:val="22"/>
          <w:szCs w:val="22"/>
        </w:rPr>
      </w:pPr>
    </w:p>
    <w:p w14:paraId="5C5DFECB" w14:textId="79DB89CB" w:rsidR="005D240B" w:rsidRPr="00745C0E" w:rsidRDefault="005D240B" w:rsidP="005D240B">
      <w:pPr>
        <w:spacing w:line="480" w:lineRule="auto"/>
        <w:jc w:val="both"/>
        <w:rPr>
          <w:sz w:val="22"/>
          <w:szCs w:val="22"/>
          <w:highlight w:val="yellow"/>
        </w:rPr>
      </w:pPr>
      <w:r w:rsidRPr="005B64D9">
        <w:rPr>
          <w:sz w:val="22"/>
          <w:szCs w:val="22"/>
        </w:rPr>
        <w:t xml:space="preserve">Over Representation Analysis focusing on the prioritised genes from both datasets highlighted shared pathology relating to adaptive immunity with pathways associated with positive regulation </w:t>
      </w:r>
      <w:r w:rsidRPr="001B5DBE">
        <w:rPr>
          <w:rFonts w:ascii="Aptos" w:hAnsi="Aptos"/>
          <w:sz w:val="22"/>
          <w:szCs w:val="22"/>
        </w:rPr>
        <w:t>of T cell activation [</w:t>
      </w:r>
      <w:r w:rsidRPr="001B5DBE">
        <w:rPr>
          <w:rFonts w:ascii="Aptos" w:hAnsi="Aptos"/>
          <w:sz w:val="22"/>
          <w:szCs w:val="22"/>
          <w:highlight w:val="darkMagenta"/>
        </w:rPr>
        <w:t>Figure2A</w:t>
      </w:r>
      <w:r w:rsidRPr="001B5DBE">
        <w:rPr>
          <w:rFonts w:ascii="Aptos" w:hAnsi="Aptos"/>
          <w:sz w:val="22"/>
          <w:szCs w:val="22"/>
        </w:rPr>
        <w:t xml:space="preserve">]. While NF-kappa signal transduction is associated with ARDS, it does </w:t>
      </w:r>
      <w:r w:rsidR="001B5DBE" w:rsidRPr="001B5DBE">
        <w:rPr>
          <w:rFonts w:ascii="Aptos" w:hAnsi="Aptos"/>
          <w:sz w:val="22"/>
          <w:szCs w:val="22"/>
        </w:rPr>
        <w:t>it is not evident in our BPD dataset, suggesting a divergence in the underlying pathologies.</w:t>
      </w:r>
      <w:r w:rsidRPr="001B5DBE">
        <w:rPr>
          <w:rFonts w:ascii="Aptos" w:hAnsi="Aptos"/>
          <w:sz w:val="22"/>
          <w:szCs w:val="22"/>
        </w:rPr>
        <w:t xml:space="preserve"> </w:t>
      </w:r>
      <w:r w:rsidR="00745C0E" w:rsidRPr="001B5DBE">
        <w:rPr>
          <w:rFonts w:ascii="Aptos" w:hAnsi="Aptos"/>
          <w:sz w:val="22"/>
          <w:szCs w:val="22"/>
        </w:rPr>
        <w:t xml:space="preserve"> </w:t>
      </w:r>
      <w:r w:rsidRPr="001B5DBE">
        <w:rPr>
          <w:rFonts w:ascii="Aptos" w:hAnsi="Aptos"/>
          <w:sz w:val="22"/>
          <w:szCs w:val="22"/>
        </w:rPr>
        <w:t>We then sought the overlap between both datasets, to find the genes most likely to be associated</w:t>
      </w:r>
      <w:r w:rsidRPr="005B64D9">
        <w:rPr>
          <w:sz w:val="22"/>
          <w:szCs w:val="22"/>
        </w:rPr>
        <w:t xml:space="preserve"> with both syndromes from the literature. There were 112 genes that overlapped in the prioritised sets from both datasets,</w:t>
      </w:r>
      <w:r>
        <w:rPr>
          <w:sz w:val="22"/>
          <w:szCs w:val="22"/>
        </w:rPr>
        <w:t xml:space="preserve"> [</w:t>
      </w:r>
      <w:r w:rsidRPr="00B822A7">
        <w:rPr>
          <w:sz w:val="22"/>
          <w:szCs w:val="22"/>
          <w:highlight w:val="darkMagenta"/>
        </w:rPr>
        <w:t>Figure2B</w:t>
      </w:r>
      <w:r>
        <w:rPr>
          <w:sz w:val="22"/>
          <w:szCs w:val="22"/>
        </w:rPr>
        <w:t>]</w:t>
      </w:r>
      <w:r w:rsidRPr="005B64D9">
        <w:rPr>
          <w:sz w:val="22"/>
          <w:szCs w:val="22"/>
        </w:rPr>
        <w:t xml:space="preserve"> and this overlap was found to be significant using a hypergeometric test using the protein-coding genome as the background set (p&lt;0.005).</w:t>
      </w:r>
      <w:r w:rsidR="00745C0E">
        <w:rPr>
          <w:sz w:val="22"/>
          <w:szCs w:val="22"/>
        </w:rPr>
        <w:t xml:space="preserve"> </w:t>
      </w:r>
      <w:r w:rsidRPr="005B64D9">
        <w:rPr>
          <w:sz w:val="22"/>
          <w:szCs w:val="22"/>
        </w:rPr>
        <w:t xml:space="preserve"> </w:t>
      </w:r>
      <w:r w:rsidR="00745C0E">
        <w:rPr>
          <w:sz w:val="22"/>
          <w:szCs w:val="22"/>
        </w:rPr>
        <w:t xml:space="preserve">We </w:t>
      </w:r>
      <w:r w:rsidR="00745C0E" w:rsidRPr="0077789B">
        <w:rPr>
          <w:sz w:val="22"/>
          <w:szCs w:val="22"/>
        </w:rPr>
        <w:t>assess</w:t>
      </w:r>
      <w:r w:rsidR="00745C0E">
        <w:rPr>
          <w:sz w:val="22"/>
          <w:szCs w:val="22"/>
        </w:rPr>
        <w:t>ed</w:t>
      </w:r>
      <w:r w:rsidR="00745C0E" w:rsidRPr="0077789B">
        <w:rPr>
          <w:sz w:val="22"/>
          <w:szCs w:val="22"/>
        </w:rPr>
        <w:t xml:space="preserve"> the degree of similarity between ranked lists</w:t>
      </w:r>
      <w:r w:rsidR="00745C0E">
        <w:rPr>
          <w:sz w:val="22"/>
          <w:szCs w:val="22"/>
        </w:rPr>
        <w:t xml:space="preserve"> and found much of the overlap occurred</w:t>
      </w:r>
      <w:r w:rsidR="001B5DBE">
        <w:rPr>
          <w:sz w:val="22"/>
          <w:szCs w:val="22"/>
        </w:rPr>
        <w:t xml:space="preserve"> toward the top of the</w:t>
      </w:r>
      <w:r w:rsidR="00CC72D9">
        <w:rPr>
          <w:sz w:val="22"/>
          <w:szCs w:val="22"/>
        </w:rPr>
        <w:t xml:space="preserve"> ranked</w:t>
      </w:r>
      <w:r w:rsidR="001B5DBE">
        <w:rPr>
          <w:sz w:val="22"/>
          <w:szCs w:val="22"/>
        </w:rPr>
        <w:t xml:space="preserve"> lists. [</w:t>
      </w:r>
      <w:r w:rsidR="001B5DBE" w:rsidRPr="001B5DBE">
        <w:rPr>
          <w:sz w:val="22"/>
          <w:szCs w:val="22"/>
          <w:highlight w:val="darkMagenta"/>
        </w:rPr>
        <w:t>Figure 2C</w:t>
      </w:r>
      <w:r w:rsidR="001B5DBE">
        <w:rPr>
          <w:sz w:val="22"/>
          <w:szCs w:val="22"/>
        </w:rPr>
        <w:t xml:space="preserve">]. </w:t>
      </w:r>
      <w:r w:rsidRPr="005B64D9">
        <w:rPr>
          <w:sz w:val="22"/>
          <w:szCs w:val="22"/>
        </w:rPr>
        <w:t>Over representation analysis found leukocyte mediated immunity, lymphocyte mediated immunity</w:t>
      </w:r>
      <w:r w:rsidR="009F3C8A">
        <w:rPr>
          <w:sz w:val="22"/>
          <w:szCs w:val="22"/>
        </w:rPr>
        <w:t>,</w:t>
      </w:r>
      <w:r w:rsidRPr="005B64D9">
        <w:rPr>
          <w:sz w:val="22"/>
          <w:szCs w:val="22"/>
        </w:rPr>
        <w:t xml:space="preserve"> and positive regulation of </w:t>
      </w:r>
      <w:r w:rsidRPr="00C2707E">
        <w:rPr>
          <w:color w:val="000000" w:themeColor="text1"/>
          <w:sz w:val="22"/>
          <w:szCs w:val="22"/>
        </w:rPr>
        <w:t>both</w:t>
      </w:r>
      <w:r w:rsidRPr="005B64D9">
        <w:rPr>
          <w:sz w:val="22"/>
          <w:szCs w:val="22"/>
        </w:rPr>
        <w:t xml:space="preserve"> T cells and type II interferon were highlighted [</w:t>
      </w:r>
      <w:r w:rsidRPr="00B822A7">
        <w:rPr>
          <w:sz w:val="22"/>
          <w:szCs w:val="22"/>
          <w:highlight w:val="darkMagenta"/>
        </w:rPr>
        <w:t>Figure2</w:t>
      </w:r>
      <w:r w:rsidR="001B5DBE" w:rsidRPr="001B5DBE">
        <w:rPr>
          <w:sz w:val="22"/>
          <w:szCs w:val="22"/>
          <w:highlight w:val="darkMagenta"/>
        </w:rPr>
        <w:t>D</w:t>
      </w:r>
      <w:r w:rsidRPr="005B64D9">
        <w:rPr>
          <w:sz w:val="22"/>
          <w:szCs w:val="22"/>
        </w:rPr>
        <w:t>]</w:t>
      </w:r>
      <w:r w:rsidR="00642B03">
        <w:rPr>
          <w:sz w:val="22"/>
          <w:szCs w:val="22"/>
        </w:rPr>
        <w:t xml:space="preserve"> in the overlapping genes</w:t>
      </w:r>
      <w:r w:rsidRPr="005B64D9">
        <w:rPr>
          <w:sz w:val="22"/>
          <w:szCs w:val="22"/>
        </w:rPr>
        <w:t xml:space="preserve">. </w:t>
      </w:r>
      <w:r w:rsidR="00C2707E" w:rsidRPr="00C2707E">
        <w:rPr>
          <w:sz w:val="22"/>
          <w:szCs w:val="22"/>
        </w:rPr>
        <w:t xml:space="preserve">A PPI network focused on the overlap between datasets identifies a hub consisting of 5 genes </w:t>
      </w:r>
      <w:r w:rsidR="000C33C9">
        <w:rPr>
          <w:sz w:val="22"/>
          <w:szCs w:val="22"/>
        </w:rPr>
        <w:t>with roles in</w:t>
      </w:r>
      <w:r w:rsidR="00C2707E" w:rsidRPr="00C2707E">
        <w:rPr>
          <w:sz w:val="22"/>
          <w:szCs w:val="22"/>
        </w:rPr>
        <w:t xml:space="preserve"> IL8 signalling (</w:t>
      </w:r>
      <w:r w:rsidR="00C2707E" w:rsidRPr="007816AD">
        <w:rPr>
          <w:i/>
          <w:iCs/>
          <w:sz w:val="22"/>
          <w:szCs w:val="22"/>
        </w:rPr>
        <w:t>CXCL8, MMP9</w:t>
      </w:r>
      <w:r w:rsidR="00C2707E" w:rsidRPr="00C2707E">
        <w:rPr>
          <w:sz w:val="22"/>
          <w:szCs w:val="22"/>
        </w:rPr>
        <w:t>) and lymphocyte surface receptors (</w:t>
      </w:r>
      <w:r w:rsidR="00C2707E" w:rsidRPr="007816AD">
        <w:rPr>
          <w:i/>
          <w:iCs/>
          <w:sz w:val="22"/>
          <w:szCs w:val="22"/>
        </w:rPr>
        <w:t>CD4, CD40, CD2</w:t>
      </w:r>
      <w:r w:rsidR="00C2707E" w:rsidRPr="00C2707E">
        <w:rPr>
          <w:sz w:val="22"/>
          <w:szCs w:val="22"/>
        </w:rPr>
        <w:t>). [</w:t>
      </w:r>
      <w:r w:rsidR="00C2707E" w:rsidRPr="00F76418">
        <w:rPr>
          <w:color w:val="000000" w:themeColor="text1"/>
          <w:sz w:val="22"/>
          <w:szCs w:val="22"/>
          <w:highlight w:val="darkMagenta"/>
        </w:rPr>
        <w:t xml:space="preserve">Figure </w:t>
      </w:r>
      <w:r w:rsidR="00C2707E" w:rsidRPr="001B5DBE">
        <w:rPr>
          <w:color w:val="000000" w:themeColor="text1"/>
          <w:sz w:val="22"/>
          <w:szCs w:val="22"/>
          <w:highlight w:val="darkMagenta"/>
        </w:rPr>
        <w:t>2</w:t>
      </w:r>
      <w:r w:rsidR="001B5DBE" w:rsidRPr="001B5DBE">
        <w:rPr>
          <w:color w:val="000000" w:themeColor="text1"/>
          <w:sz w:val="22"/>
          <w:szCs w:val="22"/>
          <w:highlight w:val="darkMagenta"/>
        </w:rPr>
        <w:t>E</w:t>
      </w:r>
      <w:r w:rsidR="00C2707E" w:rsidRPr="00C2707E">
        <w:rPr>
          <w:color w:val="000000" w:themeColor="text1"/>
          <w:sz w:val="22"/>
          <w:szCs w:val="22"/>
        </w:rPr>
        <w:t>].</w:t>
      </w:r>
    </w:p>
    <w:p w14:paraId="03C54BD5" w14:textId="77777777" w:rsidR="00BD33E1" w:rsidRPr="00C2707E" w:rsidRDefault="00BD33E1" w:rsidP="005D240B">
      <w:pPr>
        <w:spacing w:line="480" w:lineRule="auto"/>
        <w:jc w:val="both"/>
        <w:rPr>
          <w:i/>
          <w:iCs/>
          <w:color w:val="000000" w:themeColor="text1"/>
          <w:sz w:val="22"/>
          <w:szCs w:val="22"/>
        </w:rPr>
      </w:pPr>
    </w:p>
    <w:p w14:paraId="1D04AC08" w14:textId="77777777" w:rsidR="005D240B" w:rsidRPr="005B64D9" w:rsidRDefault="005D240B" w:rsidP="005D240B">
      <w:pPr>
        <w:spacing w:line="480" w:lineRule="auto"/>
        <w:jc w:val="both"/>
        <w:rPr>
          <w:i/>
          <w:iCs/>
          <w:sz w:val="22"/>
          <w:szCs w:val="22"/>
        </w:rPr>
      </w:pPr>
      <w:r w:rsidRPr="005B64D9">
        <w:rPr>
          <w:i/>
          <w:iCs/>
          <w:sz w:val="22"/>
          <w:szCs w:val="22"/>
        </w:rPr>
        <w:t>Meta-Analysis by Information Content of rodent studies</w:t>
      </w:r>
    </w:p>
    <w:p w14:paraId="5748732A" w14:textId="77777777" w:rsidR="005D240B" w:rsidRPr="007733E8" w:rsidRDefault="005D240B" w:rsidP="005D240B">
      <w:pPr>
        <w:spacing w:line="480" w:lineRule="auto"/>
        <w:jc w:val="both"/>
        <w:rPr>
          <w:sz w:val="22"/>
          <w:szCs w:val="22"/>
        </w:rPr>
      </w:pPr>
      <w:r w:rsidRPr="005B64D9">
        <w:rPr>
          <w:sz w:val="22"/>
          <w:szCs w:val="22"/>
        </w:rPr>
        <w:t>From 20 eligible rodent BPD studies [</w:t>
      </w:r>
      <w:r w:rsidRPr="00B822A7">
        <w:rPr>
          <w:sz w:val="22"/>
          <w:szCs w:val="22"/>
          <w:highlight w:val="darkMagenta"/>
        </w:rPr>
        <w:t>Supplementary Figure 2</w:t>
      </w:r>
      <w:r w:rsidRPr="00FE63F4">
        <w:rPr>
          <w:sz w:val="22"/>
          <w:szCs w:val="22"/>
          <w:highlight w:val="darkMagenta"/>
        </w:rPr>
        <w:t>, Table 2</w:t>
      </w:r>
      <w:r w:rsidRPr="005B64D9">
        <w:rPr>
          <w:sz w:val="22"/>
          <w:szCs w:val="22"/>
        </w:rPr>
        <w:t xml:space="preserve">] we extracted 35 gene lists for MAIC analysis (28 ranked and 7 unranked), employing 5 experimental techniques </w:t>
      </w:r>
      <w:r>
        <w:rPr>
          <w:sz w:val="22"/>
          <w:szCs w:val="22"/>
        </w:rPr>
        <w:t>(</w:t>
      </w:r>
      <w:r w:rsidRPr="00B822A7">
        <w:rPr>
          <w:sz w:val="22"/>
          <w:szCs w:val="22"/>
          <w:highlight w:val="darkMagenta"/>
        </w:rPr>
        <w:t>Supplementary Table 3</w:t>
      </w:r>
      <w:r>
        <w:rPr>
          <w:sz w:val="22"/>
          <w:szCs w:val="22"/>
        </w:rPr>
        <w:t>)</w:t>
      </w:r>
      <w:r w:rsidRPr="005B64D9">
        <w:rPr>
          <w:sz w:val="22"/>
          <w:szCs w:val="22"/>
        </w:rPr>
        <w:t>. Of these studies, 13 used mice models and 7 used rat models</w:t>
      </w:r>
      <w:r>
        <w:rPr>
          <w:sz w:val="22"/>
          <w:szCs w:val="22"/>
        </w:rPr>
        <w:t xml:space="preserve">. </w:t>
      </w:r>
      <w:r w:rsidRPr="002470AF">
        <w:rPr>
          <w:sz w:val="22"/>
          <w:szCs w:val="22"/>
        </w:rPr>
        <w:t>The study therefore reflects primarily a rodent dataset rather than the broader non</w:t>
      </w:r>
      <w:r w:rsidRPr="002470AF">
        <w:rPr>
          <w:rFonts w:ascii="Cambria Math" w:hAnsi="Cambria Math" w:cs="Cambria Math"/>
          <w:sz w:val="22"/>
          <w:szCs w:val="22"/>
        </w:rPr>
        <w:t>‑</w:t>
      </w:r>
      <w:r w:rsidRPr="002470AF">
        <w:rPr>
          <w:sz w:val="22"/>
          <w:szCs w:val="22"/>
        </w:rPr>
        <w:t>human mammalian dataset originally intended.</w:t>
      </w:r>
      <w:r>
        <w:rPr>
          <w:sz w:val="22"/>
          <w:szCs w:val="22"/>
        </w:rPr>
        <w:t xml:space="preserve"> </w:t>
      </w:r>
      <w:r w:rsidRPr="005B64D9">
        <w:rPr>
          <w:sz w:val="22"/>
          <w:szCs w:val="22"/>
        </w:rPr>
        <w:t xml:space="preserve">The majority (17/20; 85%) </w:t>
      </w:r>
      <w:r>
        <w:rPr>
          <w:sz w:val="22"/>
          <w:szCs w:val="22"/>
        </w:rPr>
        <w:t xml:space="preserve">of studies </w:t>
      </w:r>
      <w:r w:rsidRPr="005B64D9">
        <w:rPr>
          <w:sz w:val="22"/>
          <w:szCs w:val="22"/>
        </w:rPr>
        <w:t xml:space="preserve">modelled BPD by </w:t>
      </w:r>
      <w:r w:rsidRPr="005B64D9">
        <w:rPr>
          <w:sz w:val="22"/>
          <w:szCs w:val="22"/>
        </w:rPr>
        <w:lastRenderedPageBreak/>
        <w:t xml:space="preserve">exposing neonatal pups to a </w:t>
      </w:r>
      <w:proofErr w:type="spellStart"/>
      <w:r w:rsidRPr="005B64D9">
        <w:rPr>
          <w:sz w:val="22"/>
          <w:szCs w:val="22"/>
        </w:rPr>
        <w:t>hyperoxic</w:t>
      </w:r>
      <w:proofErr w:type="spellEnd"/>
      <w:r w:rsidRPr="005B64D9">
        <w:rPr>
          <w:sz w:val="22"/>
          <w:szCs w:val="22"/>
        </w:rPr>
        <w:t xml:space="preserve"> environment, though the approaches differed; there was variation in the timeframe of hyperoxia (from 3 days to 14 days), recovery in room air (0 days to 57 days), continuous versus intermittent hyperoxia, and the percent oxygen (70 – 100%) used across the studies. Other methods to model BPD in rodent models included lipopolysaccharide (LPS) treatment (1 study) and induced IUGR through maternal diet (1 study). All but one included study used lung tissue for analyses. </w:t>
      </w:r>
      <w:r>
        <w:rPr>
          <w:sz w:val="22"/>
          <w:szCs w:val="22"/>
        </w:rPr>
        <w:t>MAIC collated</w:t>
      </w:r>
      <w:r w:rsidRPr="005B64D9">
        <w:rPr>
          <w:sz w:val="22"/>
          <w:szCs w:val="22"/>
        </w:rPr>
        <w:t xml:space="preserve"> 7637 genes across all datasets</w:t>
      </w:r>
      <w:r>
        <w:rPr>
          <w:sz w:val="22"/>
          <w:szCs w:val="22"/>
        </w:rPr>
        <w:t xml:space="preserve"> [</w:t>
      </w:r>
      <w:r w:rsidRPr="00B822A7">
        <w:rPr>
          <w:sz w:val="22"/>
          <w:szCs w:val="22"/>
          <w:highlight w:val="red"/>
        </w:rPr>
        <w:t>Figure 3A</w:t>
      </w:r>
      <w:r>
        <w:rPr>
          <w:sz w:val="22"/>
          <w:szCs w:val="22"/>
        </w:rPr>
        <w:t xml:space="preserve">, </w:t>
      </w:r>
      <w:r w:rsidRPr="00B822A7">
        <w:rPr>
          <w:sz w:val="22"/>
          <w:szCs w:val="22"/>
          <w:highlight w:val="darkMagenta"/>
        </w:rPr>
        <w:t>Supplementary table 5</w:t>
      </w:r>
      <w:r>
        <w:rPr>
          <w:sz w:val="22"/>
          <w:szCs w:val="22"/>
        </w:rPr>
        <w:t>] and</w:t>
      </w:r>
      <w:r w:rsidRPr="005B64D9">
        <w:rPr>
          <w:sz w:val="22"/>
          <w:szCs w:val="22"/>
        </w:rPr>
        <w:t xml:space="preserve"> 3 genes were supported by evidence from &gt;=4 experimental techniques (</w:t>
      </w:r>
      <w:r w:rsidRPr="00DA5C8C">
        <w:rPr>
          <w:i/>
          <w:iCs/>
          <w:sz w:val="22"/>
          <w:szCs w:val="22"/>
        </w:rPr>
        <w:t>RAC2</w:t>
      </w:r>
      <w:r w:rsidRPr="005B64D9">
        <w:rPr>
          <w:sz w:val="22"/>
          <w:szCs w:val="22"/>
        </w:rPr>
        <w:t xml:space="preserve">, </w:t>
      </w:r>
      <w:r w:rsidRPr="00DA5C8C">
        <w:rPr>
          <w:i/>
          <w:iCs/>
          <w:sz w:val="22"/>
          <w:szCs w:val="22"/>
        </w:rPr>
        <w:t>CXCR2</w:t>
      </w:r>
      <w:r w:rsidRPr="005B64D9">
        <w:rPr>
          <w:sz w:val="22"/>
          <w:szCs w:val="22"/>
        </w:rPr>
        <w:t xml:space="preserve">, </w:t>
      </w:r>
      <w:r w:rsidRPr="00DA5C8C">
        <w:rPr>
          <w:i/>
          <w:iCs/>
          <w:sz w:val="22"/>
          <w:szCs w:val="22"/>
        </w:rPr>
        <w:t>IL1R2</w:t>
      </w:r>
      <w:r w:rsidRPr="005B64D9">
        <w:rPr>
          <w:sz w:val="22"/>
          <w:szCs w:val="22"/>
        </w:rPr>
        <w:t>).</w:t>
      </w:r>
      <w:r>
        <w:rPr>
          <w:sz w:val="22"/>
          <w:szCs w:val="22"/>
        </w:rPr>
        <w:t xml:space="preserve"> </w:t>
      </w:r>
      <w:r w:rsidRPr="005B64D9">
        <w:rPr>
          <w:sz w:val="22"/>
          <w:szCs w:val="22"/>
        </w:rPr>
        <w:t xml:space="preserve"> One in five genes were supported by more than 1 method (n = 1597, 20.91%), with 141 genes (1.85%) supported by &gt;=3 methods. </w:t>
      </w:r>
      <w:r>
        <w:rPr>
          <w:sz w:val="22"/>
          <w:szCs w:val="22"/>
        </w:rPr>
        <w:t xml:space="preserve"> Immune processes are again represented within the top ten genes (</w:t>
      </w:r>
      <w:r w:rsidRPr="007733E8">
        <w:rPr>
          <w:i/>
          <w:iCs/>
          <w:sz w:val="22"/>
          <w:szCs w:val="22"/>
        </w:rPr>
        <w:t>RAC2</w:t>
      </w:r>
      <w:r>
        <w:rPr>
          <w:sz w:val="22"/>
          <w:szCs w:val="22"/>
        </w:rPr>
        <w:t xml:space="preserve">, </w:t>
      </w:r>
      <w:r w:rsidRPr="007733E8">
        <w:rPr>
          <w:i/>
          <w:iCs/>
          <w:sz w:val="22"/>
          <w:szCs w:val="22"/>
        </w:rPr>
        <w:t>CXCR2</w:t>
      </w:r>
      <w:r>
        <w:rPr>
          <w:sz w:val="22"/>
          <w:szCs w:val="22"/>
        </w:rPr>
        <w:t xml:space="preserve">, </w:t>
      </w:r>
      <w:r w:rsidRPr="007733E8">
        <w:rPr>
          <w:i/>
          <w:iCs/>
          <w:sz w:val="22"/>
          <w:szCs w:val="22"/>
        </w:rPr>
        <w:t>IL1R2</w:t>
      </w:r>
      <w:r>
        <w:rPr>
          <w:sz w:val="22"/>
          <w:szCs w:val="22"/>
        </w:rPr>
        <w:t xml:space="preserve">, </w:t>
      </w:r>
      <w:r w:rsidRPr="007733E8">
        <w:rPr>
          <w:i/>
          <w:iCs/>
          <w:sz w:val="22"/>
          <w:szCs w:val="22"/>
        </w:rPr>
        <w:t>CCDC3</w:t>
      </w:r>
      <w:r>
        <w:rPr>
          <w:sz w:val="22"/>
          <w:szCs w:val="22"/>
        </w:rPr>
        <w:t xml:space="preserve">, </w:t>
      </w:r>
      <w:r w:rsidRPr="007733E8">
        <w:rPr>
          <w:i/>
          <w:iCs/>
          <w:sz w:val="22"/>
          <w:szCs w:val="22"/>
        </w:rPr>
        <w:t>PTGS2</w:t>
      </w:r>
      <w:r>
        <w:rPr>
          <w:sz w:val="22"/>
          <w:szCs w:val="22"/>
        </w:rPr>
        <w:t xml:space="preserve">). Interestingly, </w:t>
      </w:r>
      <w:r w:rsidRPr="007733E8">
        <w:rPr>
          <w:i/>
          <w:iCs/>
          <w:sz w:val="22"/>
          <w:szCs w:val="22"/>
        </w:rPr>
        <w:t>IL1R2</w:t>
      </w:r>
      <w:r>
        <w:rPr>
          <w:sz w:val="22"/>
          <w:szCs w:val="22"/>
        </w:rPr>
        <w:t xml:space="preserve"> is shared between the top 10 lists of both analyses. </w:t>
      </w:r>
      <w:r w:rsidRPr="005B64D9">
        <w:rPr>
          <w:sz w:val="22"/>
          <w:szCs w:val="22"/>
        </w:rPr>
        <w:t>We prioritised 1783 genes for further investigation</w:t>
      </w:r>
      <w:r>
        <w:rPr>
          <w:sz w:val="22"/>
          <w:szCs w:val="22"/>
        </w:rPr>
        <w:t xml:space="preserve"> [</w:t>
      </w:r>
      <w:r w:rsidRPr="00034A3A">
        <w:rPr>
          <w:sz w:val="22"/>
          <w:szCs w:val="22"/>
          <w:highlight w:val="darkMagenta"/>
        </w:rPr>
        <w:t>Figure 3B</w:t>
      </w:r>
      <w:r>
        <w:rPr>
          <w:sz w:val="22"/>
          <w:szCs w:val="22"/>
        </w:rPr>
        <w:t>]</w:t>
      </w:r>
      <w:r w:rsidRPr="005B64D9">
        <w:rPr>
          <w:sz w:val="22"/>
          <w:szCs w:val="22"/>
        </w:rPr>
        <w:t>.</w:t>
      </w:r>
    </w:p>
    <w:p w14:paraId="1176FE4F" w14:textId="77777777" w:rsidR="005D240B" w:rsidRPr="005B64D9" w:rsidRDefault="005D240B" w:rsidP="005D240B">
      <w:pPr>
        <w:spacing w:line="480" w:lineRule="auto"/>
        <w:jc w:val="both"/>
        <w:rPr>
          <w:b/>
          <w:bCs/>
          <w:sz w:val="22"/>
          <w:szCs w:val="22"/>
        </w:rPr>
      </w:pPr>
    </w:p>
    <w:p w14:paraId="1D06CD55" w14:textId="77777777" w:rsidR="005D240B" w:rsidRPr="005B64D9" w:rsidRDefault="005D240B" w:rsidP="005D240B">
      <w:pPr>
        <w:spacing w:line="480" w:lineRule="auto"/>
        <w:rPr>
          <w:i/>
          <w:iCs/>
          <w:sz w:val="22"/>
          <w:szCs w:val="22"/>
        </w:rPr>
      </w:pPr>
      <w:r w:rsidRPr="005B64D9">
        <w:rPr>
          <w:i/>
          <w:iCs/>
          <w:sz w:val="22"/>
          <w:szCs w:val="22"/>
        </w:rPr>
        <w:t>Rodent functional enrichment</w:t>
      </w:r>
    </w:p>
    <w:p w14:paraId="28FFE4F0" w14:textId="619E1BEA" w:rsidR="005D240B" w:rsidRPr="005B64D9" w:rsidRDefault="005D240B" w:rsidP="005D240B">
      <w:pPr>
        <w:spacing w:line="480" w:lineRule="auto"/>
        <w:jc w:val="both"/>
        <w:rPr>
          <w:sz w:val="22"/>
          <w:szCs w:val="22"/>
        </w:rPr>
      </w:pPr>
      <w:r w:rsidRPr="005B64D9">
        <w:rPr>
          <w:sz w:val="22"/>
          <w:szCs w:val="22"/>
        </w:rPr>
        <w:t>Gene ontology ORA revealed a significant overrepresentation of pathways related to myeloid cells and development of muscle tissue and extracellular matrix organisation</w:t>
      </w:r>
      <w:r w:rsidR="009B65CF">
        <w:rPr>
          <w:sz w:val="22"/>
          <w:szCs w:val="22"/>
        </w:rPr>
        <w:t xml:space="preserve"> </w:t>
      </w:r>
      <w:r w:rsidRPr="005B64D9">
        <w:rPr>
          <w:sz w:val="22"/>
          <w:szCs w:val="22"/>
        </w:rPr>
        <w:t>[</w:t>
      </w:r>
      <w:r w:rsidRPr="00034A3A">
        <w:rPr>
          <w:sz w:val="22"/>
          <w:szCs w:val="22"/>
          <w:highlight w:val="darkMagenta"/>
        </w:rPr>
        <w:t>Figure 3C</w:t>
      </w:r>
      <w:r w:rsidRPr="005B64D9">
        <w:rPr>
          <w:sz w:val="22"/>
          <w:szCs w:val="22"/>
        </w:rPr>
        <w:t xml:space="preserve">]. Regulation of T cell activation is also observed though is less prominent than seen in the human results. </w:t>
      </w:r>
      <w:r w:rsidR="000C33C9">
        <w:rPr>
          <w:sz w:val="22"/>
          <w:szCs w:val="22"/>
        </w:rPr>
        <w:t>We</w:t>
      </w:r>
      <w:r w:rsidRPr="005B64D9">
        <w:rPr>
          <w:sz w:val="22"/>
          <w:szCs w:val="22"/>
        </w:rPr>
        <w:t xml:space="preserve"> created a protein-protein interaction (PPI) network. MCL clustering identified </w:t>
      </w:r>
      <w:r>
        <w:rPr>
          <w:sz w:val="22"/>
          <w:szCs w:val="22"/>
        </w:rPr>
        <w:t>55</w:t>
      </w:r>
      <w:r w:rsidRPr="005B64D9">
        <w:rPr>
          <w:sz w:val="22"/>
          <w:szCs w:val="22"/>
        </w:rPr>
        <w:t xml:space="preserve"> clusters with &gt;=5 members</w:t>
      </w:r>
      <w:r w:rsidR="00A55110">
        <w:rPr>
          <w:sz w:val="22"/>
          <w:szCs w:val="22"/>
        </w:rPr>
        <w:t xml:space="preserve"> [</w:t>
      </w:r>
      <w:r w:rsidR="00A55110" w:rsidRPr="00CF1C78">
        <w:rPr>
          <w:sz w:val="22"/>
          <w:szCs w:val="22"/>
          <w:highlight w:val="darkMagenta"/>
        </w:rPr>
        <w:t>Suppl</w:t>
      </w:r>
      <w:r w:rsidR="00CF1C78" w:rsidRPr="00CF1C78">
        <w:rPr>
          <w:sz w:val="22"/>
          <w:szCs w:val="22"/>
          <w:highlight w:val="darkMagenta"/>
        </w:rPr>
        <w:t>e</w:t>
      </w:r>
      <w:r w:rsidR="00A55110" w:rsidRPr="00CF1C78">
        <w:rPr>
          <w:sz w:val="22"/>
          <w:szCs w:val="22"/>
          <w:highlight w:val="darkMagenta"/>
        </w:rPr>
        <w:t>mentary Figure</w:t>
      </w:r>
      <w:r w:rsidR="00A55110">
        <w:rPr>
          <w:sz w:val="22"/>
          <w:szCs w:val="22"/>
        </w:rPr>
        <w:t>]</w:t>
      </w:r>
      <w:r w:rsidRPr="005B64D9">
        <w:rPr>
          <w:sz w:val="22"/>
          <w:szCs w:val="22"/>
        </w:rPr>
        <w:t xml:space="preserve">. The 21 largest clusters contained &gt;=10 members. Among these, we found programs associated with the adaptive immune response and mitosis. We used the PPI network to identify 13 hub genes, </w:t>
      </w:r>
      <w:r w:rsidR="00A55110">
        <w:rPr>
          <w:sz w:val="22"/>
          <w:szCs w:val="22"/>
        </w:rPr>
        <w:t>including FC gamma receptors [</w:t>
      </w:r>
      <w:r w:rsidR="00A55110" w:rsidRPr="00A55110">
        <w:rPr>
          <w:i/>
          <w:iCs/>
          <w:sz w:val="22"/>
          <w:szCs w:val="22"/>
        </w:rPr>
        <w:t>FCGR1A, FCGR2A, FCGR2B</w:t>
      </w:r>
      <w:r w:rsidR="00A55110">
        <w:rPr>
          <w:sz w:val="22"/>
          <w:szCs w:val="22"/>
        </w:rPr>
        <w:t>] and lymphocyte markers [</w:t>
      </w:r>
      <w:r w:rsidR="00A55110" w:rsidRPr="00CF1C78">
        <w:rPr>
          <w:i/>
          <w:iCs/>
          <w:sz w:val="22"/>
          <w:szCs w:val="22"/>
        </w:rPr>
        <w:t>CD3E, CD2</w:t>
      </w:r>
      <w:r w:rsidR="00A55110">
        <w:rPr>
          <w:sz w:val="22"/>
          <w:szCs w:val="22"/>
        </w:rPr>
        <w:t xml:space="preserve">], </w:t>
      </w:r>
      <w:r w:rsidRPr="005B64D9">
        <w:rPr>
          <w:sz w:val="22"/>
          <w:szCs w:val="22"/>
        </w:rPr>
        <w:t>suggested as being central to the wider network</w:t>
      </w:r>
      <w:r>
        <w:rPr>
          <w:sz w:val="22"/>
          <w:szCs w:val="22"/>
        </w:rPr>
        <w:t xml:space="preserve"> [</w:t>
      </w:r>
      <w:r w:rsidRPr="00D3572D">
        <w:rPr>
          <w:i/>
          <w:iCs/>
          <w:sz w:val="22"/>
          <w:szCs w:val="22"/>
          <w:highlight w:val="darkMagenta"/>
        </w:rPr>
        <w:t>Figure 3D</w:t>
      </w:r>
      <w:r>
        <w:rPr>
          <w:sz w:val="22"/>
          <w:szCs w:val="22"/>
        </w:rPr>
        <w:t>]</w:t>
      </w:r>
      <w:r w:rsidRPr="005B64D9">
        <w:rPr>
          <w:sz w:val="22"/>
          <w:szCs w:val="22"/>
        </w:rPr>
        <w:t>.</w:t>
      </w:r>
    </w:p>
    <w:p w14:paraId="7BFE815B" w14:textId="77777777" w:rsidR="005D240B" w:rsidRPr="005B64D9" w:rsidRDefault="005D240B" w:rsidP="005D240B">
      <w:pPr>
        <w:spacing w:line="480" w:lineRule="auto"/>
        <w:jc w:val="both"/>
        <w:rPr>
          <w:sz w:val="22"/>
          <w:szCs w:val="22"/>
        </w:rPr>
      </w:pPr>
    </w:p>
    <w:p w14:paraId="6DB58CC5" w14:textId="77777777" w:rsidR="005D240B" w:rsidRPr="005B64D9" w:rsidRDefault="005D240B" w:rsidP="005D240B">
      <w:pPr>
        <w:spacing w:line="480" w:lineRule="auto"/>
        <w:jc w:val="both"/>
        <w:rPr>
          <w:i/>
          <w:iCs/>
          <w:sz w:val="22"/>
          <w:szCs w:val="22"/>
        </w:rPr>
      </w:pPr>
      <w:r>
        <w:rPr>
          <w:i/>
          <w:iCs/>
          <w:sz w:val="22"/>
          <w:szCs w:val="22"/>
        </w:rPr>
        <w:t>Comparison</w:t>
      </w:r>
      <w:r w:rsidRPr="005B64D9">
        <w:rPr>
          <w:i/>
          <w:iCs/>
          <w:sz w:val="22"/>
          <w:szCs w:val="22"/>
        </w:rPr>
        <w:t xml:space="preserve"> of human and rodent datasets</w:t>
      </w:r>
    </w:p>
    <w:p w14:paraId="68E66690" w14:textId="0BB71AC9" w:rsidR="005D240B" w:rsidRDefault="005D240B" w:rsidP="005D240B">
      <w:pPr>
        <w:spacing w:line="480" w:lineRule="auto"/>
        <w:rPr>
          <w:sz w:val="22"/>
          <w:szCs w:val="22"/>
        </w:rPr>
      </w:pPr>
      <w:r w:rsidRPr="005B64D9">
        <w:rPr>
          <w:sz w:val="22"/>
          <w:szCs w:val="22"/>
        </w:rPr>
        <w:lastRenderedPageBreak/>
        <w:t>Ontology ORA showed that while the adaptive immune signal observed</w:t>
      </w:r>
      <w:r>
        <w:rPr>
          <w:sz w:val="22"/>
          <w:szCs w:val="22"/>
        </w:rPr>
        <w:t xml:space="preserve"> in humans</w:t>
      </w:r>
      <w:r w:rsidRPr="005B64D9">
        <w:rPr>
          <w:sz w:val="22"/>
          <w:szCs w:val="22"/>
        </w:rPr>
        <w:t xml:space="preserve"> above was seen in the rodent dataset, the rodent dataset also highlights the role of the extracellular matrix and wound healing [</w:t>
      </w:r>
      <w:r w:rsidRPr="008C6988">
        <w:rPr>
          <w:sz w:val="22"/>
          <w:szCs w:val="22"/>
          <w:highlight w:val="darkMagenta"/>
        </w:rPr>
        <w:t xml:space="preserve">Figure </w:t>
      </w:r>
      <w:r w:rsidRPr="00D3572D">
        <w:rPr>
          <w:sz w:val="22"/>
          <w:szCs w:val="22"/>
          <w:highlight w:val="darkMagenta"/>
        </w:rPr>
        <w:t>4A</w:t>
      </w:r>
      <w:r w:rsidRPr="005B64D9">
        <w:rPr>
          <w:sz w:val="22"/>
          <w:szCs w:val="22"/>
        </w:rPr>
        <w:t>].</w:t>
      </w:r>
      <w:r>
        <w:rPr>
          <w:sz w:val="22"/>
          <w:szCs w:val="22"/>
        </w:rPr>
        <w:t xml:space="preserve"> </w:t>
      </w:r>
      <w:r w:rsidRPr="005B64D9">
        <w:rPr>
          <w:sz w:val="22"/>
          <w:szCs w:val="22"/>
        </w:rPr>
        <w:t>The gross overlap between the two parallel MAIC analyses carried out in this study was not shown to be significant by hypergeometric test (p&gt;0.5). However, focusing on the prioritised genes from both datasets</w:t>
      </w:r>
      <w:r w:rsidR="00E715A3">
        <w:rPr>
          <w:sz w:val="22"/>
          <w:szCs w:val="22"/>
        </w:rPr>
        <w:t xml:space="preserve"> </w:t>
      </w:r>
      <w:r w:rsidRPr="005B64D9">
        <w:rPr>
          <w:sz w:val="22"/>
          <w:szCs w:val="22"/>
        </w:rPr>
        <w:t>indicated the overlap</w:t>
      </w:r>
      <w:r>
        <w:rPr>
          <w:sz w:val="22"/>
          <w:szCs w:val="22"/>
        </w:rPr>
        <w:t xml:space="preserve"> of 163 genes [</w:t>
      </w:r>
      <w:r w:rsidRPr="008C6988">
        <w:rPr>
          <w:sz w:val="22"/>
          <w:szCs w:val="22"/>
          <w:highlight w:val="darkMagenta"/>
        </w:rPr>
        <w:t xml:space="preserve">Figure </w:t>
      </w:r>
      <w:r w:rsidRPr="00D3572D">
        <w:rPr>
          <w:sz w:val="22"/>
          <w:szCs w:val="22"/>
          <w:highlight w:val="darkMagenta"/>
        </w:rPr>
        <w:t>4B</w:t>
      </w:r>
      <w:r>
        <w:rPr>
          <w:sz w:val="22"/>
          <w:szCs w:val="22"/>
        </w:rPr>
        <w:t>]</w:t>
      </w:r>
      <w:r w:rsidRPr="005B64D9">
        <w:rPr>
          <w:sz w:val="22"/>
          <w:szCs w:val="22"/>
        </w:rPr>
        <w:t xml:space="preserve"> was significant [</w:t>
      </w:r>
      <w:r w:rsidRPr="00034A3A">
        <w:rPr>
          <w:sz w:val="22"/>
          <w:szCs w:val="22"/>
          <w:highlight w:val="darkMagenta"/>
        </w:rPr>
        <w:t>Supplementary Table 6</w:t>
      </w:r>
      <w:r w:rsidRPr="005B64D9">
        <w:rPr>
          <w:sz w:val="22"/>
          <w:szCs w:val="22"/>
        </w:rPr>
        <w:t>]</w:t>
      </w:r>
      <w:commentRangeStart w:id="2"/>
      <w:r>
        <w:rPr>
          <w:sz w:val="22"/>
          <w:szCs w:val="22"/>
        </w:rPr>
        <w:t>.</w:t>
      </w:r>
      <w:commentRangeEnd w:id="2"/>
      <w:r w:rsidR="00053511">
        <w:rPr>
          <w:rStyle w:val="CommentReference"/>
        </w:rPr>
        <w:commentReference w:id="2"/>
      </w:r>
      <w:r>
        <w:rPr>
          <w:sz w:val="22"/>
          <w:szCs w:val="22"/>
        </w:rPr>
        <w:t xml:space="preserve"> </w:t>
      </w:r>
      <w:r w:rsidR="00E715A3">
        <w:rPr>
          <w:sz w:val="22"/>
          <w:szCs w:val="22"/>
        </w:rPr>
        <w:t>The</w:t>
      </w:r>
      <w:r w:rsidR="00E715A3" w:rsidRPr="0077789B">
        <w:rPr>
          <w:sz w:val="22"/>
          <w:szCs w:val="22"/>
        </w:rPr>
        <w:t xml:space="preserve"> similarity between ranked lists</w:t>
      </w:r>
      <w:r w:rsidR="00E715A3">
        <w:rPr>
          <w:sz w:val="22"/>
          <w:szCs w:val="22"/>
        </w:rPr>
        <w:t xml:space="preserve"> occurred predominantly</w:t>
      </w:r>
      <w:r w:rsidR="00E715A3" w:rsidRPr="005B64D9">
        <w:rPr>
          <w:sz w:val="22"/>
          <w:szCs w:val="22"/>
        </w:rPr>
        <w:t xml:space="preserve"> </w:t>
      </w:r>
      <w:r w:rsidR="00E715A3">
        <w:rPr>
          <w:sz w:val="22"/>
          <w:szCs w:val="22"/>
        </w:rPr>
        <w:t>toward the top of the prioritised lists. [</w:t>
      </w:r>
      <w:r w:rsidR="00E715A3" w:rsidRPr="00E715A3">
        <w:rPr>
          <w:sz w:val="22"/>
          <w:szCs w:val="22"/>
          <w:highlight w:val="darkMagenta"/>
        </w:rPr>
        <w:t>Figure 4C</w:t>
      </w:r>
      <w:r w:rsidR="00E715A3">
        <w:rPr>
          <w:sz w:val="22"/>
          <w:szCs w:val="22"/>
        </w:rPr>
        <w:t xml:space="preserve">] </w:t>
      </w:r>
    </w:p>
    <w:p w14:paraId="503977BA" w14:textId="6CA39553" w:rsidR="00097860" w:rsidRDefault="00097860" w:rsidP="00097860">
      <w:pPr>
        <w:spacing w:line="480" w:lineRule="auto"/>
        <w:rPr>
          <w:sz w:val="22"/>
          <w:szCs w:val="22"/>
        </w:rPr>
      </w:pPr>
      <w:r>
        <w:rPr>
          <w:sz w:val="22"/>
          <w:szCs w:val="22"/>
        </w:rPr>
        <w:t>Focusing on the overlapping genes, a</w:t>
      </w:r>
      <w:r w:rsidRPr="00C2707E">
        <w:rPr>
          <w:sz w:val="22"/>
          <w:szCs w:val="22"/>
        </w:rPr>
        <w:t xml:space="preserve"> PPI network consisting of </w:t>
      </w:r>
      <w:r>
        <w:rPr>
          <w:sz w:val="22"/>
          <w:szCs w:val="22"/>
        </w:rPr>
        <w:t>2</w:t>
      </w:r>
      <w:r w:rsidRPr="00C2707E">
        <w:rPr>
          <w:sz w:val="22"/>
          <w:szCs w:val="22"/>
        </w:rPr>
        <w:t xml:space="preserve"> genes</w:t>
      </w:r>
      <w:r>
        <w:rPr>
          <w:sz w:val="22"/>
          <w:szCs w:val="22"/>
        </w:rPr>
        <w:t xml:space="preserve"> is revealed. The B cell marker </w:t>
      </w:r>
      <w:r w:rsidRPr="0025365D">
        <w:rPr>
          <w:i/>
          <w:iCs/>
          <w:sz w:val="22"/>
          <w:szCs w:val="22"/>
        </w:rPr>
        <w:t xml:space="preserve">CD27 </w:t>
      </w:r>
      <w:r>
        <w:rPr>
          <w:sz w:val="22"/>
          <w:szCs w:val="22"/>
        </w:rPr>
        <w:t xml:space="preserve">which is thought to be required for maintenance of T cell immunity </w:t>
      </w:r>
      <w:r>
        <w:rPr>
          <w:sz w:val="22"/>
          <w:szCs w:val="22"/>
        </w:rPr>
        <w:fldChar w:fldCharType="begin"/>
      </w:r>
      <w:r>
        <w:rPr>
          <w:sz w:val="22"/>
          <w:szCs w:val="22"/>
        </w:rPr>
        <w:instrText xml:space="preserve"> ADDIN ZOTERO_ITEM CSL_CITATION {"citationID":"NPiAEnWM","properties":{"formattedCitation":"(Hendriks et al., 2000)","plainCitation":"(Hendriks et al., 2000)","noteIndex":0},"citationItems":[{"id":2495,"uris":["http://zotero.org/users/14418362/items/TD833W6I"],"itemData":{"id":2495,"type":"article-journal","container-title":"Nature Immunology","DOI":"10.1038/80877","ISSN":"1529-2908, 1529-2916","issue":"5","journalAbbreviation":"Nat Immunol","language":"en","license":"http://www.springer.com/tdm","page":"433-440","source":"DOI.org (Crossref)","title":"CD27 is required for generation and long-term maintenance of T cell immunity","URL":"https://www.nature.com/articles/ni1100_433","volume":"1","author":[{"family":"Hendriks","given":"Jenny"},{"family":"Gravestein","given":"Loes A."},{"family":"Tesselaar","given":"Kiki"},{"family":"Van Lier","given":"René A. W."},{"family":"Schumacher","given":"Ton N. M."},{"family":"Borst","given":"Jannie"}],"accessed":{"date-parts":[["2025",9,4]]},"issued":{"date-parts":[["2000",11]]}}}],"schema":"https://github.com/citation-style-language/schema/raw/master/csl-citation.json"} </w:instrText>
      </w:r>
      <w:r>
        <w:rPr>
          <w:sz w:val="22"/>
          <w:szCs w:val="22"/>
        </w:rPr>
        <w:fldChar w:fldCharType="separate"/>
      </w:r>
      <w:r>
        <w:rPr>
          <w:noProof/>
          <w:sz w:val="22"/>
          <w:szCs w:val="22"/>
        </w:rPr>
        <w:t>(Hendriks et al., 2000)</w:t>
      </w:r>
      <w:r>
        <w:rPr>
          <w:sz w:val="22"/>
          <w:szCs w:val="22"/>
        </w:rPr>
        <w:fldChar w:fldCharType="end"/>
      </w:r>
      <w:r>
        <w:rPr>
          <w:sz w:val="22"/>
          <w:szCs w:val="22"/>
        </w:rPr>
        <w:t xml:space="preserve"> and the stimulatory T cell receptor </w:t>
      </w:r>
      <w:r w:rsidRPr="0025365D">
        <w:rPr>
          <w:i/>
          <w:iCs/>
          <w:sz w:val="22"/>
          <w:szCs w:val="22"/>
        </w:rPr>
        <w:t>ICOS</w:t>
      </w:r>
      <w:r>
        <w:rPr>
          <w:sz w:val="22"/>
          <w:szCs w:val="22"/>
        </w:rPr>
        <w:t xml:space="preserve">. </w:t>
      </w:r>
    </w:p>
    <w:p w14:paraId="112B3BB2" w14:textId="47B2FE4D" w:rsidR="007C3ADC" w:rsidRDefault="007C3ADC" w:rsidP="005D240B">
      <w:pPr>
        <w:spacing w:line="480" w:lineRule="auto"/>
        <w:rPr>
          <w:sz w:val="22"/>
          <w:szCs w:val="22"/>
        </w:rPr>
      </w:pPr>
    </w:p>
    <w:p w14:paraId="7C6C0E41" w14:textId="77777777" w:rsidR="001B5DBE" w:rsidRDefault="001B5DBE" w:rsidP="005D240B">
      <w:pPr>
        <w:spacing w:line="480" w:lineRule="auto"/>
        <w:rPr>
          <w:sz w:val="22"/>
          <w:szCs w:val="22"/>
        </w:rPr>
      </w:pPr>
    </w:p>
    <w:p w14:paraId="69F98C09" w14:textId="77777777" w:rsidR="005D240B" w:rsidRPr="005B64D9" w:rsidRDefault="005D240B" w:rsidP="005D240B">
      <w:pPr>
        <w:spacing w:line="480" w:lineRule="auto"/>
        <w:rPr>
          <w:sz w:val="22"/>
          <w:szCs w:val="22"/>
        </w:rPr>
      </w:pPr>
    </w:p>
    <w:p w14:paraId="257E1A6D" w14:textId="77777777" w:rsidR="005D240B" w:rsidRPr="005B64D9" w:rsidRDefault="005D240B" w:rsidP="005D240B">
      <w:pPr>
        <w:spacing w:line="480" w:lineRule="auto"/>
        <w:rPr>
          <w:b/>
          <w:bCs/>
          <w:sz w:val="22"/>
          <w:szCs w:val="22"/>
        </w:rPr>
      </w:pPr>
      <w:r w:rsidRPr="005B64D9">
        <w:rPr>
          <w:sz w:val="22"/>
          <w:szCs w:val="22"/>
        </w:rPr>
        <w:br w:type="column"/>
      </w:r>
      <w:r w:rsidRPr="005B64D9">
        <w:rPr>
          <w:b/>
          <w:bCs/>
          <w:sz w:val="22"/>
          <w:szCs w:val="22"/>
        </w:rPr>
        <w:lastRenderedPageBreak/>
        <w:t>Discussion</w:t>
      </w:r>
    </w:p>
    <w:p w14:paraId="71C88350" w14:textId="50726DB6" w:rsidR="005D240B" w:rsidRDefault="005D240B" w:rsidP="005D240B">
      <w:pPr>
        <w:spacing w:line="480" w:lineRule="auto"/>
        <w:rPr>
          <w:sz w:val="22"/>
          <w:szCs w:val="22"/>
        </w:rPr>
      </w:pPr>
      <w:r w:rsidRPr="000E0505">
        <w:rPr>
          <w:sz w:val="22"/>
          <w:szCs w:val="22"/>
        </w:rPr>
        <w:t>The clinical and biological heterogeneity of BPD presents challenges for identifying the molecular processes that drive progression of the disease. To address this, we applied a</w:t>
      </w:r>
      <w:r>
        <w:rPr>
          <w:sz w:val="22"/>
          <w:szCs w:val="22"/>
        </w:rPr>
        <w:t xml:space="preserve"> validated</w:t>
      </w:r>
      <w:r w:rsidRPr="000E0505">
        <w:rPr>
          <w:i/>
          <w:iCs/>
          <w:sz w:val="22"/>
          <w:szCs w:val="22"/>
        </w:rPr>
        <w:t xml:space="preserve"> in </w:t>
      </w:r>
      <w:r w:rsidRPr="005A5A49">
        <w:rPr>
          <w:i/>
          <w:iCs/>
          <w:sz w:val="22"/>
          <w:szCs w:val="22"/>
        </w:rPr>
        <w:t xml:space="preserve">silico </w:t>
      </w:r>
      <w:r w:rsidRPr="005A5A49">
        <w:rPr>
          <w:sz w:val="22"/>
          <w:szCs w:val="22"/>
        </w:rPr>
        <w:t xml:space="preserve">approach to systematically integrate and prioritise existing genome-scale BPD datasets from both human and rodent studies.  </w:t>
      </w:r>
      <w:r w:rsidR="006030CD">
        <w:rPr>
          <w:sz w:val="22"/>
          <w:szCs w:val="22"/>
        </w:rPr>
        <w:t>Further to this, we</w:t>
      </w:r>
      <w:r w:rsidRPr="005A5A49">
        <w:rPr>
          <w:sz w:val="22"/>
          <w:szCs w:val="22"/>
        </w:rPr>
        <w:t xml:space="preserve"> compared our</w:t>
      </w:r>
      <w:r w:rsidR="006030CD">
        <w:rPr>
          <w:sz w:val="22"/>
          <w:szCs w:val="22"/>
        </w:rPr>
        <w:t xml:space="preserve"> human BPD MAIC results</w:t>
      </w:r>
      <w:r w:rsidRPr="005A5A49">
        <w:rPr>
          <w:sz w:val="22"/>
          <w:szCs w:val="22"/>
        </w:rPr>
        <w:t xml:space="preserve"> to</w:t>
      </w:r>
      <w:r w:rsidR="00F76418">
        <w:rPr>
          <w:sz w:val="22"/>
          <w:szCs w:val="22"/>
        </w:rPr>
        <w:t xml:space="preserve"> </w:t>
      </w:r>
      <w:r w:rsidRPr="005A5A49">
        <w:rPr>
          <w:sz w:val="22"/>
          <w:szCs w:val="22"/>
        </w:rPr>
        <w:t xml:space="preserve">previously generated similar output for ARDS generated within our lab. </w:t>
      </w:r>
    </w:p>
    <w:p w14:paraId="66C7A733" w14:textId="2DEC559F" w:rsidR="005400FE" w:rsidRDefault="001E7CF0" w:rsidP="00456715">
      <w:pPr>
        <w:spacing w:line="480" w:lineRule="auto"/>
        <w:rPr>
          <w:sz w:val="22"/>
          <w:szCs w:val="22"/>
        </w:rPr>
      </w:pPr>
      <w:r>
        <w:rPr>
          <w:sz w:val="22"/>
          <w:szCs w:val="22"/>
        </w:rPr>
        <w:t>Processes associated with lymphocytic cell development and activation are strongly represented throughout our results.</w:t>
      </w:r>
      <w:r w:rsidR="00D47C81">
        <w:rPr>
          <w:sz w:val="22"/>
          <w:szCs w:val="22"/>
        </w:rPr>
        <w:t xml:space="preserve"> </w:t>
      </w:r>
      <w:r>
        <w:rPr>
          <w:sz w:val="22"/>
          <w:szCs w:val="22"/>
        </w:rPr>
        <w:t xml:space="preserve"> </w:t>
      </w:r>
      <w:r w:rsidR="00C817ED" w:rsidRPr="005A5A49">
        <w:rPr>
          <w:rFonts w:cs="Calibri"/>
          <w:color w:val="000000" w:themeColor="text1"/>
          <w:sz w:val="22"/>
          <w:szCs w:val="22"/>
        </w:rPr>
        <w:t xml:space="preserve">Our findings prioritise specific elements of the </w:t>
      </w:r>
      <w:r w:rsidR="00C817ED">
        <w:rPr>
          <w:rFonts w:cs="Calibri"/>
          <w:color w:val="000000" w:themeColor="text1"/>
          <w:sz w:val="22"/>
          <w:szCs w:val="22"/>
        </w:rPr>
        <w:t>T cell</w:t>
      </w:r>
      <w:r w:rsidR="00C817ED" w:rsidRPr="005A5A49">
        <w:rPr>
          <w:rFonts w:cs="Calibri"/>
          <w:color w:val="000000" w:themeColor="text1"/>
          <w:sz w:val="22"/>
          <w:szCs w:val="22"/>
        </w:rPr>
        <w:t xml:space="preserve"> immune response</w:t>
      </w:r>
      <w:r w:rsidR="00C817ED">
        <w:rPr>
          <w:rFonts w:cs="Calibri"/>
          <w:color w:val="000000" w:themeColor="text1"/>
          <w:sz w:val="22"/>
          <w:szCs w:val="22"/>
        </w:rPr>
        <w:t>, in</w:t>
      </w:r>
      <w:r w:rsidR="00C817ED" w:rsidRPr="005A5A49">
        <w:rPr>
          <w:rFonts w:cs="Calibri"/>
          <w:color w:val="000000" w:themeColor="text1"/>
          <w:sz w:val="22"/>
          <w:szCs w:val="22"/>
        </w:rPr>
        <w:t xml:space="preserve"> particular development and adhesion.</w:t>
      </w:r>
      <w:r w:rsidR="00C817ED">
        <w:rPr>
          <w:rFonts w:cs="Calibri"/>
          <w:color w:val="000000" w:themeColor="text1"/>
          <w:sz w:val="22"/>
          <w:szCs w:val="22"/>
        </w:rPr>
        <w:t xml:space="preserve"> This is not without foundation within the literature.  A recent study of potential transcriptomic endotypes in BPD focused on the </w:t>
      </w:r>
      <w:r w:rsidR="00C817ED" w:rsidRPr="00AB2D4D">
        <w:rPr>
          <w:rFonts w:cs="Calibri"/>
          <w:color w:val="000000" w:themeColor="text1"/>
          <w:sz w:val="22"/>
          <w:szCs w:val="22"/>
        </w:rPr>
        <w:t>Pietrzyk</w:t>
      </w:r>
      <w:r w:rsidR="00C817ED">
        <w:rPr>
          <w:rFonts w:cs="Calibri"/>
          <w:color w:val="000000" w:themeColor="text1"/>
          <w:sz w:val="22"/>
          <w:szCs w:val="22"/>
        </w:rPr>
        <w:t xml:space="preserve"> dataset included in our analysis.</w:t>
      </w:r>
      <w:r w:rsidR="00C817ED" w:rsidRPr="00EA1A53">
        <w:rPr>
          <w:rFonts w:cs="Calibri"/>
          <w:color w:val="000000" w:themeColor="text1"/>
          <w:sz w:val="22"/>
          <w:szCs w:val="22"/>
        </w:rPr>
        <w:fldChar w:fldCharType="begin"/>
      </w:r>
      <w:r w:rsidR="00C817ED" w:rsidRPr="00EA1A53">
        <w:rPr>
          <w:rFonts w:cs="Calibri"/>
          <w:color w:val="000000" w:themeColor="text1"/>
          <w:sz w:val="22"/>
          <w:szCs w:val="22"/>
        </w:rPr>
        <w:instrText xml:space="preserve"> ADDIN ZOTERO_ITEM CSL_CITATION {"citationID":"m8civNmW","properties":{"formattedCitation":"(Moreira et al., 2023; Pietrzyk et al., 2013)","plainCitation":"(Moreira et al., 2023; Pietrzyk et al., 2013)","noteIndex":0},"citationItems":[{"id":1738,"uris":["http://zotero.org/users/14418362/items/4FM3ID98"],"itemData":{"id":1738,"type":"article-journal","abstract":"IMPACT: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00C817ED" w:rsidRPr="00EA1A53">
        <w:rPr>
          <w:rFonts w:cs="Calibri"/>
          <w:color w:val="000000" w:themeColor="text1"/>
          <w:sz w:val="22"/>
          <w:szCs w:val="22"/>
        </w:rPr>
        <w:fldChar w:fldCharType="separate"/>
      </w:r>
      <w:r w:rsidR="00C817ED" w:rsidRPr="00EA1A53">
        <w:rPr>
          <w:rFonts w:cs="Calibri"/>
          <w:noProof/>
          <w:color w:val="000000" w:themeColor="text1"/>
          <w:sz w:val="22"/>
          <w:szCs w:val="22"/>
        </w:rPr>
        <w:t>(Moreira et al., 2023; Pietrzyk et al., 2013)</w:t>
      </w:r>
      <w:r w:rsidR="00C817ED" w:rsidRPr="00EA1A53">
        <w:rPr>
          <w:rFonts w:cs="Calibri"/>
          <w:color w:val="000000" w:themeColor="text1"/>
          <w:sz w:val="22"/>
          <w:szCs w:val="22"/>
        </w:rPr>
        <w:fldChar w:fldCharType="end"/>
      </w:r>
      <w:r w:rsidR="00C817ED" w:rsidRPr="00EA1A53">
        <w:rPr>
          <w:rFonts w:cs="Calibri"/>
          <w:color w:val="000000" w:themeColor="text1"/>
          <w:sz w:val="22"/>
          <w:szCs w:val="22"/>
        </w:rPr>
        <w:t xml:space="preserve"> and identified 4 potential endotypes underlying BPD progression. T helper 17 (Th17) differentiation </w:t>
      </w:r>
      <w:r w:rsidR="00C817ED" w:rsidRPr="00EA1A53">
        <w:rPr>
          <w:sz w:val="22"/>
          <w:szCs w:val="22"/>
        </w:rPr>
        <w:t>emerged as the most significant pathway distinguishing the BPD endotypes.</w:t>
      </w:r>
      <w:r w:rsidR="00C817ED">
        <w:rPr>
          <w:rFonts w:cs="Calibri"/>
          <w:color w:val="000000" w:themeColor="text1"/>
          <w:sz w:val="22"/>
          <w:szCs w:val="22"/>
        </w:rPr>
        <w:t xml:space="preserve">  </w:t>
      </w:r>
      <w:r w:rsidR="00C817ED">
        <w:rPr>
          <w:sz w:val="22"/>
          <w:szCs w:val="22"/>
        </w:rPr>
        <w:t>CD4+ T-cells were shown to be reduced in infants who develop BPD.</w:t>
      </w:r>
      <w:r w:rsidR="00C817ED">
        <w:rPr>
          <w:sz w:val="22"/>
          <w:szCs w:val="22"/>
        </w:rPr>
        <w:fldChar w:fldCharType="begin"/>
      </w:r>
      <w:r w:rsidR="00C817ED">
        <w:rPr>
          <w:sz w:val="22"/>
          <w:szCs w:val="22"/>
        </w:rPr>
        <w:instrText xml:space="preserve"> ADDIN ZOTERO_ITEM CSL_CITATION {"citationID":"xkktLkc9","properties":{"formattedCitation":"(\\uc0\\u8216{}Lymphocyte Subpopulations in Bronchopulmonary Dysplasia\\uc0\\u8217{}, 2003)","plainCitation":"(‘Lymphocyte Subpopulations in Bronchopulmonary Dysplasia’, 2003)","noteIndex":0},"citationItems":[{"id":2504,"uris":["http://zotero.org/users/14418362/items/BGIG42DF"],"itemData":{"id":2504,"type":"article-journal","container-title":"American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00C817ED">
        <w:rPr>
          <w:sz w:val="22"/>
          <w:szCs w:val="22"/>
        </w:rPr>
        <w:fldChar w:fldCharType="separate"/>
      </w:r>
      <w:r w:rsidR="00C817ED" w:rsidRPr="00C817ED">
        <w:rPr>
          <w:rFonts w:ascii="Aptos" w:cs="Times New Roman"/>
          <w:sz w:val="22"/>
        </w:rPr>
        <w:t>(‘Lymphocyte Subpopulations in Bronchopulmonary Dysplasia’, 2003)</w:t>
      </w:r>
      <w:r w:rsidR="00C817ED">
        <w:rPr>
          <w:sz w:val="22"/>
          <w:szCs w:val="22"/>
        </w:rPr>
        <w:fldChar w:fldCharType="end"/>
      </w:r>
      <w:r w:rsidR="00C817ED">
        <w:rPr>
          <w:sz w:val="22"/>
          <w:szCs w:val="22"/>
        </w:rPr>
        <w:t xml:space="preserve">  While, a lower CD4/CD8 ratio</w:t>
      </w:r>
      <w:r w:rsidR="00C817ED" w:rsidRPr="005A5A49">
        <w:rPr>
          <w:sz w:val="22"/>
          <w:szCs w:val="22"/>
        </w:rPr>
        <w:t xml:space="preserve"> </w:t>
      </w:r>
      <w:r w:rsidR="00C817ED">
        <w:rPr>
          <w:sz w:val="22"/>
          <w:szCs w:val="22"/>
        </w:rPr>
        <w:t>has been observed in adults with a history of BPD.</w:t>
      </w:r>
      <w:r w:rsidR="00C817ED">
        <w:rPr>
          <w:sz w:val="22"/>
          <w:szCs w:val="22"/>
        </w:rPr>
        <w:fldChar w:fldCharType="begin"/>
      </w:r>
      <w:r w:rsidR="00C817ED">
        <w:rPr>
          <w:sz w:val="22"/>
          <w:szCs w:val="22"/>
        </w:rPr>
        <w:instrText xml:space="preserve"> ADDIN ZOTERO_ITEM CSL_CITATION {"citationID":"PD1cnCT2","properties":{"formattedCitation":"(Um-Bergstr\\uc0\\u246{}m et al., 2022)","plainCitation":"(Um-Bergström et al., 2022)","noteIndex":0},"citationItems":[{"id":2271,"uris":["http://zotero.org/users/14418362/items/EGCZQ2BF"],"itemData":{"id":2271,"type":"article-journal","abstract":"Objectives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00C817ED">
        <w:rPr>
          <w:sz w:val="22"/>
          <w:szCs w:val="22"/>
        </w:rPr>
        <w:fldChar w:fldCharType="separate"/>
      </w:r>
      <w:r w:rsidR="00C817ED" w:rsidRPr="005D240B">
        <w:rPr>
          <w:rFonts w:ascii="Aptos" w:cs="Times New Roman"/>
          <w:sz w:val="22"/>
        </w:rPr>
        <w:t>(Um-Bergström et al., 2022)</w:t>
      </w:r>
      <w:r w:rsidR="00C817ED">
        <w:rPr>
          <w:sz w:val="22"/>
          <w:szCs w:val="22"/>
        </w:rPr>
        <w:fldChar w:fldCharType="end"/>
      </w:r>
      <w:r w:rsidR="00C817ED">
        <w:rPr>
          <w:sz w:val="22"/>
          <w:szCs w:val="22"/>
        </w:rPr>
        <w:t xml:space="preserve"> These taken together suggest a central role for lymphoid cells in the progression </w:t>
      </w:r>
      <w:r w:rsidR="009A3070">
        <w:rPr>
          <w:sz w:val="22"/>
          <w:szCs w:val="22"/>
        </w:rPr>
        <w:t xml:space="preserve">and </w:t>
      </w:r>
      <w:r w:rsidR="00C817ED">
        <w:rPr>
          <w:sz w:val="22"/>
          <w:szCs w:val="22"/>
        </w:rPr>
        <w:t>of BPD</w:t>
      </w:r>
      <w:r w:rsidR="009A3070">
        <w:rPr>
          <w:sz w:val="22"/>
          <w:szCs w:val="22"/>
        </w:rPr>
        <w:t>.</w:t>
      </w:r>
    </w:p>
    <w:p w14:paraId="10DAF0C5" w14:textId="77777777" w:rsidR="00502716" w:rsidRDefault="00502716" w:rsidP="00456715">
      <w:pPr>
        <w:spacing w:line="480" w:lineRule="auto"/>
        <w:rPr>
          <w:sz w:val="22"/>
          <w:szCs w:val="22"/>
        </w:rPr>
      </w:pPr>
    </w:p>
    <w:p w14:paraId="4CD0BDE6" w14:textId="39A22A65" w:rsidR="005400FE" w:rsidRDefault="00502716" w:rsidP="00D47C81">
      <w:pPr>
        <w:spacing w:line="480" w:lineRule="auto"/>
        <w:rPr>
          <w:sz w:val="22"/>
          <w:szCs w:val="22"/>
        </w:rPr>
      </w:pPr>
      <w:r>
        <w:rPr>
          <w:sz w:val="22"/>
          <w:szCs w:val="22"/>
        </w:rPr>
        <w:t>The</w:t>
      </w:r>
      <w:r w:rsidR="00083898">
        <w:rPr>
          <w:sz w:val="22"/>
          <w:szCs w:val="22"/>
        </w:rPr>
        <w:t xml:space="preserve"> top hit </w:t>
      </w:r>
      <w:r w:rsidR="00D47C81">
        <w:rPr>
          <w:sz w:val="22"/>
          <w:szCs w:val="22"/>
        </w:rPr>
        <w:t>in the</w:t>
      </w:r>
      <w:r w:rsidR="00083898">
        <w:rPr>
          <w:sz w:val="22"/>
          <w:szCs w:val="22"/>
        </w:rPr>
        <w:t xml:space="preserve"> human</w:t>
      </w:r>
      <w:r w:rsidR="00D47C81">
        <w:rPr>
          <w:sz w:val="22"/>
          <w:szCs w:val="22"/>
        </w:rPr>
        <w:t xml:space="preserve"> dataset </w:t>
      </w:r>
      <w:r w:rsidR="00083898">
        <w:rPr>
          <w:sz w:val="22"/>
          <w:szCs w:val="22"/>
        </w:rPr>
        <w:t>is Ras guanyl-releasing protein 3, RASGRP3, a</w:t>
      </w:r>
      <w:r w:rsidR="00456715">
        <w:rPr>
          <w:sz w:val="22"/>
          <w:szCs w:val="22"/>
        </w:rPr>
        <w:t xml:space="preserve"> guanyl nucleotide exchange factor</w:t>
      </w:r>
      <w:r>
        <w:rPr>
          <w:sz w:val="22"/>
          <w:szCs w:val="22"/>
        </w:rPr>
        <w:t xml:space="preserve"> has been shown to</w:t>
      </w:r>
      <w:r w:rsidR="00456715">
        <w:rPr>
          <w:sz w:val="22"/>
          <w:szCs w:val="22"/>
        </w:rPr>
        <w:t xml:space="preserve"> act</w:t>
      </w:r>
      <w:r>
        <w:rPr>
          <w:sz w:val="22"/>
          <w:szCs w:val="22"/>
        </w:rPr>
        <w:t xml:space="preserve"> </w:t>
      </w:r>
      <w:r w:rsidR="00456715">
        <w:rPr>
          <w:sz w:val="22"/>
          <w:szCs w:val="22"/>
        </w:rPr>
        <w:t>downstream of the B-Cell Receptor to activate RAS and RAP1,</w:t>
      </w:r>
      <w:r w:rsidR="00456715">
        <w:rPr>
          <w:sz w:val="22"/>
          <w:szCs w:val="22"/>
        </w:rPr>
        <w:fldChar w:fldCharType="begin"/>
      </w:r>
      <w:r w:rsidR="00456715">
        <w:rPr>
          <w:sz w:val="22"/>
          <w:szCs w:val="22"/>
        </w:rPr>
        <w:instrText xml:space="preserve"> ADDIN ZOTERO_ITEM CSL_CITATION {"citationID":"GzEPn1bW","properties":{"formattedCitation":"(Rebhun et al., 2000)","plainCitation":"(Rebhun et al., 2000)","noteIndex":0},"citationItems":[{"id":2498,"uris":["http://zotero.org/users/14418362/items/7E3X9VWE"],"itemData":{"id":2498,"type":"article-journal","container-title":"Journal of Biological Chemistry","DOI":"10.1074/jbc.M005327200","ISSN":"00219258","issue":"45","journalAbbreviation":"Journal of Biological Chemistry","language":"en","license":"https://www.elsevier.com/tdm/userlicense/1.0/","page":"34901-34908","source":"DOI.org (Crossref)","title":"Identification of Guanine Nucleotide Exchange Factors (GEFs) for the Rap1 GTPase","URL":"https://linkinghub.elsevier.com/retrieve/pii/S0021925820887808","volume":"275","author":[{"family":"Rebhun","given":"John F."},{"family":"Castro","given":"Ariel F."},{"family":"Quilliam","given":"Lawrence A."}],"accessed":{"date-parts":[["2025",9,8]]},"issued":{"date-parts":[["2000",11]]}}}],"schema":"https://github.com/citation-style-language/schema/raw/master/csl-citation.json"} </w:instrText>
      </w:r>
      <w:r w:rsidR="00456715">
        <w:rPr>
          <w:sz w:val="22"/>
          <w:szCs w:val="22"/>
        </w:rPr>
        <w:fldChar w:fldCharType="separate"/>
      </w:r>
      <w:r w:rsidR="00456715">
        <w:rPr>
          <w:noProof/>
          <w:sz w:val="22"/>
          <w:szCs w:val="22"/>
        </w:rPr>
        <w:t>(Rebhun et al., 2000)</w:t>
      </w:r>
      <w:r w:rsidR="00456715">
        <w:rPr>
          <w:sz w:val="22"/>
          <w:szCs w:val="22"/>
        </w:rPr>
        <w:fldChar w:fldCharType="end"/>
      </w:r>
      <w:r w:rsidR="00456715">
        <w:rPr>
          <w:sz w:val="22"/>
          <w:szCs w:val="22"/>
        </w:rPr>
        <w:t xml:space="preserve"> playing an analogous role to its family member RASGRP1 (rank = 75) which enables positive selection of thymocytes and activation of T cells. </w:t>
      </w:r>
      <w:r w:rsidR="00456715">
        <w:rPr>
          <w:sz w:val="22"/>
          <w:szCs w:val="22"/>
        </w:rPr>
        <w:fldChar w:fldCharType="begin"/>
      </w:r>
      <w:r w:rsidR="00456715">
        <w:rPr>
          <w:sz w:val="22"/>
          <w:szCs w:val="22"/>
        </w:rPr>
        <w:instrText xml:space="preserve"> ADDIN ZOTERO_ITEM CSL_CITATION {"citationID":"IaKaBSx5","properties":{"formattedCitation":"(Fuller et al., 2012)","plainCitation":"(Fuller et al., 2012)","noteIndex":0},"citationItems":[{"id":2496,"uris":["http://zotero.org/users/14418362/items/LTJUA7IP"],"itemData":{"id":2496,"type":"article-journal","container-title":"PLoS ONE","DOI":"10.1371/journal.pone.0038796","ISSN":"1932-6203","issue":"6","journalAbbreviation":"PLoS ONE","language":"en","page":"e38796","source":"DOI.org (Crossref)","title":"Regulation of RasGRP1 Function in T Cell Development and Activation by Its Unique Tail Domain","URL":"https://dx.plos.org/10.1371/journal.pone.0038796","volume":"7","author":[{"family":"Fuller","given":"Deirdre M."},{"family":"Zhu","given":"Minghua"},{"family":"Song","given":"Xiaohua"},{"family":"Ou-Yang","given":"Chih-wen"},{"family":"Sullivan","given":"Sarah A."},{"family":"Stone","given":"James C."},{"family":"Zhang","given":"Weiguo"}],"editor":[{"family":"Boussiotis","given":"Vassiliki A."}],"accessed":{"date-parts":[["2025",9,8]]},"issued":{"date-parts":[["2012",6,12]]}}}],"schema":"https://github.com/citation-style-language/schema/raw/master/csl-citation.json"} </w:instrText>
      </w:r>
      <w:r w:rsidR="00456715">
        <w:rPr>
          <w:sz w:val="22"/>
          <w:szCs w:val="22"/>
        </w:rPr>
        <w:fldChar w:fldCharType="separate"/>
      </w:r>
      <w:r w:rsidR="00456715">
        <w:rPr>
          <w:noProof/>
          <w:sz w:val="22"/>
          <w:szCs w:val="22"/>
        </w:rPr>
        <w:t>(Fuller et al., 2012)</w:t>
      </w:r>
      <w:r w:rsidR="00456715">
        <w:rPr>
          <w:sz w:val="22"/>
          <w:szCs w:val="22"/>
        </w:rPr>
        <w:fldChar w:fldCharType="end"/>
      </w:r>
      <w:r w:rsidR="00D47C81">
        <w:rPr>
          <w:sz w:val="22"/>
          <w:szCs w:val="22"/>
        </w:rPr>
        <w:t xml:space="preserve"> </w:t>
      </w:r>
    </w:p>
    <w:p w14:paraId="0CBE6806" w14:textId="77777777" w:rsidR="00C817ED" w:rsidRDefault="00C817ED" w:rsidP="00D47C81">
      <w:pPr>
        <w:spacing w:line="480" w:lineRule="auto"/>
        <w:rPr>
          <w:sz w:val="22"/>
          <w:szCs w:val="22"/>
        </w:rPr>
      </w:pPr>
    </w:p>
    <w:p w14:paraId="33A382F5" w14:textId="6149E579" w:rsidR="007816AD" w:rsidRDefault="007816AD" w:rsidP="005D240B">
      <w:pPr>
        <w:spacing w:line="480" w:lineRule="auto"/>
        <w:rPr>
          <w:sz w:val="22"/>
          <w:szCs w:val="22"/>
        </w:rPr>
      </w:pPr>
      <w:r>
        <w:rPr>
          <w:sz w:val="22"/>
          <w:szCs w:val="22"/>
        </w:rPr>
        <w:t>ARDS results</w:t>
      </w:r>
    </w:p>
    <w:p w14:paraId="7681286D" w14:textId="7BF404BC" w:rsidR="00D76E64" w:rsidRDefault="00D76E64" w:rsidP="00D76E64">
      <w:pPr>
        <w:spacing w:line="480" w:lineRule="auto"/>
        <w:ind w:left="720"/>
        <w:rPr>
          <w:sz w:val="22"/>
          <w:szCs w:val="22"/>
        </w:rPr>
      </w:pPr>
      <w:r>
        <w:rPr>
          <w:sz w:val="22"/>
          <w:szCs w:val="22"/>
        </w:rPr>
        <w:t>IL8 signalling</w:t>
      </w:r>
    </w:p>
    <w:p w14:paraId="160DD46B" w14:textId="6860D770" w:rsidR="00D76E64" w:rsidRDefault="00D76E64" w:rsidP="00D76E64">
      <w:pPr>
        <w:spacing w:line="480" w:lineRule="auto"/>
        <w:ind w:left="720"/>
        <w:rPr>
          <w:sz w:val="22"/>
          <w:szCs w:val="22"/>
        </w:rPr>
      </w:pPr>
      <w:r>
        <w:rPr>
          <w:sz w:val="22"/>
          <w:szCs w:val="22"/>
        </w:rPr>
        <w:lastRenderedPageBreak/>
        <w:t>Lymphocytes</w:t>
      </w:r>
    </w:p>
    <w:p w14:paraId="2E1426A7" w14:textId="494BFFAD" w:rsidR="007816AD" w:rsidRDefault="00B67F7B" w:rsidP="007C3ADC">
      <w:pPr>
        <w:spacing w:line="480" w:lineRule="auto"/>
        <w:ind w:left="720"/>
        <w:rPr>
          <w:sz w:val="22"/>
          <w:szCs w:val="22"/>
        </w:rPr>
      </w:pPr>
      <w:r>
        <w:rPr>
          <w:sz w:val="22"/>
          <w:szCs w:val="22"/>
        </w:rPr>
        <w:t>We don’t see the cholesterol pathways.</w:t>
      </w:r>
    </w:p>
    <w:p w14:paraId="0049361A" w14:textId="77777777" w:rsidR="009A3070" w:rsidRDefault="009A3070" w:rsidP="007C3ADC">
      <w:pPr>
        <w:spacing w:line="480" w:lineRule="auto"/>
        <w:ind w:left="720"/>
        <w:rPr>
          <w:sz w:val="22"/>
          <w:szCs w:val="22"/>
        </w:rPr>
      </w:pPr>
    </w:p>
    <w:p w14:paraId="135568CB" w14:textId="2B6696A3" w:rsidR="001E5E56" w:rsidRPr="009A3070" w:rsidRDefault="001E5E56" w:rsidP="001E5E56">
      <w:pPr>
        <w:spacing w:line="480" w:lineRule="auto"/>
        <w:jc w:val="both"/>
        <w:rPr>
          <w:i/>
          <w:iCs/>
          <w:sz w:val="22"/>
          <w:szCs w:val="22"/>
        </w:rPr>
      </w:pPr>
      <w:r w:rsidRPr="009A3070">
        <w:rPr>
          <w:i/>
          <w:iCs/>
          <w:sz w:val="22"/>
          <w:szCs w:val="22"/>
        </w:rPr>
        <w:t>Comparison of the Human and Rodent MAIC Results</w:t>
      </w:r>
    </w:p>
    <w:p w14:paraId="46B7BA33" w14:textId="77777777" w:rsidR="001E5E56" w:rsidRDefault="001E5E56" w:rsidP="001E5E56">
      <w:pPr>
        <w:spacing w:line="480" w:lineRule="auto"/>
        <w:jc w:val="both"/>
        <w:rPr>
          <w:sz w:val="22"/>
          <w:szCs w:val="22"/>
        </w:rPr>
      </w:pPr>
    </w:p>
    <w:p w14:paraId="09741762" w14:textId="70112C43" w:rsidR="001E5E56" w:rsidRPr="001E5E56" w:rsidRDefault="001E5E56" w:rsidP="001E5E56">
      <w:pPr>
        <w:spacing w:line="480" w:lineRule="auto"/>
        <w:jc w:val="both"/>
        <w:rPr>
          <w:sz w:val="22"/>
          <w:szCs w:val="22"/>
        </w:rPr>
      </w:pPr>
      <w:r w:rsidRPr="001E5E56">
        <w:rPr>
          <w:sz w:val="22"/>
          <w:szCs w:val="22"/>
        </w:rPr>
        <w:t>The primary goal of carrying out parallel MAIC analyses between human and rodent BPD studies was to differentiate species-specific responses to injury, from core conserved disease mechanisms.</w:t>
      </w:r>
      <w:r w:rsidR="009A3070">
        <w:rPr>
          <w:sz w:val="22"/>
          <w:szCs w:val="22"/>
        </w:rPr>
        <w:t xml:space="preserve"> </w:t>
      </w:r>
      <w:r w:rsidRPr="001E5E56">
        <w:rPr>
          <w:sz w:val="22"/>
          <w:szCs w:val="22"/>
        </w:rPr>
        <w:t>The most notable divergence in the results from this is the functional profile of the respective datasets. While the human data strongly emphasised the role of the adaptive immune system, the rodent analysis showed a more pronounced focus on pathways associated with extracellular matrix (ECM) remodelling, and wound healing (Figure 4A). Th</w:t>
      </w:r>
      <w:r w:rsidR="009A3070">
        <w:rPr>
          <w:sz w:val="22"/>
          <w:szCs w:val="22"/>
        </w:rPr>
        <w:t xml:space="preserve">e cause of this </w:t>
      </w:r>
      <w:r w:rsidRPr="001E5E56">
        <w:rPr>
          <w:sz w:val="22"/>
          <w:szCs w:val="22"/>
        </w:rPr>
        <w:t>di</w:t>
      </w:r>
      <w:r w:rsidR="009A3070">
        <w:rPr>
          <w:sz w:val="22"/>
          <w:szCs w:val="22"/>
        </w:rPr>
        <w:t>vergence</w:t>
      </w:r>
      <w:r w:rsidRPr="001E5E56">
        <w:rPr>
          <w:sz w:val="22"/>
          <w:szCs w:val="22"/>
        </w:rPr>
        <w:t xml:space="preserve"> is </w:t>
      </w:r>
      <w:proofErr w:type="gramStart"/>
      <w:r w:rsidRPr="001E5E56">
        <w:rPr>
          <w:sz w:val="22"/>
          <w:szCs w:val="22"/>
        </w:rPr>
        <w:t>multifactorial, but</w:t>
      </w:r>
      <w:proofErr w:type="gramEnd"/>
      <w:r w:rsidRPr="001E5E56">
        <w:rPr>
          <w:sz w:val="22"/>
          <w:szCs w:val="22"/>
        </w:rPr>
        <w:t xml:space="preserve"> </w:t>
      </w:r>
      <w:r w:rsidR="009A3070">
        <w:rPr>
          <w:sz w:val="22"/>
          <w:szCs w:val="22"/>
        </w:rPr>
        <w:t xml:space="preserve">may be driven </w:t>
      </w:r>
      <w:proofErr w:type="gramStart"/>
      <w:r w:rsidR="009A3070">
        <w:rPr>
          <w:sz w:val="22"/>
          <w:szCs w:val="22"/>
        </w:rPr>
        <w:t>partly</w:t>
      </w:r>
      <w:r w:rsidRPr="001E5E56">
        <w:rPr>
          <w:sz w:val="22"/>
          <w:szCs w:val="22"/>
        </w:rPr>
        <w:t xml:space="preserve"> </w:t>
      </w:r>
      <w:r w:rsidR="009A3070">
        <w:rPr>
          <w:sz w:val="22"/>
          <w:szCs w:val="22"/>
        </w:rPr>
        <w:t xml:space="preserve"> </w:t>
      </w:r>
      <w:proofErr w:type="spellStart"/>
      <w:r w:rsidR="009A3070">
        <w:rPr>
          <w:sz w:val="22"/>
          <w:szCs w:val="22"/>
        </w:rPr>
        <w:t>by</w:t>
      </w:r>
      <w:r w:rsidRPr="001E5E56">
        <w:rPr>
          <w:sz w:val="22"/>
          <w:szCs w:val="22"/>
        </w:rPr>
        <w:t>the</w:t>
      </w:r>
      <w:proofErr w:type="spellEnd"/>
      <w:proofErr w:type="gramEnd"/>
      <w:r w:rsidRPr="001E5E56">
        <w:rPr>
          <w:sz w:val="22"/>
          <w:szCs w:val="22"/>
        </w:rPr>
        <w:t xml:space="preserve"> sample source bias inherent in the existing literature. Over half of the human studies used circulating blood samples (52.4%), which is ideal for capturing systemic immune and biomarker signals. Conversely, </w:t>
      </w:r>
      <w:r w:rsidR="00A87B66" w:rsidRPr="001E5E56">
        <w:rPr>
          <w:sz w:val="22"/>
          <w:szCs w:val="22"/>
        </w:rPr>
        <w:t>most of</w:t>
      </w:r>
      <w:r w:rsidRPr="001E5E56">
        <w:rPr>
          <w:sz w:val="22"/>
          <w:szCs w:val="22"/>
        </w:rPr>
        <w:t xml:space="preserve"> the rodent studies (19/20) used whole lung tissue, directly capturing the local pathology and the extensive tissue remodelling inherent to the structural component of BPD. Gene regulation and expression are highly context and tissue specific. Consequently, these differences in sample type likely contributed significantly to the divergent gene signatures observed between the two analyses.</w:t>
      </w:r>
    </w:p>
    <w:p w14:paraId="45B1B769" w14:textId="77777777" w:rsidR="001E5E56" w:rsidRPr="001E5E56" w:rsidRDefault="001E5E56" w:rsidP="001E5E56">
      <w:pPr>
        <w:spacing w:line="480" w:lineRule="auto"/>
        <w:jc w:val="both"/>
        <w:rPr>
          <w:sz w:val="22"/>
          <w:szCs w:val="22"/>
        </w:rPr>
      </w:pPr>
    </w:p>
    <w:p w14:paraId="4DD60272" w14:textId="77777777" w:rsidR="001E5E56" w:rsidRPr="001E5E56" w:rsidRDefault="001E5E56" w:rsidP="001E5E56">
      <w:pPr>
        <w:spacing w:line="480" w:lineRule="auto"/>
        <w:jc w:val="both"/>
        <w:rPr>
          <w:sz w:val="22"/>
          <w:szCs w:val="22"/>
        </w:rPr>
      </w:pPr>
      <w:r w:rsidRPr="001E5E56">
        <w:rPr>
          <w:sz w:val="22"/>
          <w:szCs w:val="22"/>
        </w:rPr>
        <w:t xml:space="preserve">The differential immune signal (myeloid-cell-related immunity in rodents versus lymphoid-cell-related immunity in humans) may represent a genuine biological difference between the species or models. Myeloid cells are the primary effectors of the innate immune system, which is responsible for the immediate inflammatory response to insults like oxidative and physical lung injury. Conversely, lymphoid cells drive the slower developing, highly specific adaptive immune system. Rodent models primarily capture the acute, innate driven injury phase of BPD. The human disease, with its prolonged course, involves a broader and more protracted inflammatory </w:t>
      </w:r>
      <w:r w:rsidRPr="001E5E56">
        <w:rPr>
          <w:sz w:val="22"/>
          <w:szCs w:val="22"/>
        </w:rPr>
        <w:lastRenderedPageBreak/>
        <w:t>process where the adaptive immune system plays a more influential, and potentially damaging role.</w:t>
      </w:r>
    </w:p>
    <w:p w14:paraId="2628BE4F" w14:textId="77777777" w:rsidR="001E5E56" w:rsidRPr="001E5E56" w:rsidRDefault="001E5E56" w:rsidP="001E5E56">
      <w:pPr>
        <w:spacing w:line="480" w:lineRule="auto"/>
        <w:jc w:val="both"/>
        <w:rPr>
          <w:sz w:val="22"/>
          <w:szCs w:val="22"/>
        </w:rPr>
      </w:pPr>
    </w:p>
    <w:p w14:paraId="687FA92F" w14:textId="081AB3D4" w:rsidR="001E5E56" w:rsidRDefault="001E5E56" w:rsidP="001E5E56">
      <w:pPr>
        <w:spacing w:line="480" w:lineRule="auto"/>
        <w:jc w:val="both"/>
        <w:rPr>
          <w:sz w:val="22"/>
          <w:szCs w:val="22"/>
        </w:rPr>
      </w:pPr>
      <w:r w:rsidRPr="001E5E56">
        <w:rPr>
          <w:sz w:val="22"/>
          <w:szCs w:val="22"/>
        </w:rPr>
        <w:t xml:space="preserve">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w:t>
      </w:r>
      <w:r>
        <w:rPr>
          <w:sz w:val="22"/>
          <w:szCs w:val="22"/>
        </w:rPr>
        <w:t>IL1R2 is upregulated in acute hypoxia.</w:t>
      </w:r>
      <w:r>
        <w:rPr>
          <w:sz w:val="22"/>
          <w:szCs w:val="22"/>
        </w:rPr>
        <w:fldChar w:fldCharType="begin"/>
      </w:r>
      <w:r>
        <w:rPr>
          <w:sz w:val="22"/>
          <w:szCs w:val="22"/>
        </w:rPr>
        <w:instrText xml:space="preserve"> ADDIN ZOTERO_ITEM CSL_CITATION {"citationID":"8Cr45T4i","properties":{"formattedCitation":"(Johnson et al., 2007)","plainCitation":"(Johnson et al., 2007)","noteIndex":0},"citationItems":[{"id":2453,"uris":["http://zotero.org/users/14418362/items/BBNNCKGM"],"itemData":{"id":2453,"type":"article-journal","abstract":"Acute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Pr>
          <w:sz w:val="22"/>
          <w:szCs w:val="22"/>
        </w:rPr>
        <w:fldChar w:fldCharType="separate"/>
      </w:r>
      <w:r>
        <w:rPr>
          <w:noProof/>
          <w:sz w:val="22"/>
          <w:szCs w:val="22"/>
        </w:rPr>
        <w:t>(Johnson et al., 2007)</w:t>
      </w:r>
      <w:r>
        <w:rPr>
          <w:sz w:val="22"/>
          <w:szCs w:val="22"/>
        </w:rPr>
        <w:fldChar w:fldCharType="end"/>
      </w:r>
      <w:r>
        <w:rPr>
          <w:sz w:val="22"/>
          <w:szCs w:val="22"/>
        </w:rPr>
        <w:t xml:space="preserve">  and </w:t>
      </w:r>
      <w:r w:rsidRPr="006030CD">
        <w:rPr>
          <w:sz w:val="22"/>
          <w:szCs w:val="22"/>
        </w:rPr>
        <w:t xml:space="preserve">functions as a decoy receptor, acting as a crucial endogenous brake on the potent pro-inflammatory signalling cascade initiated by Interleukin-1 (IL-1) </w:t>
      </w:r>
      <w:r>
        <w:rPr>
          <w:sz w:val="22"/>
          <w:szCs w:val="22"/>
        </w:rPr>
        <w:fldChar w:fldCharType="begin"/>
      </w:r>
      <w:r>
        <w:rPr>
          <w:sz w:val="22"/>
          <w:szCs w:val="22"/>
        </w:rPr>
        <w:instrText xml:space="preserve"> ADDIN ZOTERO_ITEM CSL_CITATION {"citationID":"LXWmnGnp","properties":{"formattedCitation":"(Peters et al., 2013)","plainCitation":"(Peters et al., 2013)","noteIndex":0},"citationItems":[{"id":2488,"uris":["http://zotero.org/users/14418362/items/TSD7RPJ5"],"itemData":{"id":2488,"type":"article-journal","abstract":"The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Pr>
          <w:sz w:val="22"/>
          <w:szCs w:val="22"/>
        </w:rPr>
        <w:fldChar w:fldCharType="separate"/>
      </w:r>
      <w:r>
        <w:rPr>
          <w:noProof/>
          <w:sz w:val="22"/>
          <w:szCs w:val="22"/>
        </w:rPr>
        <w:t>(Peters et al., 2013)</w:t>
      </w:r>
      <w:r>
        <w:rPr>
          <w:sz w:val="22"/>
          <w:szCs w:val="22"/>
        </w:rPr>
        <w:fldChar w:fldCharType="end"/>
      </w:r>
      <w:r w:rsidRPr="006030CD">
        <w:rPr>
          <w:sz w:val="22"/>
          <w:szCs w:val="22"/>
        </w:rPr>
        <w:t>. The preterm lung is uniquely vulnerable to hypoxia, which can trigger a dangerous, self-amplifying cycle of injury and inflammation</w:t>
      </w:r>
      <w:r>
        <w:rPr>
          <w:sz w:val="22"/>
          <w:szCs w:val="22"/>
        </w:rPr>
        <w:t>.</w:t>
      </w:r>
      <w:r w:rsidRPr="001E7CF0">
        <w:rPr>
          <w:sz w:val="22"/>
          <w:szCs w:val="22"/>
        </w:rPr>
        <w:fldChar w:fldCharType="begin"/>
      </w:r>
      <w:r w:rsidRPr="001E7CF0">
        <w:rPr>
          <w:sz w:val="22"/>
          <w:szCs w:val="22"/>
        </w:rPr>
        <w:instrText xml:space="preserve"> ADDIN ZOTERO_ITEM CSL_CITATION {"citationID":"oNmHuXWk","properties":{"formattedCitation":"(Eltzschig &amp; Carmeliet, 2011)","plainCitation":"(Eltzschig &amp; Carmeliet, 2011)","noteIndex":0},"citationItems":[{"id":2491,"uris":["http://zotero.org/users/14418362/items/C37FAQ8G"],"itemData":{"id":2491,"type":"article-journal","container-title":"The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1E7CF0">
        <w:rPr>
          <w:sz w:val="22"/>
          <w:szCs w:val="22"/>
        </w:rPr>
        <w:fldChar w:fldCharType="separate"/>
      </w:r>
      <w:r w:rsidRPr="001E7CF0">
        <w:rPr>
          <w:noProof/>
          <w:sz w:val="22"/>
          <w:szCs w:val="22"/>
        </w:rPr>
        <w:t>(Eltzschig &amp; Carmeliet, 2011)</w:t>
      </w:r>
      <w:r w:rsidRPr="001E7CF0">
        <w:rPr>
          <w:sz w:val="22"/>
          <w:szCs w:val="22"/>
        </w:rPr>
        <w:fldChar w:fldCharType="end"/>
      </w:r>
      <w:r w:rsidRPr="001E7CF0">
        <w:rPr>
          <w:sz w:val="22"/>
          <w:szCs w:val="22"/>
        </w:rPr>
        <w:t xml:space="preserve"> IL</w:t>
      </w:r>
      <w:r>
        <w:rPr>
          <w:sz w:val="22"/>
          <w:szCs w:val="22"/>
        </w:rPr>
        <w:t>-</w:t>
      </w:r>
      <w:r w:rsidRPr="001E7CF0">
        <w:rPr>
          <w:sz w:val="22"/>
          <w:szCs w:val="22"/>
        </w:rPr>
        <w:t>1 antagonism has been shown to confer protection in rodent models of BPD (Bui et al., 2019; Nold et al., 2013), suggesting that IL1R2 may exert a protective role as an anti-inflammatory ‘brake’ protein.</w:t>
      </w:r>
      <w:r w:rsidRPr="006030CD">
        <w:rPr>
          <w:sz w:val="22"/>
          <w:szCs w:val="22"/>
        </w:rPr>
        <w:t xml:space="preserve"> </w:t>
      </w:r>
      <w:r>
        <w:rPr>
          <w:sz w:val="22"/>
          <w:szCs w:val="22"/>
        </w:rPr>
        <w:t>I</w:t>
      </w:r>
      <w:r w:rsidRPr="006030CD">
        <w:rPr>
          <w:sz w:val="22"/>
          <w:szCs w:val="22"/>
        </w:rPr>
        <w:t xml:space="preserve">nsufficient </w:t>
      </w:r>
      <w:r>
        <w:rPr>
          <w:sz w:val="22"/>
          <w:szCs w:val="22"/>
        </w:rPr>
        <w:t xml:space="preserve">upregulation of this gene </w:t>
      </w:r>
      <w:r w:rsidRPr="006030CD">
        <w:rPr>
          <w:sz w:val="22"/>
          <w:szCs w:val="22"/>
        </w:rPr>
        <w:t>would leave the preterm lung defenceless against unchecked IL-1-driven inflammation, leading to the severe and progressive lung damage that defines BPD.</w:t>
      </w:r>
    </w:p>
    <w:p w14:paraId="42DE8B1C" w14:textId="77777777" w:rsidR="001E5E56" w:rsidRPr="001E5E56" w:rsidRDefault="001E5E56" w:rsidP="001E5E56">
      <w:pPr>
        <w:spacing w:line="480" w:lineRule="auto"/>
        <w:jc w:val="both"/>
        <w:rPr>
          <w:sz w:val="22"/>
          <w:szCs w:val="22"/>
        </w:rPr>
      </w:pPr>
    </w:p>
    <w:p w14:paraId="08D02D5A" w14:textId="55AE80C9" w:rsidR="005D240B" w:rsidRDefault="001E5E56" w:rsidP="001E5E56">
      <w:pPr>
        <w:spacing w:line="480" w:lineRule="auto"/>
        <w:jc w:val="both"/>
        <w:rPr>
          <w:sz w:val="22"/>
          <w:szCs w:val="22"/>
        </w:rPr>
      </w:pPr>
      <w:r w:rsidRPr="001E5E56">
        <w:rPr>
          <w:sz w:val="22"/>
          <w:szCs w:val="22"/>
        </w:rPr>
        <w:t xml:space="preserve">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w:t>
      </w:r>
      <w:r w:rsidR="007117FA" w:rsidRPr="001E5E56">
        <w:rPr>
          <w:sz w:val="22"/>
          <w:szCs w:val="22"/>
        </w:rPr>
        <w:t>but</w:t>
      </w:r>
      <w:r w:rsidRPr="001E5E56">
        <w:rPr>
          <w:sz w:val="22"/>
          <w:szCs w:val="22"/>
        </w:rPr>
        <w:t xml:space="preserve"> summarise the effects of hyp</w:t>
      </w:r>
      <w:r w:rsidR="00A87B66">
        <w:rPr>
          <w:sz w:val="22"/>
          <w:szCs w:val="22"/>
        </w:rPr>
        <w:t>er</w:t>
      </w:r>
      <w:r w:rsidRPr="001E5E56">
        <w:rPr>
          <w:sz w:val="22"/>
          <w:szCs w:val="22"/>
        </w:rPr>
        <w:t xml:space="preserve">oxia induced during disease. Thirdly, due to key developmental differences - such as timing of alveolarisation and </w:t>
      </w:r>
      <w:r w:rsidRPr="001E5E56">
        <w:rPr>
          <w:sz w:val="22"/>
          <w:szCs w:val="22"/>
        </w:rPr>
        <w:lastRenderedPageBreak/>
        <w:t xml:space="preserve">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w:t>
      </w:r>
      <w:r w:rsidR="00A87B66">
        <w:rPr>
          <w:sz w:val="22"/>
          <w:szCs w:val="22"/>
        </w:rPr>
        <w:t>account for</w:t>
      </w:r>
      <w:r w:rsidRPr="001E5E56">
        <w:rPr>
          <w:sz w:val="22"/>
          <w:szCs w:val="22"/>
        </w:rPr>
        <w:t xml:space="preserve"> direction of effect.</w:t>
      </w:r>
    </w:p>
    <w:p w14:paraId="05607A4D" w14:textId="77777777" w:rsidR="005D240B" w:rsidRDefault="005D240B" w:rsidP="005D240B">
      <w:pPr>
        <w:spacing w:line="480" w:lineRule="auto"/>
        <w:jc w:val="both"/>
        <w:rPr>
          <w:sz w:val="22"/>
          <w:szCs w:val="22"/>
        </w:rPr>
      </w:pPr>
    </w:p>
    <w:p w14:paraId="0F63F890" w14:textId="2185C3CE" w:rsidR="007117FA" w:rsidRPr="005A5A49" w:rsidRDefault="007117FA" w:rsidP="005D240B">
      <w:pPr>
        <w:spacing w:line="480" w:lineRule="auto"/>
        <w:jc w:val="both"/>
        <w:rPr>
          <w:sz w:val="22"/>
          <w:szCs w:val="22"/>
        </w:rPr>
      </w:pPr>
      <w:r>
        <w:rPr>
          <w:sz w:val="22"/>
          <w:szCs w:val="22"/>
        </w:rPr>
        <w:t xml:space="preserve">In conclusion, </w:t>
      </w:r>
      <w:r w:rsidRPr="007117FA">
        <w:rPr>
          <w:sz w:val="22"/>
          <w:szCs w:val="22"/>
        </w:rPr>
        <w:t>MAIC</w:t>
      </w:r>
      <w:r>
        <w:rPr>
          <w:sz w:val="22"/>
          <w:szCs w:val="22"/>
        </w:rPr>
        <w:t xml:space="preserve"> has</w:t>
      </w:r>
      <w:r w:rsidRPr="007117FA">
        <w:rPr>
          <w:sz w:val="22"/>
          <w:szCs w:val="22"/>
        </w:rPr>
        <w:t xml:space="preserve"> provided a validated, integrative method to </w:t>
      </w:r>
      <w:r>
        <w:rPr>
          <w:sz w:val="22"/>
          <w:szCs w:val="22"/>
        </w:rPr>
        <w:t xml:space="preserve">potentially </w:t>
      </w:r>
      <w:r w:rsidRPr="007117FA">
        <w:rPr>
          <w:sz w:val="22"/>
          <w:szCs w:val="22"/>
        </w:rPr>
        <w:t xml:space="preserve">overcome the clinical and molecular heterogeneity of BPD. </w:t>
      </w:r>
      <w:r>
        <w:rPr>
          <w:sz w:val="22"/>
          <w:szCs w:val="22"/>
        </w:rPr>
        <w:t>Our</w:t>
      </w:r>
      <w:r w:rsidRPr="007117FA">
        <w:rPr>
          <w:sz w:val="22"/>
          <w:szCs w:val="22"/>
        </w:rPr>
        <w:t xml:space="preserve"> approach </w:t>
      </w:r>
      <w:r>
        <w:rPr>
          <w:sz w:val="22"/>
          <w:szCs w:val="22"/>
        </w:rPr>
        <w:t>has identified</w:t>
      </w:r>
      <w:r w:rsidRPr="007117FA">
        <w:rPr>
          <w:sz w:val="22"/>
          <w:szCs w:val="22"/>
        </w:rPr>
        <w:t xml:space="preserve"> consensus genes across </w:t>
      </w:r>
      <w:r>
        <w:rPr>
          <w:sz w:val="22"/>
          <w:szCs w:val="22"/>
        </w:rPr>
        <w:t xml:space="preserve">a </w:t>
      </w:r>
      <w:r w:rsidRPr="007117FA">
        <w:rPr>
          <w:sz w:val="22"/>
          <w:szCs w:val="22"/>
        </w:rPr>
        <w:t xml:space="preserve">diverse </w:t>
      </w:r>
      <w:r>
        <w:rPr>
          <w:sz w:val="22"/>
          <w:szCs w:val="22"/>
        </w:rPr>
        <w:t xml:space="preserve">range of </w:t>
      </w:r>
      <w:r w:rsidRPr="007117FA">
        <w:rPr>
          <w:sz w:val="22"/>
          <w:szCs w:val="22"/>
        </w:rPr>
        <w:t>genome</w:t>
      </w:r>
      <w:r>
        <w:rPr>
          <w:sz w:val="22"/>
          <w:szCs w:val="22"/>
        </w:rPr>
        <w:t>-</w:t>
      </w:r>
      <w:r w:rsidRPr="007117FA">
        <w:rPr>
          <w:sz w:val="22"/>
          <w:szCs w:val="22"/>
        </w:rPr>
        <w:t xml:space="preserve">scale studies. </w:t>
      </w:r>
    </w:p>
    <w:p w14:paraId="61408242" w14:textId="77777777" w:rsidR="005D240B" w:rsidRPr="005A5A49" w:rsidRDefault="005D240B" w:rsidP="005D240B">
      <w:pPr>
        <w:spacing w:line="480" w:lineRule="auto"/>
        <w:rPr>
          <w:b/>
          <w:bCs/>
          <w:sz w:val="22"/>
          <w:szCs w:val="22"/>
        </w:rPr>
      </w:pPr>
    </w:p>
    <w:p w14:paraId="02D21737" w14:textId="77777777" w:rsidR="005D240B" w:rsidRPr="005B64D9" w:rsidRDefault="005D240B" w:rsidP="005D240B">
      <w:pPr>
        <w:spacing w:line="480" w:lineRule="auto"/>
        <w:jc w:val="both"/>
        <w:rPr>
          <w:b/>
          <w:bCs/>
          <w:sz w:val="22"/>
          <w:szCs w:val="22"/>
        </w:rPr>
      </w:pPr>
      <w:r w:rsidRPr="005A5A49">
        <w:rPr>
          <w:b/>
          <w:bCs/>
          <w:sz w:val="22"/>
          <w:szCs w:val="22"/>
        </w:rPr>
        <w:br w:type="column"/>
      </w:r>
      <w:r w:rsidRPr="005B64D9">
        <w:rPr>
          <w:b/>
          <w:bCs/>
          <w:sz w:val="22"/>
          <w:szCs w:val="22"/>
        </w:rPr>
        <w:lastRenderedPageBreak/>
        <w:t>Methods</w:t>
      </w:r>
    </w:p>
    <w:p w14:paraId="50D14869" w14:textId="77777777" w:rsidR="005D240B" w:rsidRPr="005B64D9" w:rsidRDefault="005D240B" w:rsidP="005D240B">
      <w:pPr>
        <w:spacing w:line="480" w:lineRule="auto"/>
        <w:jc w:val="both"/>
        <w:rPr>
          <w:b/>
          <w:bCs/>
          <w:sz w:val="22"/>
          <w:szCs w:val="22"/>
        </w:rPr>
      </w:pPr>
    </w:p>
    <w:p w14:paraId="07D3BD2A" w14:textId="77777777" w:rsidR="005D240B" w:rsidRPr="00327009" w:rsidRDefault="005D240B" w:rsidP="005D240B">
      <w:pPr>
        <w:spacing w:line="480" w:lineRule="auto"/>
        <w:jc w:val="both"/>
        <w:rPr>
          <w:b/>
          <w:bCs/>
          <w:i/>
          <w:iCs/>
          <w:sz w:val="22"/>
          <w:szCs w:val="22"/>
        </w:rPr>
      </w:pPr>
      <w:r w:rsidRPr="00327009">
        <w:rPr>
          <w:b/>
          <w:bCs/>
          <w:i/>
          <w:iCs/>
          <w:sz w:val="22"/>
          <w:szCs w:val="22"/>
        </w:rPr>
        <w:t>Systematic review</w:t>
      </w:r>
    </w:p>
    <w:p w14:paraId="610CB6A5" w14:textId="77777777" w:rsidR="005D240B" w:rsidRPr="005B64D9" w:rsidRDefault="005D240B" w:rsidP="005D240B">
      <w:pPr>
        <w:spacing w:line="480" w:lineRule="auto"/>
        <w:jc w:val="both"/>
        <w:rPr>
          <w:sz w:val="22"/>
          <w:szCs w:val="22"/>
        </w:rPr>
      </w:pPr>
      <w:r w:rsidRPr="005B64D9">
        <w:rPr>
          <w:sz w:val="22"/>
          <w:szCs w:val="22"/>
        </w:rPr>
        <w:t xml:space="preserve">The systematic review and meta-analysis protocol was registered with the International Prospective Register of Systematic Reviews (PROSPERO; CRD42022306270, </w:t>
      </w:r>
      <w:r w:rsidRPr="005B64D9">
        <w:rPr>
          <w:rFonts w:cs="Arial"/>
          <w:color w:val="212529"/>
          <w:sz w:val="22"/>
          <w:szCs w:val="22"/>
          <w:shd w:val="clear" w:color="auto" w:fill="F7F7F7"/>
        </w:rPr>
        <w:t>CRD42024550229</w:t>
      </w:r>
      <w:r w:rsidRPr="005B64D9">
        <w:rPr>
          <w:sz w:val="22"/>
          <w:szCs w:val="22"/>
        </w:rPr>
        <w:t>). The review is reported in compliance with the Preferred Reporting Items for Systematic Reviews and Meta-Analyses (PRISMA) guidelines.</w:t>
      </w:r>
      <w:r w:rsidRPr="005B64D9">
        <w:rPr>
          <w:sz w:val="22"/>
          <w:szCs w:val="22"/>
        </w:rPr>
        <w:fldChar w:fldCharType="begin"/>
      </w:r>
      <w:r>
        <w:rPr>
          <w:sz w:val="22"/>
          <w:szCs w:val="22"/>
        </w:rPr>
        <w:instrText xml:space="preserve"> ADDIN ZOTERO_ITEM CSL_CITATION {"citationID":"UjS9MYCn","properties":{"formattedCitation":"(Page et al., 2021)","plainCitation":"(Page et al., 2021)","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5B64D9">
        <w:rPr>
          <w:sz w:val="22"/>
          <w:szCs w:val="22"/>
        </w:rPr>
        <w:fldChar w:fldCharType="separate"/>
      </w:r>
      <w:r>
        <w:rPr>
          <w:rFonts w:ascii="Aptos" w:cs="Times New Roman"/>
          <w:sz w:val="22"/>
        </w:rPr>
        <w:t>(Page et al., 2021)</w:t>
      </w:r>
      <w:r w:rsidRPr="005B64D9">
        <w:rPr>
          <w:sz w:val="22"/>
          <w:szCs w:val="22"/>
        </w:rPr>
        <w:fldChar w:fldCharType="end"/>
      </w:r>
    </w:p>
    <w:p w14:paraId="3FC7AF3C" w14:textId="77777777" w:rsidR="005D240B" w:rsidRPr="005B64D9" w:rsidRDefault="005D240B" w:rsidP="005D240B">
      <w:pPr>
        <w:spacing w:line="480" w:lineRule="auto"/>
        <w:jc w:val="both"/>
        <w:rPr>
          <w:i/>
          <w:iCs/>
          <w:sz w:val="22"/>
          <w:szCs w:val="22"/>
        </w:rPr>
      </w:pPr>
    </w:p>
    <w:p w14:paraId="6A9A5BB9" w14:textId="77777777" w:rsidR="005D240B" w:rsidRPr="00327009" w:rsidRDefault="005D240B" w:rsidP="005D240B">
      <w:pPr>
        <w:spacing w:line="480" w:lineRule="auto"/>
        <w:jc w:val="both"/>
        <w:rPr>
          <w:b/>
          <w:bCs/>
          <w:i/>
          <w:iCs/>
          <w:sz w:val="22"/>
          <w:szCs w:val="22"/>
        </w:rPr>
      </w:pPr>
      <w:r w:rsidRPr="00327009">
        <w:rPr>
          <w:b/>
          <w:bCs/>
          <w:i/>
          <w:iCs/>
          <w:sz w:val="22"/>
          <w:szCs w:val="22"/>
        </w:rPr>
        <w:t>Search strategy and selection criteria</w:t>
      </w:r>
    </w:p>
    <w:p w14:paraId="3EBDBA9F" w14:textId="77777777" w:rsidR="005D240B" w:rsidRPr="005B64D9" w:rsidRDefault="005D240B" w:rsidP="005D240B">
      <w:pPr>
        <w:spacing w:line="480" w:lineRule="auto"/>
        <w:jc w:val="both"/>
        <w:rPr>
          <w:sz w:val="22"/>
          <w:szCs w:val="22"/>
        </w:rPr>
      </w:pPr>
      <w:r w:rsidRPr="005B64D9">
        <w:rPr>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5B64D9">
        <w:rPr>
          <w:sz w:val="22"/>
          <w:szCs w:val="22"/>
        </w:rPr>
        <w:t>hyperoxic</w:t>
      </w:r>
      <w:proofErr w:type="spellEnd"/>
      <w:r w:rsidRPr="005B64D9">
        <w:rPr>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w:t>
      </w:r>
      <w:proofErr w:type="spellStart"/>
      <w:r w:rsidRPr="005B64D9">
        <w:rPr>
          <w:sz w:val="22"/>
          <w:szCs w:val="22"/>
        </w:rPr>
        <w:t>Screenatron</w:t>
      </w:r>
      <w:proofErr w:type="spellEnd"/>
      <w:r w:rsidRPr="005B64D9">
        <w:rPr>
          <w:sz w:val="22"/>
          <w:szCs w:val="22"/>
        </w:rPr>
        <w:t>.</w:t>
      </w:r>
      <w:r w:rsidRPr="005B64D9">
        <w:rPr>
          <w:sz w:val="22"/>
          <w:szCs w:val="22"/>
        </w:rPr>
        <w:fldChar w:fldCharType="begin"/>
      </w:r>
      <w:r>
        <w:rPr>
          <w:sz w:val="22"/>
          <w:szCs w:val="22"/>
        </w:rPr>
        <w:instrText xml:space="preserve"> ADDIN ZOTERO_ITEM CSL_CITATION {"citationID":"9WLeeDPb","properties":{"formattedCitation":"(Clark et al., 2020)","plainCitation":"(Clark et al., 2020)","noteIndex":0},"citationItems":[{"id":2434,"uris":["http://zotero.org/users/14418362/items/M47TXJKF"],"itemData":{"id":2434,"type":"article-journal","container-title":"Journal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5B64D9">
        <w:rPr>
          <w:sz w:val="22"/>
          <w:szCs w:val="22"/>
        </w:rPr>
        <w:fldChar w:fldCharType="separate"/>
      </w:r>
      <w:r>
        <w:rPr>
          <w:rFonts w:ascii="Aptos" w:cs="Times New Roman"/>
          <w:sz w:val="22"/>
        </w:rPr>
        <w:t>(Clark et al., 2020)</w:t>
      </w:r>
      <w:r w:rsidRPr="005B64D9">
        <w:rPr>
          <w:sz w:val="22"/>
          <w:szCs w:val="22"/>
        </w:rPr>
        <w:fldChar w:fldCharType="end"/>
      </w:r>
      <w:r w:rsidRPr="005B64D9">
        <w:rPr>
          <w:sz w:val="22"/>
          <w:szCs w:val="22"/>
        </w:rPr>
        <w:t xml:space="preserve"> </w:t>
      </w:r>
    </w:p>
    <w:p w14:paraId="0FAD4D9E" w14:textId="77777777" w:rsidR="005D240B" w:rsidRPr="005B64D9" w:rsidRDefault="005D240B" w:rsidP="005D240B">
      <w:pPr>
        <w:spacing w:line="480" w:lineRule="auto"/>
        <w:jc w:val="both"/>
        <w:rPr>
          <w:sz w:val="22"/>
          <w:szCs w:val="22"/>
        </w:rPr>
      </w:pPr>
    </w:p>
    <w:p w14:paraId="06875070" w14:textId="77777777" w:rsidR="005D240B" w:rsidRPr="005B64D9" w:rsidRDefault="005D240B" w:rsidP="005D240B">
      <w:pPr>
        <w:spacing w:line="480" w:lineRule="auto"/>
        <w:jc w:val="both"/>
        <w:rPr>
          <w:sz w:val="22"/>
          <w:szCs w:val="22"/>
        </w:rPr>
      </w:pPr>
      <w:r w:rsidRPr="005B64D9">
        <w:rPr>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5B64D9">
        <w:rPr>
          <w:sz w:val="22"/>
          <w:szCs w:val="22"/>
        </w:rPr>
        <w:fldChar w:fldCharType="begin"/>
      </w:r>
      <w:r>
        <w:rPr>
          <w:sz w:val="22"/>
          <w:szCs w:val="22"/>
        </w:rPr>
        <w:instrText xml:space="preserve"> ADDIN ZOTERO_ITEM CSL_CITATION {"citationID":"fx9aLOge","properties":{"formattedCitation":"(Li et al., 2020; Millar et al., 2024; Parkinson et al., 2020)","plainCitation":"(Li et al., 2020; Millar et al., 2024; Parkinson et al., 2020)","noteIndex":0},"citationItems":[{"id":2377,"uris":["http://zotero.org/users/14418362/items/WBGNVTKH"],"itemData":{"id":2377,"type":"article-journal","abstract":"OR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5B64D9">
        <w:rPr>
          <w:sz w:val="22"/>
          <w:szCs w:val="22"/>
        </w:rPr>
        <w:fldChar w:fldCharType="separate"/>
      </w:r>
      <w:r>
        <w:rPr>
          <w:rFonts w:ascii="Aptos" w:cs="Times New Roman"/>
          <w:sz w:val="22"/>
        </w:rPr>
        <w:t>(Li et al., 2020; Millar et al., 2024; Parkinson et al., 2020)</w:t>
      </w:r>
      <w:r w:rsidRPr="005B64D9">
        <w:rPr>
          <w:sz w:val="22"/>
          <w:szCs w:val="22"/>
        </w:rPr>
        <w:fldChar w:fldCharType="end"/>
      </w:r>
      <w:r w:rsidRPr="005B64D9">
        <w:rPr>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5B64D9">
        <w:rPr>
          <w:sz w:val="22"/>
          <w:szCs w:val="22"/>
        </w:rPr>
        <w:t>Ensembl</w:t>
      </w:r>
      <w:proofErr w:type="spellEnd"/>
      <w:r w:rsidRPr="005B64D9">
        <w:rPr>
          <w:sz w:val="22"/>
          <w:szCs w:val="22"/>
        </w:rPr>
        <w:t>/</w:t>
      </w:r>
      <w:proofErr w:type="spellStart"/>
      <w:r w:rsidRPr="005B64D9">
        <w:rPr>
          <w:sz w:val="22"/>
          <w:szCs w:val="22"/>
        </w:rPr>
        <w:t>Refseq</w:t>
      </w:r>
      <w:proofErr w:type="spellEnd"/>
      <w:r w:rsidRPr="005B64D9">
        <w:rPr>
          <w:sz w:val="22"/>
          <w:szCs w:val="22"/>
        </w:rPr>
        <w:t xml:space="preserve"> </w:t>
      </w:r>
      <w:r w:rsidRPr="005B64D9">
        <w:rPr>
          <w:sz w:val="22"/>
          <w:szCs w:val="22"/>
        </w:rPr>
        <w:lastRenderedPageBreak/>
        <w:t>symbols if no HGNC symbol). Rodent data was mapped to human ortholog symbols using custom scripts to allow for comparison with the human MAIC results.</w:t>
      </w:r>
    </w:p>
    <w:p w14:paraId="10258858" w14:textId="77777777" w:rsidR="005D240B" w:rsidRPr="005B64D9" w:rsidRDefault="005D240B" w:rsidP="005D240B">
      <w:pPr>
        <w:spacing w:line="480" w:lineRule="auto"/>
        <w:jc w:val="both"/>
        <w:rPr>
          <w:sz w:val="22"/>
          <w:szCs w:val="22"/>
        </w:rPr>
      </w:pPr>
    </w:p>
    <w:p w14:paraId="0AEC5F87" w14:textId="77777777" w:rsidR="005D240B" w:rsidRPr="00327009" w:rsidRDefault="005D240B" w:rsidP="005D240B">
      <w:pPr>
        <w:spacing w:line="480" w:lineRule="auto"/>
        <w:jc w:val="both"/>
        <w:rPr>
          <w:b/>
          <w:bCs/>
          <w:i/>
          <w:iCs/>
          <w:sz w:val="22"/>
          <w:szCs w:val="22"/>
        </w:rPr>
      </w:pPr>
      <w:r w:rsidRPr="00327009">
        <w:rPr>
          <w:b/>
          <w:bCs/>
          <w:i/>
          <w:iCs/>
          <w:sz w:val="22"/>
          <w:szCs w:val="22"/>
        </w:rPr>
        <w:t>MAIC</w:t>
      </w:r>
    </w:p>
    <w:p w14:paraId="2919836E" w14:textId="77777777" w:rsidR="005D240B" w:rsidRPr="005B64D9" w:rsidRDefault="005D240B" w:rsidP="005D240B">
      <w:pPr>
        <w:spacing w:line="480" w:lineRule="auto"/>
        <w:jc w:val="both"/>
        <w:rPr>
          <w:sz w:val="22"/>
          <w:szCs w:val="22"/>
        </w:rPr>
      </w:pPr>
      <w:r w:rsidRPr="005B64D9">
        <w:rPr>
          <w:sz w:val="22"/>
          <w:szCs w:val="22"/>
        </w:rPr>
        <w:t>The MAIC algorithm has previously been described in detail.</w:t>
      </w:r>
      <w:r w:rsidRPr="005B64D9">
        <w:rPr>
          <w:sz w:val="22"/>
          <w:szCs w:val="22"/>
        </w:rPr>
        <w:fldChar w:fldCharType="begin"/>
      </w:r>
      <w:r>
        <w:rPr>
          <w:sz w:val="22"/>
          <w:szCs w:val="22"/>
        </w:rPr>
        <w:instrText xml:space="preserve"> ADDIN ZOTERO_ITEM CSL_CITATION {"citationID":"nqlEemm5","properties":{"formattedCitation":"(Li et al., 2020; Millar et al., 2024; Parkinson et al., 2020; The GenOMICC Investigators et al., 2021; B. Wang et al., 2022)","plainCitation":"(Li et al., 2020; Millar et al., 2024; Parkinson et al., 2020; The GenOMICC Investigators et al., 2021; B. Wang et al., 2022)","noteIndex":0},"citationItems":[{"id":540,"uris":["http://zotero.org/users/14418362/items/2GA2N3ZL"],"itemData":{"id":540,"type":"article-journal","container-title":"Nature","DOI":"10.1038/s41586-020-03065-y","ISSN":"0028-0836,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5B64D9">
        <w:rPr>
          <w:sz w:val="22"/>
          <w:szCs w:val="22"/>
        </w:rPr>
        <w:fldChar w:fldCharType="separate"/>
      </w:r>
      <w:r>
        <w:rPr>
          <w:rFonts w:ascii="Aptos" w:cs="Times New Roman"/>
          <w:sz w:val="22"/>
        </w:rPr>
        <w:t>(Li et al., 2020; Millar et al., 2024; Parkinson et al., 2020; The GenOMICC Investigators et al., 2021; B. Wang et al., 2022)</w:t>
      </w:r>
      <w:r w:rsidRPr="005B64D9">
        <w:rPr>
          <w:sz w:val="22"/>
          <w:szCs w:val="22"/>
        </w:rPr>
        <w:fldChar w:fldCharType="end"/>
      </w:r>
      <w:r w:rsidRPr="005B64D9">
        <w:rPr>
          <w:sz w:val="22"/>
          <w:szCs w:val="22"/>
        </w:rPr>
        <w:t xml:space="preserve"> A full description and the source code is available at https://baillielab.net/maic. We implemented </w:t>
      </w:r>
      <w:proofErr w:type="spellStart"/>
      <w:r w:rsidRPr="005B64D9">
        <w:rPr>
          <w:sz w:val="22"/>
          <w:szCs w:val="22"/>
        </w:rPr>
        <w:t>pymaic</w:t>
      </w:r>
      <w:proofErr w:type="spellEnd"/>
      <w:r w:rsidRPr="005B64D9">
        <w:rPr>
          <w:sz w:val="22"/>
          <w:szCs w:val="22"/>
        </w:rPr>
        <w:t xml:space="preserve"> v0.2 in Python v3.</w:t>
      </w:r>
      <w:r>
        <w:rPr>
          <w:sz w:val="22"/>
          <w:szCs w:val="22"/>
        </w:rPr>
        <w:t>9 and used Technique to categorise input lists.</w:t>
      </w:r>
      <w:r w:rsidRPr="005B64D9">
        <w:rPr>
          <w:sz w:val="22"/>
          <w:szCs w:val="22"/>
        </w:rPr>
        <w:t xml:space="preserve">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w:t>
      </w:r>
      <w:r>
        <w:rPr>
          <w:sz w:val="22"/>
          <w:szCs w:val="22"/>
        </w:rPr>
        <w:t xml:space="preserve"> </w:t>
      </w:r>
    </w:p>
    <w:p w14:paraId="52D3CE14" w14:textId="77777777" w:rsidR="005D240B" w:rsidRPr="005B64D9" w:rsidRDefault="005D240B" w:rsidP="005D240B">
      <w:pPr>
        <w:spacing w:line="480" w:lineRule="auto"/>
        <w:jc w:val="both"/>
        <w:rPr>
          <w:sz w:val="22"/>
          <w:szCs w:val="22"/>
        </w:rPr>
      </w:pPr>
    </w:p>
    <w:p w14:paraId="2295BB2C" w14:textId="323E2A89" w:rsidR="005D240B" w:rsidRPr="00327009" w:rsidRDefault="005D240B" w:rsidP="005D240B">
      <w:pPr>
        <w:spacing w:line="480" w:lineRule="auto"/>
        <w:jc w:val="both"/>
        <w:rPr>
          <w:rFonts w:cs="Calibri"/>
          <w:b/>
          <w:bCs/>
          <w:i/>
          <w:iCs/>
          <w:color w:val="000000" w:themeColor="text1"/>
          <w:szCs w:val="22"/>
        </w:rPr>
      </w:pPr>
      <w:r w:rsidRPr="00327009">
        <w:rPr>
          <w:rFonts w:cs="Calibri"/>
          <w:b/>
          <w:bCs/>
          <w:i/>
          <w:iCs/>
          <w:color w:val="000000" w:themeColor="text1"/>
          <w:szCs w:val="22"/>
        </w:rPr>
        <w:t>Functional analyses</w:t>
      </w:r>
      <w:r w:rsidR="001045AD">
        <w:rPr>
          <w:rFonts w:cs="Calibri"/>
          <w:b/>
          <w:bCs/>
          <w:i/>
          <w:iCs/>
          <w:color w:val="000000" w:themeColor="text1"/>
          <w:szCs w:val="22"/>
        </w:rPr>
        <w:t xml:space="preserve"> and tissue expression</w:t>
      </w:r>
    </w:p>
    <w:p w14:paraId="653A3BA8" w14:textId="42329C4D" w:rsidR="005D240B" w:rsidRDefault="005D240B" w:rsidP="005D240B">
      <w:pPr>
        <w:spacing w:line="480" w:lineRule="auto"/>
        <w:jc w:val="both"/>
        <w:rPr>
          <w:sz w:val="22"/>
          <w:szCs w:val="22"/>
        </w:rPr>
      </w:pPr>
      <w:r w:rsidRPr="00327009">
        <w:rPr>
          <w:sz w:val="22"/>
          <w:szCs w:val="22"/>
        </w:rPr>
        <w:t xml:space="preserve">All enrichment and over representation analyses were implemented using </w:t>
      </w:r>
      <w:proofErr w:type="spellStart"/>
      <w:r w:rsidRPr="004957E8">
        <w:rPr>
          <w:rFonts w:ascii="Courier New" w:hAnsi="Courier New" w:cs="Courier New"/>
          <w:sz w:val="22"/>
          <w:szCs w:val="22"/>
        </w:rPr>
        <w:t>clusterProfiler</w:t>
      </w:r>
      <w:proofErr w:type="spellEnd"/>
      <w:r w:rsidRPr="00327009">
        <w:rPr>
          <w:sz w:val="22"/>
          <w:szCs w:val="22"/>
        </w:rPr>
        <w:t xml:space="preserve"> (v4.0)</w:t>
      </w:r>
      <w:r w:rsidRPr="00327009">
        <w:rPr>
          <w:sz w:val="22"/>
          <w:szCs w:val="22"/>
        </w:rPr>
        <w:fldChar w:fldCharType="begin"/>
      </w:r>
      <w:r>
        <w:rPr>
          <w:sz w:val="22"/>
          <w:szCs w:val="22"/>
        </w:rPr>
        <w:instrText xml:space="preserve"> ADDIN ZOTERO_ITEM CSL_CITATION {"citationID":"fSOrMzl3","properties":{"formattedCitation":"(Wu et al., 2021)","plainCitation":"(Wu et al., 2021)","noteIndex":0},"citationItems":[{"id":2436,"uris":["http://zotero.org/users/14418362/items/M6WCLZNJ"],"itemData":{"id":2436,"type":"article-journal","container-title":"The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327009">
        <w:rPr>
          <w:sz w:val="22"/>
          <w:szCs w:val="22"/>
        </w:rPr>
        <w:fldChar w:fldCharType="separate"/>
      </w:r>
      <w:r>
        <w:rPr>
          <w:rFonts w:ascii="Aptos" w:cs="Times New Roman"/>
          <w:sz w:val="22"/>
        </w:rPr>
        <w:t>(Wu et al., 2021)</w:t>
      </w:r>
      <w:r w:rsidRPr="00327009">
        <w:rPr>
          <w:sz w:val="22"/>
          <w:szCs w:val="22"/>
        </w:rPr>
        <w:fldChar w:fldCharType="end"/>
      </w:r>
      <w:r w:rsidRPr="00327009">
        <w:rPr>
          <w:sz w:val="22"/>
          <w:szCs w:val="22"/>
        </w:rPr>
        <w:t xml:space="preserve"> in R (v4.4.0)</w:t>
      </w:r>
      <w:r>
        <w:rPr>
          <w:sz w:val="22"/>
          <w:szCs w:val="22"/>
        </w:rPr>
        <w:t xml:space="preserve"> and </w:t>
      </w:r>
      <w:r w:rsidRPr="00BF5456">
        <w:rPr>
          <w:rFonts w:ascii="Aptos" w:hAnsi="Aptos"/>
          <w:sz w:val="22"/>
          <w:szCs w:val="22"/>
        </w:rPr>
        <w:t xml:space="preserve">visualised using functions in that package. </w:t>
      </w:r>
      <w:r w:rsidRPr="00BF5456">
        <w:rPr>
          <w:rFonts w:ascii="Aptos" w:hAnsi="Aptos"/>
          <w:sz w:val="22"/>
          <w:szCs w:val="22"/>
          <w:shd w:val="clear" w:color="auto" w:fill="FFFFFF"/>
        </w:rPr>
        <w:t>Redundancy of enriched GO terms</w:t>
      </w:r>
      <w:r w:rsidRPr="00BF5456">
        <w:rPr>
          <w:rFonts w:ascii="Aptos" w:hAnsi="Aptos"/>
          <w:sz w:val="22"/>
          <w:szCs w:val="22"/>
        </w:rPr>
        <w:t xml:space="preserve"> was removed</w:t>
      </w:r>
      <w:r>
        <w:rPr>
          <w:sz w:val="22"/>
          <w:szCs w:val="22"/>
        </w:rPr>
        <w:t xml:space="preserve"> using the </w:t>
      </w:r>
      <w:r w:rsidRPr="00BF5456">
        <w:rPr>
          <w:rFonts w:ascii="Courier New" w:hAnsi="Courier New" w:cs="Courier New"/>
          <w:sz w:val="22"/>
          <w:szCs w:val="22"/>
        </w:rPr>
        <w:t>simplify</w:t>
      </w:r>
      <w:r>
        <w:rPr>
          <w:sz w:val="22"/>
          <w:szCs w:val="22"/>
        </w:rPr>
        <w:t xml:space="preserve"> function. </w:t>
      </w:r>
      <w:r w:rsidRPr="00327009">
        <w:rPr>
          <w:sz w:val="22"/>
          <w:szCs w:val="22"/>
        </w:rPr>
        <w:t>Hypergeometric</w:t>
      </w:r>
      <w:r w:rsidRPr="005B64D9">
        <w:rPr>
          <w:sz w:val="22"/>
          <w:szCs w:val="22"/>
        </w:rPr>
        <w:t xml:space="preserve"> tests were implemented with the </w:t>
      </w:r>
      <w:r w:rsidRPr="00BF5456">
        <w:rPr>
          <w:rFonts w:ascii="Courier New" w:hAnsi="Courier New" w:cs="Courier New"/>
          <w:sz w:val="22"/>
          <w:szCs w:val="22"/>
        </w:rPr>
        <w:t>1-phyper</w:t>
      </w:r>
      <w:r w:rsidRPr="005B64D9">
        <w:rPr>
          <w:i/>
          <w:iCs/>
          <w:sz w:val="22"/>
          <w:szCs w:val="22"/>
        </w:rPr>
        <w:t xml:space="preserve"> </w:t>
      </w:r>
      <w:r w:rsidRPr="005B64D9">
        <w:rPr>
          <w:sz w:val="22"/>
          <w:szCs w:val="22"/>
        </w:rPr>
        <w:t>function in R.</w:t>
      </w:r>
      <w:r>
        <w:rPr>
          <w:sz w:val="22"/>
          <w:szCs w:val="22"/>
        </w:rPr>
        <w:t xml:space="preserve"> Gene overlaps were visualised using </w:t>
      </w:r>
      <w:proofErr w:type="spellStart"/>
      <w:r w:rsidRPr="00BF5456">
        <w:rPr>
          <w:rFonts w:ascii="Courier New" w:hAnsi="Courier New" w:cs="Courier New"/>
          <w:sz w:val="22"/>
          <w:szCs w:val="22"/>
        </w:rPr>
        <w:t>ggvenn</w:t>
      </w:r>
      <w:proofErr w:type="spellEnd"/>
      <w:r>
        <w:rPr>
          <w:sz w:val="22"/>
          <w:szCs w:val="22"/>
        </w:rPr>
        <w:t>.</w:t>
      </w:r>
      <w:r w:rsidR="001045AD">
        <w:rPr>
          <w:sz w:val="22"/>
          <w:szCs w:val="22"/>
        </w:rPr>
        <w:t xml:space="preserve"> </w:t>
      </w:r>
      <w:r w:rsidR="001045AD" w:rsidRPr="001045AD">
        <w:rPr>
          <w:sz w:val="22"/>
          <w:szCs w:val="22"/>
        </w:rPr>
        <w:t>We conducted cell-</w:t>
      </w:r>
      <w:proofErr w:type="gramStart"/>
      <w:r w:rsidR="001045AD" w:rsidRPr="001045AD">
        <w:rPr>
          <w:sz w:val="22"/>
          <w:szCs w:val="22"/>
        </w:rPr>
        <w:t>type  specific</w:t>
      </w:r>
      <w:proofErr w:type="gramEnd"/>
      <w:r w:rsidR="001045AD" w:rsidRPr="001045AD">
        <w:rPr>
          <w:sz w:val="22"/>
          <w:szCs w:val="22"/>
        </w:rPr>
        <w:t xml:space="preserve"> enrichment analysis using </w:t>
      </w:r>
      <w:proofErr w:type="spellStart"/>
      <w:r w:rsidR="001045AD" w:rsidRPr="001045AD">
        <w:rPr>
          <w:sz w:val="22"/>
          <w:szCs w:val="22"/>
        </w:rPr>
        <w:t>WebCSEA</w:t>
      </w:r>
      <w:proofErr w:type="spellEnd"/>
      <w:r w:rsidR="001045AD">
        <w:rPr>
          <w:sz w:val="22"/>
          <w:szCs w:val="22"/>
        </w:rPr>
        <w:fldChar w:fldCharType="begin"/>
      </w:r>
      <w:r w:rsidR="001045AD">
        <w:rPr>
          <w:sz w:val="22"/>
          <w:szCs w:val="22"/>
        </w:rPr>
        <w:instrText xml:space="preserve"> ADDIN ZOTERO_TEMP </w:instrText>
      </w:r>
      <w:r w:rsidR="001045AD">
        <w:rPr>
          <w:sz w:val="22"/>
          <w:szCs w:val="22"/>
        </w:rPr>
        <w:fldChar w:fldCharType="separate"/>
      </w:r>
      <w:r w:rsidR="001045AD">
        <w:rPr>
          <w:noProof/>
          <w:sz w:val="22"/>
          <w:szCs w:val="22"/>
        </w:rPr>
        <w:t>{Dai}</w:t>
      </w:r>
      <w:r w:rsidR="001045AD">
        <w:rPr>
          <w:sz w:val="22"/>
          <w:szCs w:val="22"/>
        </w:rPr>
        <w:fldChar w:fldCharType="end"/>
      </w:r>
      <w:r w:rsidR="001045AD" w:rsidRPr="001045AD">
        <w:rPr>
          <w:sz w:val="22"/>
          <w:szCs w:val="22"/>
        </w:rPr>
        <w:t xml:space="preserve"> and extracted the top 20 general cell types for each query.</w:t>
      </w:r>
      <w:r w:rsidR="004A2A48">
        <w:rPr>
          <w:sz w:val="22"/>
          <w:szCs w:val="22"/>
        </w:rPr>
        <w:t xml:space="preserve"> </w:t>
      </w:r>
      <w:r w:rsidR="004A2A48" w:rsidRPr="004A2A48">
        <w:rPr>
          <w:sz w:val="22"/>
          <w:szCs w:val="22"/>
        </w:rPr>
        <w:t>The Drug Gene Interaction Database (</w:t>
      </w:r>
      <w:proofErr w:type="spellStart"/>
      <w:r w:rsidR="004A2A48" w:rsidRPr="004A2A48">
        <w:rPr>
          <w:sz w:val="22"/>
          <w:szCs w:val="22"/>
        </w:rPr>
        <w:t>DGIdb</w:t>
      </w:r>
      <w:proofErr w:type="spellEnd"/>
      <w:r w:rsidR="004A2A48" w:rsidRPr="004A2A48">
        <w:rPr>
          <w:sz w:val="22"/>
          <w:szCs w:val="22"/>
        </w:rPr>
        <w:t>)</w:t>
      </w:r>
      <w:r w:rsidR="004A2A48">
        <w:rPr>
          <w:sz w:val="22"/>
          <w:szCs w:val="22"/>
        </w:rPr>
        <w:t xml:space="preserve"> </w:t>
      </w:r>
      <w:r w:rsidR="004A2A48" w:rsidRPr="004A2A48">
        <w:rPr>
          <w:sz w:val="22"/>
          <w:szCs w:val="22"/>
        </w:rPr>
        <w:t xml:space="preserve"> was queried for each ranked gene</w:t>
      </w:r>
      <w:r w:rsidR="004A2A48">
        <w:rPr>
          <w:sz w:val="22"/>
          <w:szCs w:val="22"/>
        </w:rPr>
        <w:t xml:space="preserve">. </w:t>
      </w:r>
      <w:r w:rsidR="004A2A48">
        <w:rPr>
          <w:sz w:val="22"/>
          <w:szCs w:val="22"/>
        </w:rPr>
        <w:fldChar w:fldCharType="begin"/>
      </w:r>
      <w:r w:rsidR="004A2A48">
        <w:rPr>
          <w:sz w:val="22"/>
          <w:szCs w:val="22"/>
        </w:rPr>
        <w:instrText xml:space="preserve"> ADDIN ZOTERO_ITEM CSL_CITATION {"citationID":"paKuPfKo","properties":{"formattedCitation":"(Freshour et al., 2021)","plainCitation":"(Freshour et al., 2021)","noteIndex":0},"citationItems":[{"id":2517,"uris":["http://zotero.org/users/14418362/items/2RAFLB25"],"itemData":{"id":2517,"type":"article-journal","abstract":"The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Pr>
          <w:sz w:val="22"/>
          <w:szCs w:val="22"/>
        </w:rPr>
        <w:fldChar w:fldCharType="separate"/>
      </w:r>
      <w:r w:rsidR="004A2A48">
        <w:rPr>
          <w:noProof/>
          <w:sz w:val="22"/>
          <w:szCs w:val="22"/>
        </w:rPr>
        <w:t>(Freshour et al., 2021)</w:t>
      </w:r>
      <w:r w:rsidR="004A2A48">
        <w:rPr>
          <w:sz w:val="22"/>
          <w:szCs w:val="22"/>
        </w:rPr>
        <w:fldChar w:fldCharType="end"/>
      </w:r>
    </w:p>
    <w:p w14:paraId="060F9079" w14:textId="77777777" w:rsidR="005D240B" w:rsidRDefault="005D240B" w:rsidP="005D240B">
      <w:pPr>
        <w:spacing w:line="480" w:lineRule="auto"/>
        <w:jc w:val="both"/>
        <w:rPr>
          <w:sz w:val="22"/>
          <w:szCs w:val="22"/>
        </w:rPr>
      </w:pPr>
    </w:p>
    <w:p w14:paraId="1E262FC6" w14:textId="77777777" w:rsidR="005D240B" w:rsidRPr="004957E8" w:rsidRDefault="005D240B" w:rsidP="005D240B">
      <w:pPr>
        <w:spacing w:line="480" w:lineRule="auto"/>
        <w:jc w:val="both"/>
        <w:rPr>
          <w:b/>
          <w:bCs/>
          <w:i/>
          <w:iCs/>
          <w:sz w:val="22"/>
          <w:szCs w:val="22"/>
        </w:rPr>
      </w:pPr>
      <w:r w:rsidRPr="004957E8">
        <w:rPr>
          <w:b/>
          <w:bCs/>
          <w:i/>
          <w:iCs/>
          <w:sz w:val="22"/>
          <w:szCs w:val="22"/>
        </w:rPr>
        <w:t>Protein Interaction Network</w:t>
      </w:r>
    </w:p>
    <w:p w14:paraId="3A039326" w14:textId="137B5C61" w:rsidR="005D240B" w:rsidRPr="005B64D9" w:rsidRDefault="005D240B" w:rsidP="005D240B">
      <w:pPr>
        <w:spacing w:line="480" w:lineRule="auto"/>
        <w:jc w:val="both"/>
        <w:rPr>
          <w:sz w:val="22"/>
          <w:szCs w:val="22"/>
        </w:rPr>
      </w:pPr>
      <w:r w:rsidRPr="005B64D9">
        <w:rPr>
          <w:sz w:val="22"/>
          <w:szCs w:val="22"/>
        </w:rPr>
        <w:lastRenderedPageBreak/>
        <w:t>Prioritised genes were analysed using the online tool STRING (https:// string-db.org)</w:t>
      </w:r>
      <w:r>
        <w:rPr>
          <w:sz w:val="22"/>
          <w:szCs w:val="22"/>
        </w:rPr>
        <w:t xml:space="preserve"> to determine potential protein-protein interactions</w:t>
      </w:r>
      <w:r w:rsidRPr="005B64D9">
        <w:rPr>
          <w:sz w:val="22"/>
          <w:szCs w:val="22"/>
        </w:rPr>
        <w:t>.</w:t>
      </w:r>
      <w:r>
        <w:rPr>
          <w:sz w:val="22"/>
          <w:szCs w:val="22"/>
        </w:rPr>
        <w:t xml:space="preserve"> For humans 919 genes were mapped, for rodents 1726. </w:t>
      </w:r>
      <w:r w:rsidRPr="005B64D9">
        <w:rPr>
          <w:sz w:val="22"/>
          <w:szCs w:val="22"/>
        </w:rPr>
        <w:t xml:space="preserve"> A PPI network was constructed using the MCL (Markov Clustering) algorithm, with an inflation parameter of 3</w:t>
      </w:r>
      <w:r>
        <w:rPr>
          <w:sz w:val="22"/>
          <w:szCs w:val="22"/>
        </w:rPr>
        <w:t xml:space="preserve"> and focused on high confidence (interaction score of &gt;= 0.7) interactions</w:t>
      </w:r>
      <w:r w:rsidRPr="005B64D9">
        <w:rPr>
          <w:sz w:val="22"/>
          <w:szCs w:val="22"/>
        </w:rPr>
        <w:t xml:space="preserve">. The network was exported and hub genes subsequently identified using </w:t>
      </w:r>
      <w:proofErr w:type="spellStart"/>
      <w:r w:rsidRPr="005B64D9">
        <w:rPr>
          <w:sz w:val="22"/>
          <w:szCs w:val="22"/>
        </w:rPr>
        <w:t>CytoHubba</w:t>
      </w:r>
      <w:proofErr w:type="spellEnd"/>
      <w:r w:rsidRPr="005B64D9">
        <w:rPr>
          <w:sz w:val="22"/>
          <w:szCs w:val="22"/>
        </w:rPr>
        <w:t xml:space="preserve"> 0.1 implemented in </w:t>
      </w:r>
      <w:proofErr w:type="spellStart"/>
      <w:r w:rsidRPr="005B64D9">
        <w:rPr>
          <w:sz w:val="22"/>
          <w:szCs w:val="22"/>
        </w:rPr>
        <w:t>CytoScape</w:t>
      </w:r>
      <w:proofErr w:type="spellEnd"/>
      <w:r w:rsidRPr="005B64D9">
        <w:rPr>
          <w:sz w:val="22"/>
          <w:szCs w:val="22"/>
        </w:rPr>
        <w:t xml:space="preserve"> 3.10.3. The overlap of the </w:t>
      </w:r>
      <w:r w:rsidRPr="004957E8">
        <w:rPr>
          <w:sz w:val="22"/>
          <w:szCs w:val="22"/>
        </w:rPr>
        <w:t xml:space="preserve">top 100 ranked genes, ranked using </w:t>
      </w:r>
      <w:r>
        <w:rPr>
          <w:sz w:val="22"/>
          <w:szCs w:val="22"/>
        </w:rPr>
        <w:t>5</w:t>
      </w:r>
      <w:r w:rsidRPr="004957E8">
        <w:rPr>
          <w:sz w:val="22"/>
          <w:szCs w:val="22"/>
        </w:rPr>
        <w:t xml:space="preserve"> common algorithms</w:t>
      </w:r>
      <w:r w:rsidRPr="005B64D9">
        <w:rPr>
          <w:sz w:val="22"/>
          <w:szCs w:val="22"/>
        </w:rPr>
        <w:t xml:space="preserve"> (MCC, MNC, Degree, EPC and </w:t>
      </w:r>
      <w:r w:rsidRPr="004957E8">
        <w:rPr>
          <w:sz w:val="22"/>
          <w:szCs w:val="22"/>
        </w:rPr>
        <w:t>DMNC), was</w:t>
      </w:r>
      <w:r w:rsidRPr="005B64D9">
        <w:rPr>
          <w:sz w:val="22"/>
          <w:szCs w:val="22"/>
        </w:rPr>
        <w:t xml:space="preserve"> used to evaluate hub genes</w:t>
      </w:r>
      <w:r>
        <w:rPr>
          <w:sz w:val="22"/>
          <w:szCs w:val="22"/>
        </w:rPr>
        <w:t>, apart from overlaps</w:t>
      </w:r>
      <w:r w:rsidR="009F3C8A">
        <w:rPr>
          <w:sz w:val="22"/>
          <w:szCs w:val="22"/>
        </w:rPr>
        <w:t xml:space="preserve"> between MAIC analyses</w:t>
      </w:r>
      <w:r>
        <w:rPr>
          <w:sz w:val="22"/>
          <w:szCs w:val="22"/>
        </w:rPr>
        <w:t xml:space="preserve"> where </w:t>
      </w:r>
      <w:r w:rsidR="009F3C8A" w:rsidRPr="005B64D9">
        <w:rPr>
          <w:sz w:val="22"/>
          <w:szCs w:val="22"/>
        </w:rPr>
        <w:t xml:space="preserve">the </w:t>
      </w:r>
      <w:r w:rsidR="009F3C8A" w:rsidRPr="004957E8">
        <w:rPr>
          <w:sz w:val="22"/>
          <w:szCs w:val="22"/>
        </w:rPr>
        <w:t>top 10 ranked genes</w:t>
      </w:r>
      <w:r w:rsidR="009F3C8A">
        <w:rPr>
          <w:sz w:val="22"/>
          <w:szCs w:val="22"/>
        </w:rPr>
        <w:t xml:space="preserve"> </w:t>
      </w:r>
      <w:r>
        <w:rPr>
          <w:sz w:val="22"/>
          <w:szCs w:val="22"/>
        </w:rPr>
        <w:t>were used</w:t>
      </w:r>
      <w:r w:rsidRPr="005B64D9">
        <w:rPr>
          <w:sz w:val="22"/>
          <w:szCs w:val="22"/>
        </w:rPr>
        <w:t>.</w:t>
      </w:r>
      <w:r>
        <w:rPr>
          <w:sz w:val="22"/>
          <w:szCs w:val="22"/>
        </w:rPr>
        <w:fldChar w:fldCharType="begin"/>
      </w:r>
      <w:r>
        <w:rPr>
          <w:sz w:val="22"/>
          <w:szCs w:val="22"/>
        </w:rPr>
        <w:instrText xml:space="preserve"> ADDIN ZOTERO_TEMP </w:instrText>
      </w:r>
      <w:r>
        <w:rPr>
          <w:sz w:val="22"/>
          <w:szCs w:val="22"/>
        </w:rPr>
        <w:fldChar w:fldCharType="separate"/>
      </w:r>
      <w:r>
        <w:rPr>
          <w:sz w:val="22"/>
          <w:szCs w:val="22"/>
        </w:rPr>
        <w:fldChar w:fldCharType="end"/>
      </w:r>
      <w:r w:rsidRPr="005B64D9">
        <w:rPr>
          <w:sz w:val="22"/>
          <w:szCs w:val="22"/>
        </w:rPr>
        <w:t xml:space="preserve"> </w:t>
      </w:r>
    </w:p>
    <w:p w14:paraId="3630F8F0" w14:textId="77777777" w:rsidR="005D240B" w:rsidRPr="005B64D9" w:rsidRDefault="005D240B" w:rsidP="005D240B">
      <w:pPr>
        <w:spacing w:line="480" w:lineRule="auto"/>
        <w:jc w:val="both"/>
        <w:rPr>
          <w:sz w:val="22"/>
          <w:szCs w:val="22"/>
        </w:rPr>
      </w:pPr>
    </w:p>
    <w:p w14:paraId="483B6AFA" w14:textId="77777777" w:rsidR="0077789B" w:rsidRPr="0077789B" w:rsidRDefault="0077789B" w:rsidP="0077789B">
      <w:pPr>
        <w:spacing w:line="480" w:lineRule="auto"/>
        <w:jc w:val="both"/>
        <w:rPr>
          <w:b/>
          <w:bCs/>
          <w:sz w:val="22"/>
          <w:szCs w:val="22"/>
        </w:rPr>
      </w:pPr>
      <w:r w:rsidRPr="0077789B">
        <w:rPr>
          <w:b/>
          <w:bCs/>
          <w:sz w:val="22"/>
          <w:szCs w:val="22"/>
        </w:rPr>
        <w:t>Overlap Analysis of Ranked Gene Lists</w:t>
      </w:r>
    </w:p>
    <w:p w14:paraId="0FCAEAC1" w14:textId="2A83D582" w:rsidR="005D240B" w:rsidRPr="005B64D9" w:rsidRDefault="0077789B" w:rsidP="0077789B">
      <w:pPr>
        <w:spacing w:line="480" w:lineRule="auto"/>
        <w:jc w:val="both"/>
        <w:rPr>
          <w:sz w:val="22"/>
          <w:szCs w:val="22"/>
        </w:rPr>
      </w:pPr>
      <w:r w:rsidRPr="0077789B">
        <w:rPr>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5B64D9" w:rsidRDefault="005D240B" w:rsidP="005D240B">
      <w:pPr>
        <w:spacing w:line="480" w:lineRule="auto"/>
        <w:jc w:val="both"/>
        <w:rPr>
          <w:sz w:val="22"/>
          <w:szCs w:val="22"/>
        </w:rPr>
      </w:pPr>
    </w:p>
    <w:p w14:paraId="71BC31DA" w14:textId="77777777" w:rsidR="005D240B" w:rsidRPr="005B64D9" w:rsidRDefault="005D240B" w:rsidP="005D240B">
      <w:pPr>
        <w:spacing w:line="480" w:lineRule="auto"/>
        <w:rPr>
          <w:b/>
          <w:bCs/>
          <w:sz w:val="22"/>
          <w:szCs w:val="22"/>
        </w:rPr>
      </w:pPr>
      <w:r w:rsidRPr="005B64D9">
        <w:rPr>
          <w:b/>
          <w:bCs/>
          <w:sz w:val="22"/>
          <w:szCs w:val="22"/>
        </w:rPr>
        <w:br w:type="page"/>
      </w:r>
    </w:p>
    <w:p w14:paraId="5BD17566" w14:textId="77777777" w:rsidR="005D240B" w:rsidRDefault="005D240B" w:rsidP="005D240B">
      <w:pPr>
        <w:spacing w:line="480" w:lineRule="auto"/>
        <w:jc w:val="both"/>
        <w:rPr>
          <w:b/>
          <w:bCs/>
          <w:sz w:val="22"/>
          <w:szCs w:val="22"/>
        </w:rPr>
      </w:pPr>
      <w:r w:rsidRPr="005B64D9">
        <w:rPr>
          <w:b/>
          <w:bCs/>
          <w:sz w:val="22"/>
          <w:szCs w:val="22"/>
        </w:rPr>
        <w:lastRenderedPageBreak/>
        <w:t>References</w:t>
      </w:r>
    </w:p>
    <w:p w14:paraId="43A9E57E" w14:textId="77777777" w:rsidR="005D240B" w:rsidRDefault="005D240B" w:rsidP="005D240B">
      <w:pPr>
        <w:spacing w:line="480" w:lineRule="auto"/>
        <w:jc w:val="both"/>
        <w:rPr>
          <w:b/>
          <w:bCs/>
          <w:sz w:val="22"/>
          <w:szCs w:val="22"/>
        </w:rPr>
      </w:pPr>
    </w:p>
    <w:p w14:paraId="30E969BF" w14:textId="77777777" w:rsidR="0079558E" w:rsidRPr="0079558E" w:rsidRDefault="005D240B" w:rsidP="0079558E">
      <w:pPr>
        <w:pStyle w:val="Bibliography"/>
        <w:rPr>
          <w:rFonts w:ascii="Aptos"/>
          <w:sz w:val="22"/>
        </w:rPr>
      </w:pPr>
      <w:r>
        <w:rPr>
          <w:b/>
          <w:bCs/>
          <w:sz w:val="22"/>
          <w:szCs w:val="22"/>
        </w:rPr>
        <w:fldChar w:fldCharType="begin"/>
      </w:r>
      <w:r>
        <w:rPr>
          <w:b/>
          <w:bCs/>
          <w:sz w:val="22"/>
          <w:szCs w:val="22"/>
        </w:rPr>
        <w:instrText xml:space="preserve"> ADDIN ZOTERO_BIBL {"uncited":[],"omitted":[],"custom":[]} CSL_BIBLIOGRAPHY </w:instrText>
      </w:r>
      <w:r>
        <w:rPr>
          <w:b/>
          <w:bCs/>
          <w:sz w:val="22"/>
          <w:szCs w:val="22"/>
        </w:rPr>
        <w:fldChar w:fldCharType="separate"/>
      </w:r>
      <w:proofErr w:type="spellStart"/>
      <w:r w:rsidR="0079558E" w:rsidRPr="0079558E">
        <w:rPr>
          <w:rFonts w:ascii="Aptos"/>
          <w:sz w:val="22"/>
        </w:rPr>
        <w:t>Ambalavanan</w:t>
      </w:r>
      <w:proofErr w:type="spellEnd"/>
      <w:r w:rsidR="0079558E" w:rsidRPr="0079558E">
        <w:rPr>
          <w:rFonts w:ascii="Aptos"/>
          <w:sz w:val="22"/>
        </w:rPr>
        <w:t xml:space="preserve">, N., Cotten, C. M., Page, G. P., Carlo, W. A., Murray, J. C., Bhattacharya, S., Mariani, T. J., Cuna, A. C., Faye-Petersen, O. M., Kelly, D., &amp; Higgins, R. D. (2015). Integrated Genomic Analyses in Bronchopulmonary Dysplasia. </w:t>
      </w:r>
      <w:r w:rsidR="0079558E" w:rsidRPr="0079558E">
        <w:rPr>
          <w:rFonts w:ascii="Aptos"/>
          <w:i/>
          <w:iCs/>
          <w:sz w:val="22"/>
        </w:rPr>
        <w:t xml:space="preserve">The Journal of </w:t>
      </w:r>
      <w:proofErr w:type="spellStart"/>
      <w:r w:rsidR="0079558E" w:rsidRPr="0079558E">
        <w:rPr>
          <w:rFonts w:ascii="Aptos"/>
          <w:i/>
          <w:iCs/>
          <w:sz w:val="22"/>
        </w:rPr>
        <w:t>Pediatrics</w:t>
      </w:r>
      <w:proofErr w:type="spellEnd"/>
      <w:r w:rsidR="0079558E" w:rsidRPr="0079558E">
        <w:rPr>
          <w:rFonts w:ascii="Aptos"/>
          <w:sz w:val="22"/>
        </w:rPr>
        <w:t xml:space="preserve">, </w:t>
      </w:r>
      <w:r w:rsidR="0079558E" w:rsidRPr="0079558E">
        <w:rPr>
          <w:rFonts w:ascii="Aptos"/>
          <w:i/>
          <w:iCs/>
          <w:sz w:val="22"/>
        </w:rPr>
        <w:t>166</w:t>
      </w:r>
      <w:r w:rsidR="0079558E" w:rsidRPr="0079558E">
        <w:rPr>
          <w:rFonts w:ascii="Aptos"/>
          <w:sz w:val="22"/>
        </w:rPr>
        <w:t>(3), 531-537.e13. https://doi.org/10.1016/j.jpeds.2014.09.052</w:t>
      </w:r>
    </w:p>
    <w:p w14:paraId="058A995C" w14:textId="77777777" w:rsidR="0079558E" w:rsidRPr="0079558E" w:rsidRDefault="0079558E" w:rsidP="0079558E">
      <w:pPr>
        <w:pStyle w:val="Bibliography"/>
        <w:rPr>
          <w:rFonts w:ascii="Aptos"/>
          <w:sz w:val="22"/>
        </w:rPr>
      </w:pPr>
      <w:r w:rsidRPr="0079558E">
        <w:rPr>
          <w:rFonts w:ascii="Aptos"/>
          <w:sz w:val="22"/>
        </w:rPr>
        <w:t xml:space="preserve">Bhandari, V., Bizzarro, M. J., Shetty, A., Zhong, X., Page, G. P., Zhang, H., Ment, L. R., Gruen, J. R., &amp; for the Neonatal Genetics Study Group. (2006). Familial and Genetic Susceptibility to Major Neonatal Morbidities in Preterm Twins. </w:t>
      </w:r>
      <w:proofErr w:type="spellStart"/>
      <w:r w:rsidRPr="0079558E">
        <w:rPr>
          <w:rFonts w:ascii="Aptos"/>
          <w:i/>
          <w:iCs/>
          <w:sz w:val="22"/>
        </w:rPr>
        <w:t>Pediatrics</w:t>
      </w:r>
      <w:proofErr w:type="spellEnd"/>
      <w:r w:rsidRPr="0079558E">
        <w:rPr>
          <w:rFonts w:ascii="Aptos"/>
          <w:sz w:val="22"/>
        </w:rPr>
        <w:t xml:space="preserve">, </w:t>
      </w:r>
      <w:r w:rsidRPr="0079558E">
        <w:rPr>
          <w:rFonts w:ascii="Aptos"/>
          <w:i/>
          <w:iCs/>
          <w:sz w:val="22"/>
        </w:rPr>
        <w:t>117</w:t>
      </w:r>
      <w:r w:rsidRPr="0079558E">
        <w:rPr>
          <w:rFonts w:ascii="Aptos"/>
          <w:sz w:val="22"/>
        </w:rPr>
        <w:t>(6), 1901–1906. https://doi.org/10.1542/peds.2005-1414</w:t>
      </w:r>
    </w:p>
    <w:p w14:paraId="312A1126" w14:textId="77777777" w:rsidR="0079558E" w:rsidRPr="0079558E" w:rsidRDefault="0079558E" w:rsidP="0079558E">
      <w:pPr>
        <w:pStyle w:val="Bibliography"/>
        <w:rPr>
          <w:rFonts w:ascii="Aptos"/>
          <w:sz w:val="22"/>
        </w:rPr>
      </w:pPr>
      <w:r w:rsidRPr="0079558E">
        <w:rPr>
          <w:rFonts w:ascii="Aptos"/>
          <w:sz w:val="22"/>
        </w:rPr>
        <w:t xml:space="preserve">Clark, J., </w:t>
      </w:r>
      <w:proofErr w:type="spellStart"/>
      <w:r w:rsidRPr="0079558E">
        <w:rPr>
          <w:rFonts w:ascii="Aptos"/>
          <w:sz w:val="22"/>
        </w:rPr>
        <w:t>Glasziou</w:t>
      </w:r>
      <w:proofErr w:type="spellEnd"/>
      <w:r w:rsidRPr="0079558E">
        <w:rPr>
          <w:rFonts w:ascii="Aptos"/>
          <w:sz w:val="22"/>
        </w:rPr>
        <w:t xml:space="preserve">, P., Del Mar, C., Bannach-Brown, A., Stehlik, P., &amp; Scott, A. M. (2020). A full systematic review was completed in 2 weeks using automation tools: A case study. </w:t>
      </w:r>
      <w:r w:rsidRPr="0079558E">
        <w:rPr>
          <w:rFonts w:ascii="Aptos"/>
          <w:i/>
          <w:iCs/>
          <w:sz w:val="22"/>
        </w:rPr>
        <w:t>Journal of Clinical Epidemiology</w:t>
      </w:r>
      <w:r w:rsidRPr="0079558E">
        <w:rPr>
          <w:rFonts w:ascii="Aptos"/>
          <w:sz w:val="22"/>
        </w:rPr>
        <w:t xml:space="preserve">, </w:t>
      </w:r>
      <w:r w:rsidRPr="0079558E">
        <w:rPr>
          <w:rFonts w:ascii="Aptos"/>
          <w:i/>
          <w:iCs/>
          <w:sz w:val="22"/>
        </w:rPr>
        <w:t>121</w:t>
      </w:r>
      <w:r w:rsidRPr="0079558E">
        <w:rPr>
          <w:rFonts w:ascii="Aptos"/>
          <w:sz w:val="22"/>
        </w:rPr>
        <w:t>, 81–90. https://doi.org/10.1016/j.jclinepi.2020.01.008</w:t>
      </w:r>
    </w:p>
    <w:p w14:paraId="35E0B785" w14:textId="77777777" w:rsidR="0079558E" w:rsidRPr="0079558E" w:rsidRDefault="0079558E" w:rsidP="0079558E">
      <w:pPr>
        <w:pStyle w:val="Bibliography"/>
        <w:rPr>
          <w:rFonts w:ascii="Aptos"/>
          <w:sz w:val="22"/>
        </w:rPr>
      </w:pPr>
      <w:r w:rsidRPr="0079558E">
        <w:rPr>
          <w:rFonts w:ascii="Aptos"/>
          <w:sz w:val="22"/>
        </w:rPr>
        <w:t xml:space="preserve">Dai, Y., Hu, R., Liu, A., Cho, K. S., Manuel, A. M., Li, X., Dong, X., Jia, P., &amp; Zhao, Z. (2022). </w:t>
      </w:r>
      <w:proofErr w:type="spellStart"/>
      <w:r w:rsidRPr="0079558E">
        <w:rPr>
          <w:rFonts w:ascii="Aptos"/>
          <w:sz w:val="22"/>
        </w:rPr>
        <w:t>WebCSEA</w:t>
      </w:r>
      <w:proofErr w:type="spellEnd"/>
      <w:r w:rsidRPr="0079558E">
        <w:rPr>
          <w:rFonts w:ascii="Aptos"/>
          <w:sz w:val="22"/>
        </w:rPr>
        <w:t xml:space="preserve">: Web-based cell-type-specific enrichment analysis of genes. </w:t>
      </w:r>
      <w:r w:rsidRPr="0079558E">
        <w:rPr>
          <w:rFonts w:ascii="Aptos"/>
          <w:i/>
          <w:iCs/>
          <w:sz w:val="22"/>
        </w:rPr>
        <w:t>Nucleic Acids Research</w:t>
      </w:r>
      <w:r w:rsidRPr="0079558E">
        <w:rPr>
          <w:rFonts w:ascii="Aptos"/>
          <w:sz w:val="22"/>
        </w:rPr>
        <w:t xml:space="preserve">, </w:t>
      </w:r>
      <w:r w:rsidRPr="0079558E">
        <w:rPr>
          <w:rFonts w:ascii="Aptos"/>
          <w:i/>
          <w:iCs/>
          <w:sz w:val="22"/>
        </w:rPr>
        <w:t>50</w:t>
      </w:r>
      <w:r w:rsidRPr="0079558E">
        <w:rPr>
          <w:rFonts w:ascii="Aptos"/>
          <w:sz w:val="22"/>
        </w:rPr>
        <w:t>(W1), W782–W790. https://doi.org/10.1093/nar/gkac392</w:t>
      </w:r>
    </w:p>
    <w:p w14:paraId="08ED458F" w14:textId="77777777" w:rsidR="0079558E" w:rsidRPr="0079558E" w:rsidRDefault="0079558E" w:rsidP="0079558E">
      <w:pPr>
        <w:pStyle w:val="Bibliography"/>
        <w:rPr>
          <w:rFonts w:ascii="Aptos"/>
          <w:sz w:val="22"/>
        </w:rPr>
      </w:pPr>
      <w:proofErr w:type="spellStart"/>
      <w:r w:rsidRPr="0079558E">
        <w:rPr>
          <w:rFonts w:ascii="Aptos"/>
          <w:sz w:val="22"/>
        </w:rPr>
        <w:t>Dassios</w:t>
      </w:r>
      <w:proofErr w:type="spellEnd"/>
      <w:r w:rsidRPr="0079558E">
        <w:rPr>
          <w:rFonts w:ascii="Aptos"/>
          <w:sz w:val="22"/>
        </w:rPr>
        <w:t xml:space="preserve">, T., &amp; Greenough, A. (2021). Long-term sequelae of bronchopulmonary dysplasia. In I. P. Sinha, J. M. Bhatt, A. Cleator, &amp; H. Wallace (Eds), </w:t>
      </w:r>
      <w:proofErr w:type="gramStart"/>
      <w:r w:rsidRPr="0079558E">
        <w:rPr>
          <w:rFonts w:ascii="Aptos"/>
          <w:i/>
          <w:iCs/>
          <w:sz w:val="22"/>
        </w:rPr>
        <w:t>Respiratory Diseases</w:t>
      </w:r>
      <w:proofErr w:type="gramEnd"/>
      <w:r w:rsidRPr="0079558E">
        <w:rPr>
          <w:rFonts w:ascii="Aptos"/>
          <w:i/>
          <w:iCs/>
          <w:sz w:val="22"/>
        </w:rPr>
        <w:t xml:space="preserve"> of the Newborn Infant</w:t>
      </w:r>
      <w:r w:rsidRPr="0079558E">
        <w:rPr>
          <w:rFonts w:ascii="Aptos"/>
          <w:sz w:val="22"/>
        </w:rPr>
        <w:t xml:space="preserve"> (pp. 68–78). European Respiratory Society. https://doi.org/10.1183/2312508X.10013720</w:t>
      </w:r>
    </w:p>
    <w:p w14:paraId="11922311" w14:textId="77777777" w:rsidR="0079558E" w:rsidRPr="0079558E" w:rsidRDefault="0079558E" w:rsidP="0079558E">
      <w:pPr>
        <w:pStyle w:val="Bibliography"/>
        <w:rPr>
          <w:rFonts w:ascii="Aptos"/>
          <w:sz w:val="22"/>
        </w:rPr>
      </w:pPr>
      <w:r w:rsidRPr="0079558E">
        <w:rPr>
          <w:rFonts w:ascii="Aptos"/>
          <w:sz w:val="22"/>
        </w:rPr>
        <w:t xml:space="preserve">Eiby, Y. A., Wright, L. L., </w:t>
      </w:r>
      <w:proofErr w:type="spellStart"/>
      <w:r w:rsidRPr="0079558E">
        <w:rPr>
          <w:rFonts w:ascii="Aptos"/>
          <w:sz w:val="22"/>
        </w:rPr>
        <w:t>Kalanjati</w:t>
      </w:r>
      <w:proofErr w:type="spellEnd"/>
      <w:r w:rsidRPr="0079558E">
        <w:rPr>
          <w:rFonts w:ascii="Aptos"/>
          <w:sz w:val="22"/>
        </w:rPr>
        <w:t xml:space="preserve">, V. P., Miller, S. M., Bjorkman, S. T., Keates, H. L., Lumbers, E. R., Colditz, P. B., &amp; Lingwood, B. E. (2013). A Pig Model of the Preterm Neonate: Anthropometric and Physiological Characteristics. </w:t>
      </w:r>
      <w:proofErr w:type="spellStart"/>
      <w:r w:rsidRPr="0079558E">
        <w:rPr>
          <w:rFonts w:ascii="Aptos"/>
          <w:i/>
          <w:iCs/>
          <w:sz w:val="22"/>
        </w:rPr>
        <w:t>PLoS</w:t>
      </w:r>
      <w:proofErr w:type="spellEnd"/>
      <w:r w:rsidRPr="0079558E">
        <w:rPr>
          <w:rFonts w:ascii="Aptos"/>
          <w:i/>
          <w:iCs/>
          <w:sz w:val="22"/>
        </w:rPr>
        <w:t xml:space="preserve"> ONE</w:t>
      </w:r>
      <w:r w:rsidRPr="0079558E">
        <w:rPr>
          <w:rFonts w:ascii="Aptos"/>
          <w:sz w:val="22"/>
        </w:rPr>
        <w:t xml:space="preserve">, </w:t>
      </w:r>
      <w:r w:rsidRPr="0079558E">
        <w:rPr>
          <w:rFonts w:ascii="Aptos"/>
          <w:i/>
          <w:iCs/>
          <w:sz w:val="22"/>
        </w:rPr>
        <w:t>8</w:t>
      </w:r>
      <w:r w:rsidRPr="0079558E">
        <w:rPr>
          <w:rFonts w:ascii="Aptos"/>
          <w:sz w:val="22"/>
        </w:rPr>
        <w:t>(7), e68763. https://doi.org/10.1371/journal.pone.0068763</w:t>
      </w:r>
    </w:p>
    <w:p w14:paraId="2E580BC8" w14:textId="77777777" w:rsidR="0079558E" w:rsidRPr="0079558E" w:rsidRDefault="0079558E" w:rsidP="0079558E">
      <w:pPr>
        <w:pStyle w:val="Bibliography"/>
        <w:rPr>
          <w:rFonts w:ascii="Aptos"/>
          <w:sz w:val="22"/>
        </w:rPr>
      </w:pPr>
      <w:proofErr w:type="spellStart"/>
      <w:r w:rsidRPr="0079558E">
        <w:rPr>
          <w:rFonts w:ascii="Aptos"/>
          <w:sz w:val="22"/>
        </w:rPr>
        <w:lastRenderedPageBreak/>
        <w:t>Eltzschig</w:t>
      </w:r>
      <w:proofErr w:type="spellEnd"/>
      <w:r w:rsidRPr="0079558E">
        <w:rPr>
          <w:rFonts w:ascii="Aptos"/>
          <w:sz w:val="22"/>
        </w:rPr>
        <w:t xml:space="preserve">, H. K., &amp; </w:t>
      </w:r>
      <w:proofErr w:type="spellStart"/>
      <w:r w:rsidRPr="0079558E">
        <w:rPr>
          <w:rFonts w:ascii="Aptos"/>
          <w:sz w:val="22"/>
        </w:rPr>
        <w:t>Carmeliet</w:t>
      </w:r>
      <w:proofErr w:type="spellEnd"/>
      <w:r w:rsidRPr="0079558E">
        <w:rPr>
          <w:rFonts w:ascii="Aptos"/>
          <w:sz w:val="22"/>
        </w:rPr>
        <w:t xml:space="preserve">, P. (2011). Hypoxia and inflammation. </w:t>
      </w:r>
      <w:r w:rsidRPr="0079558E">
        <w:rPr>
          <w:rFonts w:ascii="Aptos"/>
          <w:i/>
          <w:iCs/>
          <w:sz w:val="22"/>
        </w:rPr>
        <w:t>The New England Journal of Medicine</w:t>
      </w:r>
      <w:r w:rsidRPr="0079558E">
        <w:rPr>
          <w:rFonts w:ascii="Aptos"/>
          <w:sz w:val="22"/>
        </w:rPr>
        <w:t xml:space="preserve">, </w:t>
      </w:r>
      <w:r w:rsidRPr="0079558E">
        <w:rPr>
          <w:rFonts w:ascii="Aptos"/>
          <w:i/>
          <w:iCs/>
          <w:sz w:val="22"/>
        </w:rPr>
        <w:t>364</w:t>
      </w:r>
      <w:r w:rsidRPr="0079558E">
        <w:rPr>
          <w:rFonts w:ascii="Aptos"/>
          <w:sz w:val="22"/>
        </w:rPr>
        <w:t>(7), 656–665. https://doi.org/10.1056/NEJMra0910283</w:t>
      </w:r>
    </w:p>
    <w:p w14:paraId="02C8D1E0" w14:textId="77777777" w:rsidR="0079558E" w:rsidRPr="0079558E" w:rsidRDefault="0079558E" w:rsidP="0079558E">
      <w:pPr>
        <w:pStyle w:val="Bibliography"/>
        <w:rPr>
          <w:rFonts w:ascii="Aptos"/>
          <w:sz w:val="22"/>
        </w:rPr>
      </w:pPr>
      <w:r w:rsidRPr="0079558E">
        <w:rPr>
          <w:rFonts w:ascii="Aptos"/>
          <w:sz w:val="22"/>
        </w:rPr>
        <w:t>Freshour, S. L., Kiwala, S., Cotto, K. C., Coffman, A. C., McMichael, J. F., Song, J. J., Griffith, M., Griffith, O. L., &amp; Wagner, A. H. (2021). Integration of the Drug–Gene Interaction Database (</w:t>
      </w:r>
      <w:proofErr w:type="spellStart"/>
      <w:r w:rsidRPr="0079558E">
        <w:rPr>
          <w:rFonts w:ascii="Aptos"/>
          <w:sz w:val="22"/>
        </w:rPr>
        <w:t>DGIdb</w:t>
      </w:r>
      <w:proofErr w:type="spellEnd"/>
      <w:r w:rsidRPr="0079558E">
        <w:rPr>
          <w:rFonts w:ascii="Aptos"/>
          <w:sz w:val="22"/>
        </w:rPr>
        <w:t xml:space="preserve"> 4.0) with open crowdsource efforts. </w:t>
      </w:r>
      <w:r w:rsidRPr="0079558E">
        <w:rPr>
          <w:rFonts w:ascii="Aptos"/>
          <w:i/>
          <w:iCs/>
          <w:sz w:val="22"/>
        </w:rPr>
        <w:t>Nucleic Acids Research</w:t>
      </w:r>
      <w:r w:rsidRPr="0079558E">
        <w:rPr>
          <w:rFonts w:ascii="Aptos"/>
          <w:sz w:val="22"/>
        </w:rPr>
        <w:t xml:space="preserve">, </w:t>
      </w:r>
      <w:r w:rsidRPr="0079558E">
        <w:rPr>
          <w:rFonts w:ascii="Aptos"/>
          <w:i/>
          <w:iCs/>
          <w:sz w:val="22"/>
        </w:rPr>
        <w:t>49</w:t>
      </w:r>
      <w:r w:rsidRPr="0079558E">
        <w:rPr>
          <w:rFonts w:ascii="Aptos"/>
          <w:sz w:val="22"/>
        </w:rPr>
        <w:t>(D1), D1144–D1151. https://doi.org/10.1093/nar/gkaa1084</w:t>
      </w:r>
    </w:p>
    <w:p w14:paraId="6D282629" w14:textId="77777777" w:rsidR="0079558E" w:rsidRPr="0079558E" w:rsidRDefault="0079558E" w:rsidP="0079558E">
      <w:pPr>
        <w:pStyle w:val="Bibliography"/>
        <w:rPr>
          <w:rFonts w:ascii="Aptos"/>
          <w:sz w:val="22"/>
        </w:rPr>
      </w:pPr>
      <w:r w:rsidRPr="0079558E">
        <w:rPr>
          <w:rFonts w:ascii="Aptos"/>
          <w:sz w:val="22"/>
        </w:rPr>
        <w:t xml:space="preserve">Fuller, D. M., Zhu, M., Song, X., Ou-Yang, C., Sullivan, S. A., Stone, J. C., &amp; Zhang, W. (2012). Regulation of RasGRP1 Function in T Cell Development and Activation by Its Unique Tail Domain. </w:t>
      </w:r>
      <w:proofErr w:type="spellStart"/>
      <w:r w:rsidRPr="0079558E">
        <w:rPr>
          <w:rFonts w:ascii="Aptos"/>
          <w:i/>
          <w:iCs/>
          <w:sz w:val="22"/>
        </w:rPr>
        <w:t>PLoS</w:t>
      </w:r>
      <w:proofErr w:type="spellEnd"/>
      <w:r w:rsidRPr="0079558E">
        <w:rPr>
          <w:rFonts w:ascii="Aptos"/>
          <w:i/>
          <w:iCs/>
          <w:sz w:val="22"/>
        </w:rPr>
        <w:t xml:space="preserve"> ONE</w:t>
      </w:r>
      <w:r w:rsidRPr="0079558E">
        <w:rPr>
          <w:rFonts w:ascii="Aptos"/>
          <w:sz w:val="22"/>
        </w:rPr>
        <w:t xml:space="preserve">, </w:t>
      </w:r>
      <w:r w:rsidRPr="0079558E">
        <w:rPr>
          <w:rFonts w:ascii="Aptos"/>
          <w:i/>
          <w:iCs/>
          <w:sz w:val="22"/>
        </w:rPr>
        <w:t>7</w:t>
      </w:r>
      <w:r w:rsidRPr="0079558E">
        <w:rPr>
          <w:rFonts w:ascii="Aptos"/>
          <w:sz w:val="22"/>
        </w:rPr>
        <w:t>(6), e38796. https://doi.org/10.1371/journal.pone.0038796</w:t>
      </w:r>
    </w:p>
    <w:p w14:paraId="384CDE0C" w14:textId="77777777" w:rsidR="0079558E" w:rsidRPr="0079558E" w:rsidRDefault="0079558E" w:rsidP="0079558E">
      <w:pPr>
        <w:pStyle w:val="Bibliography"/>
        <w:rPr>
          <w:rFonts w:ascii="Aptos"/>
          <w:sz w:val="22"/>
        </w:rPr>
      </w:pPr>
      <w:r w:rsidRPr="0079558E">
        <w:rPr>
          <w:rFonts w:ascii="Aptos"/>
          <w:sz w:val="22"/>
        </w:rPr>
        <w:t xml:space="preserve">Gilfillan, M., Bhandari, A., &amp; Bhandari, V. (2021). Diagnosis and management of bronchopulmonary dysplasia. </w:t>
      </w:r>
      <w:r w:rsidRPr="0079558E">
        <w:rPr>
          <w:rFonts w:ascii="Aptos"/>
          <w:i/>
          <w:iCs/>
          <w:sz w:val="22"/>
        </w:rPr>
        <w:t>BMJ</w:t>
      </w:r>
      <w:r w:rsidRPr="0079558E">
        <w:rPr>
          <w:rFonts w:ascii="Aptos"/>
          <w:sz w:val="22"/>
        </w:rPr>
        <w:t>, n1974. https://doi.org/10.1136/bmj.n1974</w:t>
      </w:r>
    </w:p>
    <w:p w14:paraId="77EF332B" w14:textId="77777777" w:rsidR="0079558E" w:rsidRPr="0079558E" w:rsidRDefault="0079558E" w:rsidP="0079558E">
      <w:pPr>
        <w:pStyle w:val="Bibliography"/>
        <w:rPr>
          <w:rFonts w:ascii="Aptos"/>
          <w:sz w:val="22"/>
        </w:rPr>
      </w:pPr>
      <w:r w:rsidRPr="0079558E">
        <w:rPr>
          <w:rFonts w:ascii="Aptos"/>
          <w:sz w:val="22"/>
        </w:rPr>
        <w:t xml:space="preserve">Greenough, A. (2000). Measuring respiratory outcome. </w:t>
      </w:r>
      <w:r w:rsidRPr="0079558E">
        <w:rPr>
          <w:rFonts w:ascii="Aptos"/>
          <w:i/>
          <w:iCs/>
          <w:sz w:val="22"/>
        </w:rPr>
        <w:t>Seminars in Neonatology</w:t>
      </w:r>
      <w:r w:rsidRPr="0079558E">
        <w:rPr>
          <w:rFonts w:ascii="Aptos"/>
          <w:sz w:val="22"/>
        </w:rPr>
        <w:t xml:space="preserve">, </w:t>
      </w:r>
      <w:r w:rsidRPr="0079558E">
        <w:rPr>
          <w:rFonts w:ascii="Aptos"/>
          <w:i/>
          <w:iCs/>
          <w:sz w:val="22"/>
        </w:rPr>
        <w:t>5</w:t>
      </w:r>
      <w:r w:rsidRPr="0079558E">
        <w:rPr>
          <w:rFonts w:ascii="Aptos"/>
          <w:sz w:val="22"/>
        </w:rPr>
        <w:t>(2), 119–126. https://doi.org/10.1053/siny.1999.0006</w:t>
      </w:r>
    </w:p>
    <w:p w14:paraId="2E8AFD65" w14:textId="77777777" w:rsidR="0079558E" w:rsidRPr="0079558E" w:rsidRDefault="0079558E" w:rsidP="0079558E">
      <w:pPr>
        <w:pStyle w:val="Bibliography"/>
        <w:rPr>
          <w:rFonts w:ascii="Aptos"/>
          <w:sz w:val="22"/>
        </w:rPr>
      </w:pPr>
      <w:r w:rsidRPr="0079558E">
        <w:rPr>
          <w:rFonts w:ascii="Aptos"/>
          <w:sz w:val="22"/>
        </w:rPr>
        <w:t xml:space="preserve">Greenough, A. (2006). Bronchopulmonary dysplasia – Long term </w:t>
      </w:r>
      <w:proofErr w:type="gramStart"/>
      <w:r w:rsidRPr="0079558E">
        <w:rPr>
          <w:rFonts w:ascii="Aptos"/>
          <w:sz w:val="22"/>
        </w:rPr>
        <w:t>follow</w:t>
      </w:r>
      <w:proofErr w:type="gramEnd"/>
      <w:r w:rsidRPr="0079558E">
        <w:rPr>
          <w:rFonts w:ascii="Aptos"/>
          <w:sz w:val="22"/>
        </w:rPr>
        <w:t xml:space="preserve"> up. </w:t>
      </w:r>
      <w:r w:rsidRPr="0079558E">
        <w:rPr>
          <w:rFonts w:ascii="Aptos"/>
          <w:i/>
          <w:iCs/>
          <w:sz w:val="22"/>
        </w:rPr>
        <w:t>Paediatric Respiratory Reviews</w:t>
      </w:r>
      <w:r w:rsidRPr="0079558E">
        <w:rPr>
          <w:rFonts w:ascii="Aptos"/>
          <w:sz w:val="22"/>
        </w:rPr>
        <w:t xml:space="preserve">, </w:t>
      </w:r>
      <w:r w:rsidRPr="0079558E">
        <w:rPr>
          <w:rFonts w:ascii="Aptos"/>
          <w:i/>
          <w:iCs/>
          <w:sz w:val="22"/>
        </w:rPr>
        <w:t>7</w:t>
      </w:r>
      <w:r w:rsidRPr="0079558E">
        <w:rPr>
          <w:rFonts w:ascii="Aptos"/>
          <w:sz w:val="22"/>
        </w:rPr>
        <w:t>, S189–S191. https://doi.org/10.1016/j.prrv.2006.04.206</w:t>
      </w:r>
    </w:p>
    <w:p w14:paraId="2527E070" w14:textId="77777777" w:rsidR="0079558E" w:rsidRPr="0079558E" w:rsidRDefault="0079558E" w:rsidP="0079558E">
      <w:pPr>
        <w:pStyle w:val="Bibliography"/>
        <w:rPr>
          <w:rFonts w:ascii="Aptos"/>
          <w:sz w:val="22"/>
        </w:rPr>
      </w:pPr>
      <w:proofErr w:type="spellStart"/>
      <w:r w:rsidRPr="0079558E">
        <w:rPr>
          <w:rFonts w:ascii="Aptos"/>
          <w:sz w:val="22"/>
        </w:rPr>
        <w:t>Hadchouel</w:t>
      </w:r>
      <w:proofErr w:type="spellEnd"/>
      <w:r w:rsidRPr="0079558E">
        <w:rPr>
          <w:rFonts w:ascii="Aptos"/>
          <w:sz w:val="22"/>
        </w:rPr>
        <w:t xml:space="preserve">, A., </w:t>
      </w:r>
      <w:proofErr w:type="spellStart"/>
      <w:r w:rsidRPr="0079558E">
        <w:rPr>
          <w:rFonts w:ascii="Aptos"/>
          <w:sz w:val="22"/>
        </w:rPr>
        <w:t>Durrmeyer</w:t>
      </w:r>
      <w:proofErr w:type="spellEnd"/>
      <w:r w:rsidRPr="0079558E">
        <w:rPr>
          <w:rFonts w:ascii="Aptos"/>
          <w:sz w:val="22"/>
        </w:rPr>
        <w:t xml:space="preserve">, X., </w:t>
      </w:r>
      <w:proofErr w:type="spellStart"/>
      <w:r w:rsidRPr="0079558E">
        <w:rPr>
          <w:rFonts w:ascii="Aptos"/>
          <w:sz w:val="22"/>
        </w:rPr>
        <w:t>Bouzigon</w:t>
      </w:r>
      <w:proofErr w:type="spellEnd"/>
      <w:r w:rsidRPr="0079558E">
        <w:rPr>
          <w:rFonts w:ascii="Aptos"/>
          <w:sz w:val="22"/>
        </w:rPr>
        <w:t xml:space="preserve">, E., Incitti, R., Huusko, J., Jarreau, P.-H., </w:t>
      </w:r>
      <w:proofErr w:type="spellStart"/>
      <w:r w:rsidRPr="0079558E">
        <w:rPr>
          <w:rFonts w:ascii="Aptos"/>
          <w:sz w:val="22"/>
        </w:rPr>
        <w:t>Lenclen</w:t>
      </w:r>
      <w:proofErr w:type="spellEnd"/>
      <w:r w:rsidRPr="0079558E">
        <w:rPr>
          <w:rFonts w:ascii="Aptos"/>
          <w:sz w:val="22"/>
        </w:rPr>
        <w:t xml:space="preserve">, R., </w:t>
      </w:r>
      <w:proofErr w:type="spellStart"/>
      <w:r w:rsidRPr="0079558E">
        <w:rPr>
          <w:rFonts w:ascii="Aptos"/>
          <w:sz w:val="22"/>
        </w:rPr>
        <w:t>Demenais</w:t>
      </w:r>
      <w:proofErr w:type="spellEnd"/>
      <w:r w:rsidRPr="0079558E">
        <w:rPr>
          <w:rFonts w:ascii="Aptos"/>
          <w:sz w:val="22"/>
        </w:rPr>
        <w:t xml:space="preserve">, F., Franco-Montoya, M.-L., </w:t>
      </w:r>
      <w:proofErr w:type="spellStart"/>
      <w:r w:rsidRPr="0079558E">
        <w:rPr>
          <w:rFonts w:ascii="Aptos"/>
          <w:sz w:val="22"/>
        </w:rPr>
        <w:t>Layouni</w:t>
      </w:r>
      <w:proofErr w:type="spellEnd"/>
      <w:r w:rsidRPr="0079558E">
        <w:rPr>
          <w:rFonts w:ascii="Aptos"/>
          <w:sz w:val="22"/>
        </w:rPr>
        <w:t xml:space="preserve">, I., Patkai, J., Bourbon, J., Hallman, M., Danan, C., &amp; </w:t>
      </w:r>
      <w:proofErr w:type="spellStart"/>
      <w:r w:rsidRPr="0079558E">
        <w:rPr>
          <w:rFonts w:ascii="Aptos"/>
          <w:sz w:val="22"/>
        </w:rPr>
        <w:t>Delacourt</w:t>
      </w:r>
      <w:proofErr w:type="spellEnd"/>
      <w:r w:rsidRPr="0079558E">
        <w:rPr>
          <w:rFonts w:ascii="Aptos"/>
          <w:sz w:val="22"/>
        </w:rPr>
        <w:t xml:space="preserve">, C. (2011). Identification of </w:t>
      </w:r>
      <w:r w:rsidRPr="0079558E">
        <w:rPr>
          <w:rFonts w:ascii="Aptos"/>
          <w:i/>
          <w:iCs/>
          <w:sz w:val="22"/>
        </w:rPr>
        <w:t>SPOCK2</w:t>
      </w:r>
      <w:r w:rsidRPr="0079558E">
        <w:rPr>
          <w:rFonts w:ascii="Aptos"/>
          <w:sz w:val="22"/>
        </w:rPr>
        <w:t xml:space="preserve"> As a Susceptibility Gene for Bronchopulmonary Dysplasia. </w:t>
      </w:r>
      <w:r w:rsidRPr="0079558E">
        <w:rPr>
          <w:rFonts w:ascii="Aptos"/>
          <w:i/>
          <w:iCs/>
          <w:sz w:val="22"/>
        </w:rPr>
        <w:t>American Journal of Respiratory and Critical Care Medicine</w:t>
      </w:r>
      <w:r w:rsidRPr="0079558E">
        <w:rPr>
          <w:rFonts w:ascii="Aptos"/>
          <w:sz w:val="22"/>
        </w:rPr>
        <w:t xml:space="preserve">, </w:t>
      </w:r>
      <w:r w:rsidRPr="0079558E">
        <w:rPr>
          <w:rFonts w:ascii="Aptos"/>
          <w:i/>
          <w:iCs/>
          <w:sz w:val="22"/>
        </w:rPr>
        <w:t>184</w:t>
      </w:r>
      <w:r w:rsidRPr="0079558E">
        <w:rPr>
          <w:rFonts w:ascii="Aptos"/>
          <w:sz w:val="22"/>
        </w:rPr>
        <w:t>(10), 1164–1170. https://doi.org/10.1164/rccm.201103-0548OC</w:t>
      </w:r>
    </w:p>
    <w:p w14:paraId="05D9ECE0" w14:textId="77777777" w:rsidR="0079558E" w:rsidRPr="0079558E" w:rsidRDefault="0079558E" w:rsidP="0079558E">
      <w:pPr>
        <w:pStyle w:val="Bibliography"/>
        <w:rPr>
          <w:rFonts w:ascii="Aptos"/>
          <w:sz w:val="22"/>
        </w:rPr>
      </w:pPr>
      <w:r w:rsidRPr="0079558E">
        <w:rPr>
          <w:rFonts w:ascii="Aptos"/>
          <w:sz w:val="22"/>
        </w:rPr>
        <w:t xml:space="preserve">Hendriks, J., </w:t>
      </w:r>
      <w:proofErr w:type="spellStart"/>
      <w:r w:rsidRPr="0079558E">
        <w:rPr>
          <w:rFonts w:ascii="Aptos"/>
          <w:sz w:val="22"/>
        </w:rPr>
        <w:t>Gravestein</w:t>
      </w:r>
      <w:proofErr w:type="spellEnd"/>
      <w:r w:rsidRPr="0079558E">
        <w:rPr>
          <w:rFonts w:ascii="Aptos"/>
          <w:sz w:val="22"/>
        </w:rPr>
        <w:t xml:space="preserve">, L. A., </w:t>
      </w:r>
      <w:proofErr w:type="spellStart"/>
      <w:r w:rsidRPr="0079558E">
        <w:rPr>
          <w:rFonts w:ascii="Aptos"/>
          <w:sz w:val="22"/>
        </w:rPr>
        <w:t>Tesselaar</w:t>
      </w:r>
      <w:proofErr w:type="spellEnd"/>
      <w:r w:rsidRPr="0079558E">
        <w:rPr>
          <w:rFonts w:ascii="Aptos"/>
          <w:sz w:val="22"/>
        </w:rPr>
        <w:t xml:space="preserve">, K., Van Lier, R. A. W., Schumacher, T. N. M., &amp; Borst, J. (2000). CD27 is required for generation and long-term maintenance of T cell immunity. </w:t>
      </w:r>
      <w:r w:rsidRPr="0079558E">
        <w:rPr>
          <w:rFonts w:ascii="Aptos"/>
          <w:i/>
          <w:iCs/>
          <w:sz w:val="22"/>
        </w:rPr>
        <w:t>Nature Immunology</w:t>
      </w:r>
      <w:r w:rsidRPr="0079558E">
        <w:rPr>
          <w:rFonts w:ascii="Aptos"/>
          <w:sz w:val="22"/>
        </w:rPr>
        <w:t xml:space="preserve">, </w:t>
      </w:r>
      <w:r w:rsidRPr="0079558E">
        <w:rPr>
          <w:rFonts w:ascii="Aptos"/>
          <w:i/>
          <w:iCs/>
          <w:sz w:val="22"/>
        </w:rPr>
        <w:t>1</w:t>
      </w:r>
      <w:r w:rsidRPr="0079558E">
        <w:rPr>
          <w:rFonts w:ascii="Aptos"/>
          <w:sz w:val="22"/>
        </w:rPr>
        <w:t>(5), 433–440. https://doi.org/10.1038/80877</w:t>
      </w:r>
    </w:p>
    <w:p w14:paraId="14610C18" w14:textId="77777777" w:rsidR="0079558E" w:rsidRPr="0079558E" w:rsidRDefault="0079558E" w:rsidP="0079558E">
      <w:pPr>
        <w:pStyle w:val="Bibliography"/>
        <w:rPr>
          <w:rFonts w:ascii="Aptos"/>
          <w:sz w:val="22"/>
        </w:rPr>
      </w:pPr>
      <w:r w:rsidRPr="0079558E">
        <w:rPr>
          <w:rFonts w:ascii="Aptos"/>
          <w:sz w:val="22"/>
        </w:rPr>
        <w:t xml:space="preserve">Hurskainen, M., Mizikova, I., Cook, D. P., Andersson, N., Cyr-Depauw, C., Lesage, F., Helle, E., Renesme, L., Jankov, R. P., Heikinheimo, M., Vanderhyden, B. C., &amp; Thebaud, B. (2021). Single cell transcriptomic analysis of murine lung development on hyperoxia-induced </w:t>
      </w:r>
      <w:r w:rsidRPr="0079558E">
        <w:rPr>
          <w:rFonts w:ascii="Aptos"/>
          <w:sz w:val="22"/>
        </w:rPr>
        <w:lastRenderedPageBreak/>
        <w:t xml:space="preserve">damage. </w:t>
      </w:r>
      <w:r w:rsidRPr="0079558E">
        <w:rPr>
          <w:rFonts w:ascii="Aptos"/>
          <w:i/>
          <w:iCs/>
          <w:sz w:val="22"/>
        </w:rPr>
        <w:t>Nature Communications</w:t>
      </w:r>
      <w:r w:rsidRPr="0079558E">
        <w:rPr>
          <w:rFonts w:ascii="Aptos"/>
          <w:sz w:val="22"/>
        </w:rPr>
        <w:t xml:space="preserve">, </w:t>
      </w:r>
      <w:r w:rsidRPr="0079558E">
        <w:rPr>
          <w:rFonts w:ascii="Aptos"/>
          <w:i/>
          <w:iCs/>
          <w:sz w:val="22"/>
        </w:rPr>
        <w:t>12</w:t>
      </w:r>
      <w:r w:rsidRPr="0079558E">
        <w:rPr>
          <w:rFonts w:ascii="Aptos"/>
          <w:sz w:val="22"/>
        </w:rPr>
        <w:t>(1). Ovid MEDLINE(R) &lt;2021&gt;. https://doi.org/10.1038/s41467-021-21865-2</w:t>
      </w:r>
    </w:p>
    <w:p w14:paraId="6A19A977" w14:textId="77777777" w:rsidR="0079558E" w:rsidRPr="0079558E" w:rsidRDefault="0079558E" w:rsidP="0079558E">
      <w:pPr>
        <w:pStyle w:val="Bibliography"/>
        <w:rPr>
          <w:rFonts w:ascii="Aptos"/>
          <w:sz w:val="22"/>
        </w:rPr>
      </w:pPr>
      <w:r w:rsidRPr="0079558E">
        <w:rPr>
          <w:rFonts w:ascii="Aptos"/>
          <w:sz w:val="22"/>
        </w:rPr>
        <w:t xml:space="preserve">Isayama, T., Lee, S. K., Yang, J., Lee, D., </w:t>
      </w:r>
      <w:proofErr w:type="spellStart"/>
      <w:r w:rsidRPr="0079558E">
        <w:rPr>
          <w:rFonts w:ascii="Aptos"/>
          <w:sz w:val="22"/>
        </w:rPr>
        <w:t>Daspal</w:t>
      </w:r>
      <w:proofErr w:type="spellEnd"/>
      <w:r w:rsidRPr="0079558E">
        <w:rPr>
          <w:rFonts w:ascii="Aptos"/>
          <w:sz w:val="22"/>
        </w:rPr>
        <w:t xml:space="preserve">, S., Dunn, M., Shah, P. S., &amp; for the Canadian Neonatal Network and Canadian Neonatal Follow-Up Network Investigators. (2017). Revisiting the Definition of Bronchopulmonary Dysplasia: Effect of Changing Panoply of Respiratory Support for Preterm Neonates. </w:t>
      </w:r>
      <w:r w:rsidRPr="0079558E">
        <w:rPr>
          <w:rFonts w:ascii="Aptos"/>
          <w:i/>
          <w:iCs/>
          <w:sz w:val="22"/>
        </w:rPr>
        <w:t xml:space="preserve">JAMA </w:t>
      </w:r>
      <w:proofErr w:type="spellStart"/>
      <w:r w:rsidRPr="0079558E">
        <w:rPr>
          <w:rFonts w:ascii="Aptos"/>
          <w:i/>
          <w:iCs/>
          <w:sz w:val="22"/>
        </w:rPr>
        <w:t>Pediatrics</w:t>
      </w:r>
      <w:proofErr w:type="spellEnd"/>
      <w:r w:rsidRPr="0079558E">
        <w:rPr>
          <w:rFonts w:ascii="Aptos"/>
          <w:sz w:val="22"/>
        </w:rPr>
        <w:t xml:space="preserve">, </w:t>
      </w:r>
      <w:r w:rsidRPr="0079558E">
        <w:rPr>
          <w:rFonts w:ascii="Aptos"/>
          <w:i/>
          <w:iCs/>
          <w:sz w:val="22"/>
        </w:rPr>
        <w:t>171</w:t>
      </w:r>
      <w:r w:rsidRPr="0079558E">
        <w:rPr>
          <w:rFonts w:ascii="Aptos"/>
          <w:sz w:val="22"/>
        </w:rPr>
        <w:t>(3), 271. https://doi.org/10.1001/jamapediatrics.2016.4141</w:t>
      </w:r>
    </w:p>
    <w:p w14:paraId="758735A2" w14:textId="77777777" w:rsidR="0079558E" w:rsidRPr="0079558E" w:rsidRDefault="0079558E" w:rsidP="0079558E">
      <w:pPr>
        <w:pStyle w:val="Bibliography"/>
        <w:rPr>
          <w:rFonts w:ascii="Aptos"/>
          <w:sz w:val="22"/>
        </w:rPr>
      </w:pPr>
      <w:r w:rsidRPr="0079558E">
        <w:rPr>
          <w:rFonts w:ascii="Aptos"/>
          <w:sz w:val="22"/>
        </w:rPr>
        <w:t xml:space="preserve">Jensen, E. A., Dysart, K., Gantz, M. G., McDonald, S., </w:t>
      </w:r>
      <w:proofErr w:type="spellStart"/>
      <w:r w:rsidRPr="0079558E">
        <w:rPr>
          <w:rFonts w:ascii="Aptos"/>
          <w:sz w:val="22"/>
        </w:rPr>
        <w:t>Bamat</w:t>
      </w:r>
      <w:proofErr w:type="spellEnd"/>
      <w:r w:rsidRPr="0079558E">
        <w:rPr>
          <w:rFonts w:ascii="Aptos"/>
          <w:sz w:val="22"/>
        </w:rPr>
        <w:t xml:space="preserve">, N. A., Keszler, M., Kirpalani, H., Laughon, M. M., Poindexter, B. B., Duncan, A. F., Yoder, B. A., Eichenwald, E. C., &amp; DeMauro, S. B. (2019). The Diagnosis of Bronchopulmonary Dysplasia in Very Preterm Infants. An Evidence-based Approach. </w:t>
      </w:r>
      <w:r w:rsidRPr="0079558E">
        <w:rPr>
          <w:rFonts w:ascii="Aptos"/>
          <w:i/>
          <w:iCs/>
          <w:sz w:val="22"/>
        </w:rPr>
        <w:t>American Journal of Respiratory and Critical Care Medicine</w:t>
      </w:r>
      <w:r w:rsidRPr="0079558E">
        <w:rPr>
          <w:rFonts w:ascii="Aptos"/>
          <w:sz w:val="22"/>
        </w:rPr>
        <w:t xml:space="preserve">, </w:t>
      </w:r>
      <w:r w:rsidRPr="0079558E">
        <w:rPr>
          <w:rFonts w:ascii="Aptos"/>
          <w:i/>
          <w:iCs/>
          <w:sz w:val="22"/>
        </w:rPr>
        <w:t>200</w:t>
      </w:r>
      <w:r w:rsidRPr="0079558E">
        <w:rPr>
          <w:rFonts w:ascii="Aptos"/>
          <w:sz w:val="22"/>
        </w:rPr>
        <w:t>(6), 751–759. https://doi.org/10.1164/rccm.201812-2348OC</w:t>
      </w:r>
    </w:p>
    <w:p w14:paraId="5F218E45" w14:textId="77777777" w:rsidR="0079558E" w:rsidRPr="0079558E" w:rsidRDefault="0079558E" w:rsidP="0079558E">
      <w:pPr>
        <w:pStyle w:val="Bibliography"/>
        <w:rPr>
          <w:rFonts w:ascii="Aptos"/>
          <w:sz w:val="22"/>
        </w:rPr>
      </w:pPr>
      <w:r w:rsidRPr="0079558E">
        <w:rPr>
          <w:rFonts w:ascii="Aptos"/>
          <w:sz w:val="22"/>
        </w:rPr>
        <w:t xml:space="preserve">Johnson, D. R., O’Connor, J. C., Hartman, M. E., Tapping, R. I., &amp; Freund, G. G. (2007). Acute hypoxia activates the neuroimmune system, which diabetes exacerbates. </w:t>
      </w:r>
      <w:r w:rsidRPr="0079558E">
        <w:rPr>
          <w:rFonts w:ascii="Aptos"/>
          <w:i/>
          <w:iCs/>
          <w:sz w:val="22"/>
        </w:rPr>
        <w:t>The Journal of Neuroscience: The Official Journal of the Society for Neuroscience</w:t>
      </w:r>
      <w:r w:rsidRPr="0079558E">
        <w:rPr>
          <w:rFonts w:ascii="Aptos"/>
          <w:sz w:val="22"/>
        </w:rPr>
        <w:t xml:space="preserve">, </w:t>
      </w:r>
      <w:r w:rsidRPr="0079558E">
        <w:rPr>
          <w:rFonts w:ascii="Aptos"/>
          <w:i/>
          <w:iCs/>
          <w:sz w:val="22"/>
        </w:rPr>
        <w:t>27</w:t>
      </w:r>
      <w:r w:rsidRPr="0079558E">
        <w:rPr>
          <w:rFonts w:ascii="Aptos"/>
          <w:sz w:val="22"/>
        </w:rPr>
        <w:t>(5), 1161–1166. https://doi.org/10.1523/JNEUROSCI.4560-06.2007</w:t>
      </w:r>
    </w:p>
    <w:p w14:paraId="255BE82D" w14:textId="77777777" w:rsidR="0079558E" w:rsidRPr="0079558E" w:rsidRDefault="0079558E" w:rsidP="0079558E">
      <w:pPr>
        <w:pStyle w:val="Bibliography"/>
        <w:rPr>
          <w:rFonts w:ascii="Aptos"/>
          <w:sz w:val="22"/>
        </w:rPr>
      </w:pPr>
      <w:r w:rsidRPr="0079558E">
        <w:rPr>
          <w:rFonts w:ascii="Aptos"/>
          <w:sz w:val="22"/>
        </w:rPr>
        <w:t xml:space="preserve">Lavoie, P. M., Pham, C., &amp; Jang, K. L. (2008). Heritability of Bronchopulmonary Dysplasia, Defined According to the Consensus Statement of the National Institutes of Health. </w:t>
      </w:r>
      <w:proofErr w:type="spellStart"/>
      <w:r w:rsidRPr="0079558E">
        <w:rPr>
          <w:rFonts w:ascii="Aptos"/>
          <w:i/>
          <w:iCs/>
          <w:sz w:val="22"/>
        </w:rPr>
        <w:t>Pediatrics</w:t>
      </w:r>
      <w:proofErr w:type="spellEnd"/>
      <w:r w:rsidRPr="0079558E">
        <w:rPr>
          <w:rFonts w:ascii="Aptos"/>
          <w:sz w:val="22"/>
        </w:rPr>
        <w:t xml:space="preserve">, </w:t>
      </w:r>
      <w:r w:rsidRPr="0079558E">
        <w:rPr>
          <w:rFonts w:ascii="Aptos"/>
          <w:i/>
          <w:iCs/>
          <w:sz w:val="22"/>
        </w:rPr>
        <w:t>122</w:t>
      </w:r>
      <w:r w:rsidRPr="0079558E">
        <w:rPr>
          <w:rFonts w:ascii="Aptos"/>
          <w:sz w:val="22"/>
        </w:rPr>
        <w:t>(3), 479–485. https://doi.org/10.1542/peds.2007-2313</w:t>
      </w:r>
    </w:p>
    <w:p w14:paraId="51E6CA88" w14:textId="77777777" w:rsidR="0079558E" w:rsidRPr="0079558E" w:rsidRDefault="0079558E" w:rsidP="0079558E">
      <w:pPr>
        <w:pStyle w:val="Bibliography"/>
        <w:rPr>
          <w:rFonts w:ascii="Aptos"/>
          <w:sz w:val="22"/>
        </w:rPr>
      </w:pPr>
      <w:r w:rsidRPr="0079558E">
        <w:rPr>
          <w:rFonts w:ascii="Aptos"/>
          <w:sz w:val="22"/>
        </w:rPr>
        <w:t xml:space="preserve">Li, B., Clohisey, S. M., Chia, B. S., Wang, B., Cui, A., </w:t>
      </w:r>
      <w:proofErr w:type="spellStart"/>
      <w:r w:rsidRPr="0079558E">
        <w:rPr>
          <w:rFonts w:ascii="Aptos"/>
          <w:sz w:val="22"/>
        </w:rPr>
        <w:t>Eisenhaure</w:t>
      </w:r>
      <w:proofErr w:type="spellEnd"/>
      <w:r w:rsidRPr="0079558E">
        <w:rPr>
          <w:rFonts w:ascii="Aptos"/>
          <w:sz w:val="22"/>
        </w:rPr>
        <w:t xml:space="preserve">, T., Schweitzer, L. D., Hoover, P., Parkinson, N. J., Nachshon, A., Smith, N., Regan, T., Farr, D., Gutmann, M. U., Bukhari, S. I., Law, A., </w:t>
      </w:r>
      <w:proofErr w:type="spellStart"/>
      <w:r w:rsidRPr="0079558E">
        <w:rPr>
          <w:rFonts w:ascii="Aptos"/>
          <w:sz w:val="22"/>
        </w:rPr>
        <w:t>Sangesland</w:t>
      </w:r>
      <w:proofErr w:type="spellEnd"/>
      <w:r w:rsidRPr="0079558E">
        <w:rPr>
          <w:rFonts w:ascii="Aptos"/>
          <w:sz w:val="22"/>
        </w:rPr>
        <w:t xml:space="preserve">, M., Gat-Viks, I., </w:t>
      </w:r>
      <w:proofErr w:type="spellStart"/>
      <w:r w:rsidRPr="0079558E">
        <w:rPr>
          <w:rFonts w:ascii="Aptos"/>
          <w:sz w:val="22"/>
        </w:rPr>
        <w:t>Digard</w:t>
      </w:r>
      <w:proofErr w:type="spellEnd"/>
      <w:r w:rsidRPr="0079558E">
        <w:rPr>
          <w:rFonts w:ascii="Aptos"/>
          <w:sz w:val="22"/>
        </w:rPr>
        <w:t xml:space="preserve">, P., … Hacohen, N. (2020). Genome-wide CRISPR screen identifies host dependency factors for influenza A virus infection. </w:t>
      </w:r>
      <w:r w:rsidRPr="0079558E">
        <w:rPr>
          <w:rFonts w:ascii="Aptos"/>
          <w:i/>
          <w:iCs/>
          <w:sz w:val="22"/>
        </w:rPr>
        <w:t>Nature Communications</w:t>
      </w:r>
      <w:r w:rsidRPr="0079558E">
        <w:rPr>
          <w:rFonts w:ascii="Aptos"/>
          <w:sz w:val="22"/>
        </w:rPr>
        <w:t xml:space="preserve">, </w:t>
      </w:r>
      <w:r w:rsidRPr="0079558E">
        <w:rPr>
          <w:rFonts w:ascii="Aptos"/>
          <w:i/>
          <w:iCs/>
          <w:sz w:val="22"/>
        </w:rPr>
        <w:t>11</w:t>
      </w:r>
      <w:r w:rsidRPr="0079558E">
        <w:rPr>
          <w:rFonts w:ascii="Aptos"/>
          <w:sz w:val="22"/>
        </w:rPr>
        <w:t>(1), 164. https://doi.org/10.1038/s41467-019-13965-x</w:t>
      </w:r>
    </w:p>
    <w:p w14:paraId="1DF4A87D" w14:textId="77777777" w:rsidR="0079558E" w:rsidRPr="0079558E" w:rsidRDefault="0079558E" w:rsidP="0079558E">
      <w:pPr>
        <w:pStyle w:val="Bibliography"/>
        <w:rPr>
          <w:rFonts w:ascii="Aptos"/>
          <w:sz w:val="22"/>
        </w:rPr>
      </w:pPr>
      <w:r w:rsidRPr="0079558E">
        <w:rPr>
          <w:rFonts w:ascii="Aptos"/>
          <w:sz w:val="22"/>
        </w:rPr>
        <w:lastRenderedPageBreak/>
        <w:t xml:space="preserve">Lymphocyte Subpopulations in Bronchopulmonary Dysplasia. (2003). </w:t>
      </w:r>
      <w:r w:rsidRPr="0079558E">
        <w:rPr>
          <w:rFonts w:ascii="Aptos"/>
          <w:i/>
          <w:iCs/>
          <w:sz w:val="22"/>
        </w:rPr>
        <w:t>American Journal of Perinatology</w:t>
      </w:r>
      <w:r w:rsidRPr="0079558E">
        <w:rPr>
          <w:rFonts w:ascii="Aptos"/>
          <w:sz w:val="22"/>
        </w:rPr>
        <w:t xml:space="preserve">, </w:t>
      </w:r>
      <w:r w:rsidRPr="0079558E">
        <w:rPr>
          <w:rFonts w:ascii="Aptos"/>
          <w:i/>
          <w:iCs/>
          <w:sz w:val="22"/>
        </w:rPr>
        <w:t>20</w:t>
      </w:r>
      <w:r w:rsidRPr="0079558E">
        <w:rPr>
          <w:rFonts w:ascii="Aptos"/>
          <w:sz w:val="22"/>
        </w:rPr>
        <w:t>(8), 465–476. https://doi.org/10.1055/s-2003-45387</w:t>
      </w:r>
    </w:p>
    <w:p w14:paraId="4DF07829" w14:textId="77777777" w:rsidR="0079558E" w:rsidRPr="0079558E" w:rsidRDefault="0079558E" w:rsidP="0079558E">
      <w:pPr>
        <w:pStyle w:val="Bibliography"/>
        <w:rPr>
          <w:rFonts w:ascii="Aptos"/>
          <w:sz w:val="22"/>
        </w:rPr>
      </w:pPr>
      <w:r w:rsidRPr="0079558E">
        <w:rPr>
          <w:rFonts w:ascii="Aptos"/>
          <w:sz w:val="22"/>
        </w:rPr>
        <w:t xml:space="preserve">Mahlman, M., Karjalainen, M. K., Huusko, J. M., Andersson, S., Kari, M. A., Tammela, O. K. T., </w:t>
      </w:r>
      <w:proofErr w:type="spellStart"/>
      <w:r w:rsidRPr="0079558E">
        <w:rPr>
          <w:rFonts w:ascii="Aptos"/>
          <w:sz w:val="22"/>
        </w:rPr>
        <w:t>Sankilampi</w:t>
      </w:r>
      <w:proofErr w:type="spellEnd"/>
      <w:r w:rsidRPr="0079558E">
        <w:rPr>
          <w:rFonts w:ascii="Aptos"/>
          <w:sz w:val="22"/>
        </w:rPr>
        <w:t>, U., Lehtonen, L., Marttila, R. H., Bassler, D., Poets, C. F., Lacaze-</w:t>
      </w:r>
      <w:proofErr w:type="spellStart"/>
      <w:r w:rsidRPr="0079558E">
        <w:rPr>
          <w:rFonts w:ascii="Aptos"/>
          <w:sz w:val="22"/>
        </w:rPr>
        <w:t>Masmonteil</w:t>
      </w:r>
      <w:proofErr w:type="spellEnd"/>
      <w:r w:rsidRPr="0079558E">
        <w:rPr>
          <w:rFonts w:ascii="Aptos"/>
          <w:sz w:val="22"/>
        </w:rPr>
        <w:t xml:space="preserve">, T., Danan, C., </w:t>
      </w:r>
      <w:proofErr w:type="spellStart"/>
      <w:r w:rsidRPr="0079558E">
        <w:rPr>
          <w:rFonts w:ascii="Aptos"/>
          <w:sz w:val="22"/>
        </w:rPr>
        <w:t>Delacourt</w:t>
      </w:r>
      <w:proofErr w:type="spellEnd"/>
      <w:r w:rsidRPr="0079558E">
        <w:rPr>
          <w:rFonts w:ascii="Aptos"/>
          <w:sz w:val="22"/>
        </w:rPr>
        <w:t xml:space="preserve">, C., Palotie, A., Muglia, L. J., Lavoie, P. M., </w:t>
      </w:r>
      <w:proofErr w:type="spellStart"/>
      <w:r w:rsidRPr="0079558E">
        <w:rPr>
          <w:rFonts w:ascii="Aptos"/>
          <w:sz w:val="22"/>
        </w:rPr>
        <w:t>Hadchouel</w:t>
      </w:r>
      <w:proofErr w:type="spellEnd"/>
      <w:r w:rsidRPr="0079558E">
        <w:rPr>
          <w:rFonts w:ascii="Aptos"/>
          <w:sz w:val="22"/>
        </w:rPr>
        <w:t xml:space="preserve">, A., </w:t>
      </w:r>
      <w:proofErr w:type="spellStart"/>
      <w:r w:rsidRPr="0079558E">
        <w:rPr>
          <w:rFonts w:ascii="Aptos"/>
          <w:sz w:val="22"/>
        </w:rPr>
        <w:t>Rämet</w:t>
      </w:r>
      <w:proofErr w:type="spellEnd"/>
      <w:r w:rsidRPr="0079558E">
        <w:rPr>
          <w:rFonts w:ascii="Aptos"/>
          <w:sz w:val="22"/>
        </w:rPr>
        <w:t xml:space="preserve">, M., &amp; Hallman, M. (2017). Genome-wide association study of bronchopulmonary dysplasia: A potential role for variants near the CRP gene. </w:t>
      </w:r>
      <w:r w:rsidRPr="0079558E">
        <w:rPr>
          <w:rFonts w:ascii="Aptos"/>
          <w:i/>
          <w:iCs/>
          <w:sz w:val="22"/>
        </w:rPr>
        <w:t>Scientific Reports</w:t>
      </w:r>
      <w:r w:rsidRPr="0079558E">
        <w:rPr>
          <w:rFonts w:ascii="Aptos"/>
          <w:sz w:val="22"/>
        </w:rPr>
        <w:t xml:space="preserve">, </w:t>
      </w:r>
      <w:r w:rsidRPr="0079558E">
        <w:rPr>
          <w:rFonts w:ascii="Aptos"/>
          <w:i/>
          <w:iCs/>
          <w:sz w:val="22"/>
        </w:rPr>
        <w:t>7</w:t>
      </w:r>
      <w:r w:rsidRPr="0079558E">
        <w:rPr>
          <w:rFonts w:ascii="Aptos"/>
          <w:sz w:val="22"/>
        </w:rPr>
        <w:t>(1), 9271. https://doi.org/10.1038/s41598-017-08977-w</w:t>
      </w:r>
    </w:p>
    <w:p w14:paraId="1D3E91F1" w14:textId="77777777" w:rsidR="0079558E" w:rsidRPr="0079558E" w:rsidRDefault="0079558E" w:rsidP="0079558E">
      <w:pPr>
        <w:pStyle w:val="Bibliography"/>
        <w:rPr>
          <w:rFonts w:ascii="Aptos"/>
          <w:sz w:val="22"/>
        </w:rPr>
      </w:pPr>
      <w:r w:rsidRPr="0079558E">
        <w:rPr>
          <w:rFonts w:ascii="Aptos"/>
          <w:sz w:val="22"/>
        </w:rPr>
        <w:t xml:space="preserve">Millar, J. E., Clohisey-Hendry, S., McMannus, M., Zechner, M., Wang, B., Parkinson, N., Jungnickel, M., Zaki, N. M., Pairo-Castineira, E., </w:t>
      </w:r>
      <w:proofErr w:type="spellStart"/>
      <w:r w:rsidRPr="0079558E">
        <w:rPr>
          <w:rFonts w:ascii="Aptos"/>
          <w:sz w:val="22"/>
        </w:rPr>
        <w:t>Rawlik</w:t>
      </w:r>
      <w:proofErr w:type="spellEnd"/>
      <w:r w:rsidRPr="0079558E">
        <w:rPr>
          <w:rFonts w:ascii="Aptos"/>
          <w:sz w:val="22"/>
        </w:rPr>
        <w:t xml:space="preserve">, K., Rogers, J., Russell, C. D., Bos, L. D., Meyer, N. J., Calfee, C., McAuley, D. F., Shankar-Hari, M., &amp; Baillie, J. K. (2024). </w:t>
      </w:r>
      <w:r w:rsidRPr="0079558E">
        <w:rPr>
          <w:rFonts w:ascii="Aptos"/>
          <w:i/>
          <w:iCs/>
          <w:sz w:val="22"/>
        </w:rPr>
        <w:t xml:space="preserve">The genomic landscape of </w:t>
      </w:r>
      <w:proofErr w:type="gramStart"/>
      <w:r w:rsidRPr="0079558E">
        <w:rPr>
          <w:rFonts w:ascii="Aptos"/>
          <w:i/>
          <w:iCs/>
          <w:sz w:val="22"/>
        </w:rPr>
        <w:t>Acute Respiratory Distress Syndrome</w:t>
      </w:r>
      <w:proofErr w:type="gramEnd"/>
      <w:r w:rsidRPr="0079558E">
        <w:rPr>
          <w:rFonts w:ascii="Aptos"/>
          <w:i/>
          <w:iCs/>
          <w:sz w:val="22"/>
        </w:rPr>
        <w:t>: A meta-analysis by information content of genome-wide studies of the host response</w:t>
      </w:r>
      <w:r w:rsidRPr="0079558E">
        <w:rPr>
          <w:rFonts w:ascii="Aptos"/>
          <w:sz w:val="22"/>
        </w:rPr>
        <w:t>. https://doi.org/10.1101/2024.02.13.24301089</w:t>
      </w:r>
    </w:p>
    <w:p w14:paraId="04718440" w14:textId="77777777" w:rsidR="0079558E" w:rsidRPr="0079558E" w:rsidRDefault="0079558E" w:rsidP="0079558E">
      <w:pPr>
        <w:pStyle w:val="Bibliography"/>
        <w:rPr>
          <w:rFonts w:ascii="Aptos"/>
          <w:sz w:val="22"/>
        </w:rPr>
      </w:pPr>
      <w:r w:rsidRPr="0079558E">
        <w:rPr>
          <w:rFonts w:ascii="Aptos"/>
          <w:sz w:val="22"/>
        </w:rPr>
        <w:t xml:space="preserve">Moreira, A. G., Arora, T., Arya, S., Winter, C., Valadie, C. T., &amp; Kwinta, P. (2023). Leveraging transcriptomics to develop bronchopulmonary dysplasia endotypes: A concept paper. </w:t>
      </w:r>
      <w:r w:rsidRPr="0079558E">
        <w:rPr>
          <w:rFonts w:ascii="Aptos"/>
          <w:i/>
          <w:iCs/>
          <w:sz w:val="22"/>
        </w:rPr>
        <w:t>Respiratory Research</w:t>
      </w:r>
      <w:r w:rsidRPr="0079558E">
        <w:rPr>
          <w:rFonts w:ascii="Aptos"/>
          <w:sz w:val="22"/>
        </w:rPr>
        <w:t xml:space="preserve">, </w:t>
      </w:r>
      <w:r w:rsidRPr="0079558E">
        <w:rPr>
          <w:rFonts w:ascii="Aptos"/>
          <w:i/>
          <w:iCs/>
          <w:sz w:val="22"/>
        </w:rPr>
        <w:t>24</w:t>
      </w:r>
      <w:r w:rsidRPr="0079558E">
        <w:rPr>
          <w:rFonts w:ascii="Aptos"/>
          <w:sz w:val="22"/>
        </w:rPr>
        <w:t>(1). Ovid MEDLINE(R) &lt;2023 to 2024&gt;. https://doi.org/10.1186/s12931-023-02596-y</w:t>
      </w:r>
    </w:p>
    <w:p w14:paraId="11EB397C" w14:textId="77777777" w:rsidR="0079558E" w:rsidRPr="0079558E" w:rsidRDefault="0079558E" w:rsidP="0079558E">
      <w:pPr>
        <w:pStyle w:val="Bibliography"/>
        <w:rPr>
          <w:rFonts w:ascii="Aptos"/>
          <w:sz w:val="22"/>
        </w:rPr>
      </w:pPr>
      <w:r w:rsidRPr="0079558E">
        <w:rPr>
          <w:rFonts w:ascii="Aptos"/>
          <w:i/>
          <w:iCs/>
          <w:sz w:val="22"/>
        </w:rPr>
        <w:t>Neonatal Data Analysis Unit (NDAU). Neonatal Health Intelligence Tool. 2021. Available: Https://www.imperial.ac.uk/neonatal-data-analysis-unit/neonatal-data-analysis-unit/neonatal-data-visualisations/</w:t>
      </w:r>
      <w:r w:rsidRPr="0079558E">
        <w:rPr>
          <w:rFonts w:ascii="Aptos"/>
          <w:sz w:val="22"/>
        </w:rPr>
        <w:t>. (n.d.).</w:t>
      </w:r>
    </w:p>
    <w:p w14:paraId="0809004C" w14:textId="77777777" w:rsidR="0079558E" w:rsidRPr="0079558E" w:rsidRDefault="0079558E" w:rsidP="0079558E">
      <w:pPr>
        <w:pStyle w:val="Bibliography"/>
        <w:rPr>
          <w:rFonts w:ascii="Aptos"/>
          <w:sz w:val="22"/>
        </w:rPr>
      </w:pPr>
      <w:r w:rsidRPr="0079558E">
        <w:rPr>
          <w:rFonts w:ascii="Aptos"/>
          <w:sz w:val="22"/>
        </w:rPr>
        <w:t xml:space="preserve">Page, M. J., McKenzie, J. E., Bossuyt, P. M., Boutron, I., Hoffmann, T. C., Mulrow, C. D., </w:t>
      </w:r>
      <w:proofErr w:type="spellStart"/>
      <w:r w:rsidRPr="0079558E">
        <w:rPr>
          <w:rFonts w:ascii="Aptos"/>
          <w:sz w:val="22"/>
        </w:rPr>
        <w:t>Shamseer</w:t>
      </w:r>
      <w:proofErr w:type="spellEnd"/>
      <w:r w:rsidRPr="0079558E">
        <w:rPr>
          <w:rFonts w:ascii="Aptos"/>
          <w:sz w:val="22"/>
        </w:rPr>
        <w:t xml:space="preserve">, L., Tetzlaff, J. M., Akl, E. A., Brennan, S. E., Chou, R., Glanville, J., Grimshaw, J. M., Hróbjartsson, A., Lalu, M. M., Li, T., Loder, E. W., Mayo-Wilson, E., McDonald, S., … Moher, D. (2021). The PRISMA 2020 statement: An updated guideline for reporting systematic reviews. </w:t>
      </w:r>
      <w:r w:rsidRPr="0079558E">
        <w:rPr>
          <w:rFonts w:ascii="Aptos"/>
          <w:i/>
          <w:iCs/>
          <w:sz w:val="22"/>
        </w:rPr>
        <w:t>BMJ</w:t>
      </w:r>
      <w:r w:rsidRPr="0079558E">
        <w:rPr>
          <w:rFonts w:ascii="Aptos"/>
          <w:sz w:val="22"/>
        </w:rPr>
        <w:t>, n71. https://doi.org/10.1136/bmj.n71</w:t>
      </w:r>
    </w:p>
    <w:p w14:paraId="5C5D2A91" w14:textId="77777777" w:rsidR="0079558E" w:rsidRPr="0079558E" w:rsidRDefault="0079558E" w:rsidP="0079558E">
      <w:pPr>
        <w:pStyle w:val="Bibliography"/>
        <w:rPr>
          <w:rFonts w:ascii="Aptos"/>
          <w:sz w:val="22"/>
        </w:rPr>
      </w:pPr>
      <w:r w:rsidRPr="0079558E">
        <w:rPr>
          <w:rFonts w:ascii="Aptos"/>
          <w:sz w:val="22"/>
        </w:rPr>
        <w:lastRenderedPageBreak/>
        <w:t xml:space="preserve">Parkinson, N., Rodgers, N., Head Fourman, M., Wang, B., </w:t>
      </w:r>
      <w:proofErr w:type="spellStart"/>
      <w:r w:rsidRPr="0079558E">
        <w:rPr>
          <w:rFonts w:ascii="Aptos"/>
          <w:sz w:val="22"/>
        </w:rPr>
        <w:t>Zechner</w:t>
      </w:r>
      <w:proofErr w:type="spellEnd"/>
      <w:r w:rsidRPr="0079558E">
        <w:rPr>
          <w:rFonts w:ascii="Aptos"/>
          <w:sz w:val="22"/>
        </w:rPr>
        <w:t xml:space="preserve">, M., Swets, M. C., Millar, J. E., Law, A., Russell, C. D., Baillie, J. K., &amp; Clohisey, S. (2020). Dynamic data-driven meta-analysis for prioritisation of host genes implicated in COVID-19. </w:t>
      </w:r>
      <w:r w:rsidRPr="0079558E">
        <w:rPr>
          <w:rFonts w:ascii="Aptos"/>
          <w:i/>
          <w:iCs/>
          <w:sz w:val="22"/>
        </w:rPr>
        <w:t>Scientific Reports</w:t>
      </w:r>
      <w:r w:rsidRPr="0079558E">
        <w:rPr>
          <w:rFonts w:ascii="Aptos"/>
          <w:sz w:val="22"/>
        </w:rPr>
        <w:t xml:space="preserve">, </w:t>
      </w:r>
      <w:r w:rsidRPr="0079558E">
        <w:rPr>
          <w:rFonts w:ascii="Aptos"/>
          <w:i/>
          <w:iCs/>
          <w:sz w:val="22"/>
        </w:rPr>
        <w:t>10</w:t>
      </w:r>
      <w:r w:rsidRPr="0079558E">
        <w:rPr>
          <w:rFonts w:ascii="Aptos"/>
          <w:sz w:val="22"/>
        </w:rPr>
        <w:t>(1), 22303. https://doi.org/10.1038/s41598-020-79033-3</w:t>
      </w:r>
    </w:p>
    <w:p w14:paraId="7D36D709" w14:textId="77777777" w:rsidR="0079558E" w:rsidRPr="0079558E" w:rsidRDefault="0079558E" w:rsidP="0079558E">
      <w:pPr>
        <w:pStyle w:val="Bibliography"/>
        <w:rPr>
          <w:rFonts w:ascii="Aptos"/>
          <w:sz w:val="22"/>
        </w:rPr>
      </w:pPr>
      <w:r w:rsidRPr="0079558E">
        <w:rPr>
          <w:rFonts w:ascii="Aptos"/>
          <w:sz w:val="22"/>
        </w:rPr>
        <w:t xml:space="preserve">Peters, V. A., Joesting, J. J., &amp; Freund, G. G. (2013). IL-1 receptor 2 (IL-1R2) and its role in immune regulation. </w:t>
      </w:r>
      <w:r w:rsidRPr="0079558E">
        <w:rPr>
          <w:rFonts w:ascii="Aptos"/>
          <w:i/>
          <w:iCs/>
          <w:sz w:val="22"/>
        </w:rPr>
        <w:t xml:space="preserve">Brain, </w:t>
      </w:r>
      <w:proofErr w:type="spellStart"/>
      <w:r w:rsidRPr="0079558E">
        <w:rPr>
          <w:rFonts w:ascii="Aptos"/>
          <w:i/>
          <w:iCs/>
          <w:sz w:val="22"/>
        </w:rPr>
        <w:t>Behavior</w:t>
      </w:r>
      <w:proofErr w:type="spellEnd"/>
      <w:r w:rsidRPr="0079558E">
        <w:rPr>
          <w:rFonts w:ascii="Aptos"/>
          <w:i/>
          <w:iCs/>
          <w:sz w:val="22"/>
        </w:rPr>
        <w:t>, and Immunity</w:t>
      </w:r>
      <w:r w:rsidRPr="0079558E">
        <w:rPr>
          <w:rFonts w:ascii="Aptos"/>
          <w:sz w:val="22"/>
        </w:rPr>
        <w:t xml:space="preserve">, </w:t>
      </w:r>
      <w:r w:rsidRPr="0079558E">
        <w:rPr>
          <w:rFonts w:ascii="Aptos"/>
          <w:i/>
          <w:iCs/>
          <w:sz w:val="22"/>
        </w:rPr>
        <w:t>32</w:t>
      </w:r>
      <w:r w:rsidRPr="0079558E">
        <w:rPr>
          <w:rFonts w:ascii="Aptos"/>
          <w:sz w:val="22"/>
        </w:rPr>
        <w:t>, 1–8. https://doi.org/10.1016/j.bbi.2012.11.006</w:t>
      </w:r>
    </w:p>
    <w:p w14:paraId="3BE476B8" w14:textId="77777777" w:rsidR="0079558E" w:rsidRPr="0079558E" w:rsidRDefault="0079558E" w:rsidP="0079558E">
      <w:pPr>
        <w:pStyle w:val="Bibliography"/>
        <w:rPr>
          <w:rFonts w:ascii="Aptos"/>
          <w:sz w:val="22"/>
        </w:rPr>
      </w:pPr>
      <w:r w:rsidRPr="0079558E">
        <w:rPr>
          <w:rFonts w:ascii="Aptos"/>
          <w:sz w:val="22"/>
        </w:rPr>
        <w:t>Pietrzyk, J. J., Kwinta, P., Wollen, E. J., Bik-</w:t>
      </w:r>
      <w:proofErr w:type="spellStart"/>
      <w:r w:rsidRPr="0079558E">
        <w:rPr>
          <w:rFonts w:ascii="Aptos"/>
          <w:sz w:val="22"/>
        </w:rPr>
        <w:t>Multanowski</w:t>
      </w:r>
      <w:proofErr w:type="spellEnd"/>
      <w:r w:rsidRPr="0079558E">
        <w:rPr>
          <w:rFonts w:ascii="Aptos"/>
          <w:sz w:val="22"/>
        </w:rPr>
        <w:t>, M., Madetko-</w:t>
      </w:r>
      <w:proofErr w:type="spellStart"/>
      <w:r w:rsidRPr="0079558E">
        <w:rPr>
          <w:rFonts w:ascii="Aptos"/>
          <w:sz w:val="22"/>
        </w:rPr>
        <w:t>Talowska</w:t>
      </w:r>
      <w:proofErr w:type="spellEnd"/>
      <w:r w:rsidRPr="0079558E">
        <w:rPr>
          <w:rFonts w:ascii="Aptos"/>
          <w:sz w:val="22"/>
        </w:rPr>
        <w:t xml:space="preserve">, A., Gunther, C.-C., Jagla, M., Tomasik, T., &amp; Saugstad, O. D. (2013). Gene expression profiling in preterm infants: New aspects of bronchopulmonary dysplasia development. </w:t>
      </w:r>
      <w:proofErr w:type="spellStart"/>
      <w:r w:rsidRPr="0079558E">
        <w:rPr>
          <w:rFonts w:ascii="Aptos"/>
          <w:i/>
          <w:iCs/>
          <w:sz w:val="22"/>
        </w:rPr>
        <w:t>PloS</w:t>
      </w:r>
      <w:proofErr w:type="spellEnd"/>
      <w:r w:rsidRPr="0079558E">
        <w:rPr>
          <w:rFonts w:ascii="Aptos"/>
          <w:i/>
          <w:iCs/>
          <w:sz w:val="22"/>
        </w:rPr>
        <w:t xml:space="preserve"> One</w:t>
      </w:r>
      <w:r w:rsidRPr="0079558E">
        <w:rPr>
          <w:rFonts w:ascii="Aptos"/>
          <w:sz w:val="22"/>
        </w:rPr>
        <w:t xml:space="preserve">, </w:t>
      </w:r>
      <w:r w:rsidRPr="0079558E">
        <w:rPr>
          <w:rFonts w:ascii="Aptos"/>
          <w:i/>
          <w:iCs/>
          <w:sz w:val="22"/>
        </w:rPr>
        <w:t>8</w:t>
      </w:r>
      <w:r w:rsidRPr="0079558E">
        <w:rPr>
          <w:rFonts w:ascii="Aptos"/>
          <w:sz w:val="22"/>
        </w:rPr>
        <w:t>(10). Ovid MEDLINE(R) &lt;2013&gt;. https://doi.org/10.1371/journal.pone.0078585</w:t>
      </w:r>
    </w:p>
    <w:p w14:paraId="46AB53D3" w14:textId="77777777" w:rsidR="0079558E" w:rsidRPr="0079558E" w:rsidRDefault="0079558E" w:rsidP="0079558E">
      <w:pPr>
        <w:pStyle w:val="Bibliography"/>
        <w:rPr>
          <w:rFonts w:ascii="Aptos"/>
          <w:sz w:val="22"/>
        </w:rPr>
      </w:pPr>
      <w:r w:rsidRPr="0079558E">
        <w:rPr>
          <w:rFonts w:ascii="Aptos"/>
          <w:sz w:val="22"/>
        </w:rPr>
        <w:t xml:space="preserve">Rebhun, J. F., Castro, A. F., &amp; Quilliam, L. A. (2000). Identification of Guanine Nucleotide Exchange Factors (GEFs) for the Rap1 GTPase. </w:t>
      </w:r>
      <w:r w:rsidRPr="0079558E">
        <w:rPr>
          <w:rFonts w:ascii="Aptos"/>
          <w:i/>
          <w:iCs/>
          <w:sz w:val="22"/>
        </w:rPr>
        <w:t>Journal of Biological Chemistry</w:t>
      </w:r>
      <w:r w:rsidRPr="0079558E">
        <w:rPr>
          <w:rFonts w:ascii="Aptos"/>
          <w:sz w:val="22"/>
        </w:rPr>
        <w:t xml:space="preserve">, </w:t>
      </w:r>
      <w:r w:rsidRPr="0079558E">
        <w:rPr>
          <w:rFonts w:ascii="Aptos"/>
          <w:i/>
          <w:iCs/>
          <w:sz w:val="22"/>
        </w:rPr>
        <w:t>275</w:t>
      </w:r>
      <w:r w:rsidRPr="0079558E">
        <w:rPr>
          <w:rFonts w:ascii="Aptos"/>
          <w:sz w:val="22"/>
        </w:rPr>
        <w:t>(45), 34901–34908. https://doi.org/10.1074/jbc.M005327200</w:t>
      </w:r>
    </w:p>
    <w:p w14:paraId="35BB9D78" w14:textId="77777777" w:rsidR="0079558E" w:rsidRPr="0079558E" w:rsidRDefault="0079558E" w:rsidP="0079558E">
      <w:pPr>
        <w:pStyle w:val="Bibliography"/>
        <w:rPr>
          <w:rFonts w:ascii="Aptos"/>
          <w:sz w:val="22"/>
        </w:rPr>
      </w:pPr>
      <w:r w:rsidRPr="0079558E">
        <w:rPr>
          <w:rFonts w:ascii="Aptos"/>
          <w:sz w:val="22"/>
        </w:rPr>
        <w:t xml:space="preserve">Rozance, P. J., Seedorf, G. J., Brown, A., Roe, G., O’Meara, M. C., </w:t>
      </w:r>
      <w:proofErr w:type="spellStart"/>
      <w:r w:rsidRPr="0079558E">
        <w:rPr>
          <w:rFonts w:ascii="Aptos"/>
          <w:sz w:val="22"/>
        </w:rPr>
        <w:t>Gien</w:t>
      </w:r>
      <w:proofErr w:type="spellEnd"/>
      <w:r w:rsidRPr="0079558E">
        <w:rPr>
          <w:rFonts w:ascii="Aptos"/>
          <w:sz w:val="22"/>
        </w:rPr>
        <w:t xml:space="preserve">, J., Tang, J.-R., &amp; </w:t>
      </w:r>
      <w:proofErr w:type="spellStart"/>
      <w:r w:rsidRPr="0079558E">
        <w:rPr>
          <w:rFonts w:ascii="Aptos"/>
          <w:sz w:val="22"/>
        </w:rPr>
        <w:t>Abman</w:t>
      </w:r>
      <w:proofErr w:type="spellEnd"/>
      <w:r w:rsidRPr="0079558E">
        <w:rPr>
          <w:rFonts w:ascii="Aptos"/>
          <w:sz w:val="22"/>
        </w:rPr>
        <w:t xml:space="preserve">, S. H. (2011). Intrauterine growth restriction decreases pulmonary alveolar and vessel growth and causes pulmonary artery endothelial cell dysfunction in vitro in </w:t>
      </w:r>
      <w:proofErr w:type="spellStart"/>
      <w:r w:rsidRPr="0079558E">
        <w:rPr>
          <w:rFonts w:ascii="Aptos"/>
          <w:sz w:val="22"/>
        </w:rPr>
        <w:t>fetal</w:t>
      </w:r>
      <w:proofErr w:type="spellEnd"/>
      <w:r w:rsidRPr="0079558E">
        <w:rPr>
          <w:rFonts w:ascii="Aptos"/>
          <w:sz w:val="22"/>
        </w:rPr>
        <w:t xml:space="preserve"> sheep. </w:t>
      </w:r>
      <w:r w:rsidRPr="0079558E">
        <w:rPr>
          <w:rFonts w:ascii="Aptos"/>
          <w:i/>
          <w:iCs/>
          <w:sz w:val="22"/>
        </w:rPr>
        <w:t>American Journal of Physiology-Lung Cellular and Molecular Physiology</w:t>
      </w:r>
      <w:r w:rsidRPr="0079558E">
        <w:rPr>
          <w:rFonts w:ascii="Aptos"/>
          <w:sz w:val="22"/>
        </w:rPr>
        <w:t xml:space="preserve">, </w:t>
      </w:r>
      <w:r w:rsidRPr="0079558E">
        <w:rPr>
          <w:rFonts w:ascii="Aptos"/>
          <w:i/>
          <w:iCs/>
          <w:sz w:val="22"/>
        </w:rPr>
        <w:t>301</w:t>
      </w:r>
      <w:r w:rsidRPr="0079558E">
        <w:rPr>
          <w:rFonts w:ascii="Aptos"/>
          <w:sz w:val="22"/>
        </w:rPr>
        <w:t>(6), L860–L871. https://doi.org/10.1152/ajplung.00197.2011</w:t>
      </w:r>
    </w:p>
    <w:p w14:paraId="7994D9EF" w14:textId="77777777" w:rsidR="0079558E" w:rsidRPr="0079558E" w:rsidRDefault="0079558E" w:rsidP="0079558E">
      <w:pPr>
        <w:pStyle w:val="Bibliography"/>
        <w:rPr>
          <w:rFonts w:ascii="Aptos"/>
          <w:sz w:val="22"/>
        </w:rPr>
      </w:pPr>
      <w:r w:rsidRPr="0079558E">
        <w:rPr>
          <w:rFonts w:ascii="Aptos"/>
          <w:sz w:val="22"/>
        </w:rPr>
        <w:t xml:space="preserve">Sun, T., Yu, H.-Y., Yang, M., Song, Y.-F., &amp; Fu, J.-H. (2023). Risk of asthma in preterm infants with bronchopulmonary dysplasia: A systematic review and meta-analysis. </w:t>
      </w:r>
      <w:r w:rsidRPr="0079558E">
        <w:rPr>
          <w:rFonts w:ascii="Aptos"/>
          <w:i/>
          <w:iCs/>
          <w:sz w:val="22"/>
        </w:rPr>
        <w:t xml:space="preserve">World Journal of </w:t>
      </w:r>
      <w:proofErr w:type="spellStart"/>
      <w:r w:rsidRPr="0079558E">
        <w:rPr>
          <w:rFonts w:ascii="Aptos"/>
          <w:i/>
          <w:iCs/>
          <w:sz w:val="22"/>
        </w:rPr>
        <w:t>Pediatrics</w:t>
      </w:r>
      <w:proofErr w:type="spellEnd"/>
      <w:r w:rsidRPr="0079558E">
        <w:rPr>
          <w:rFonts w:ascii="Aptos"/>
          <w:sz w:val="22"/>
        </w:rPr>
        <w:t xml:space="preserve">, </w:t>
      </w:r>
      <w:r w:rsidRPr="0079558E">
        <w:rPr>
          <w:rFonts w:ascii="Aptos"/>
          <w:i/>
          <w:iCs/>
          <w:sz w:val="22"/>
        </w:rPr>
        <w:t>19</w:t>
      </w:r>
      <w:r w:rsidRPr="0079558E">
        <w:rPr>
          <w:rFonts w:ascii="Aptos"/>
          <w:sz w:val="22"/>
        </w:rPr>
        <w:t>(6), 549–556. https://doi.org/10.1007/s12519-023-00701-1</w:t>
      </w:r>
    </w:p>
    <w:p w14:paraId="5E79A1C1" w14:textId="77777777" w:rsidR="0079558E" w:rsidRPr="0079558E" w:rsidRDefault="0079558E" w:rsidP="0079558E">
      <w:pPr>
        <w:pStyle w:val="Bibliography"/>
        <w:rPr>
          <w:rFonts w:ascii="Aptos"/>
          <w:sz w:val="22"/>
        </w:rPr>
      </w:pPr>
      <w:r w:rsidRPr="0079558E">
        <w:rPr>
          <w:rFonts w:ascii="Aptos"/>
          <w:sz w:val="22"/>
        </w:rPr>
        <w:t xml:space="preserve">The GenOMICC Investigators, The ISARIC4C Investigators, The COVID-19 Human Genetics Initiative, 23andMe Investigators, BRACOVID Investigators, Gen-COVID Investigators, </w:t>
      </w:r>
      <w:proofErr w:type="spellStart"/>
      <w:r w:rsidRPr="0079558E">
        <w:rPr>
          <w:rFonts w:ascii="Aptos"/>
          <w:sz w:val="22"/>
        </w:rPr>
        <w:t>Pairo</w:t>
      </w:r>
      <w:proofErr w:type="spellEnd"/>
      <w:r w:rsidRPr="0079558E">
        <w:rPr>
          <w:rFonts w:ascii="Aptos"/>
          <w:sz w:val="22"/>
        </w:rPr>
        <w:t xml:space="preserve">-Castineira, E., Clohisey, S., Klaric, L., Bretherick, A. D., </w:t>
      </w:r>
      <w:proofErr w:type="spellStart"/>
      <w:r w:rsidRPr="0079558E">
        <w:rPr>
          <w:rFonts w:ascii="Aptos"/>
          <w:sz w:val="22"/>
        </w:rPr>
        <w:t>Rawlik</w:t>
      </w:r>
      <w:proofErr w:type="spellEnd"/>
      <w:r w:rsidRPr="0079558E">
        <w:rPr>
          <w:rFonts w:ascii="Aptos"/>
          <w:sz w:val="22"/>
        </w:rPr>
        <w:t xml:space="preserve">, K., Pasko, D., Walker, S., Parkinson, N., Fourman, M. H., Russell, C. D., Furniss, J., Richmond, A., </w:t>
      </w:r>
      <w:proofErr w:type="spellStart"/>
      <w:r w:rsidRPr="0079558E">
        <w:rPr>
          <w:rFonts w:ascii="Aptos"/>
          <w:sz w:val="22"/>
        </w:rPr>
        <w:lastRenderedPageBreak/>
        <w:t>Gountouna</w:t>
      </w:r>
      <w:proofErr w:type="spellEnd"/>
      <w:r w:rsidRPr="0079558E">
        <w:rPr>
          <w:rFonts w:ascii="Aptos"/>
          <w:sz w:val="22"/>
        </w:rPr>
        <w:t xml:space="preserve">, E., … Baillie, J. K. (2021). Genetic mechanisms of critical illness in COVID-19. </w:t>
      </w:r>
      <w:r w:rsidRPr="0079558E">
        <w:rPr>
          <w:rFonts w:ascii="Aptos"/>
          <w:i/>
          <w:iCs/>
          <w:sz w:val="22"/>
        </w:rPr>
        <w:t>Nature</w:t>
      </w:r>
      <w:r w:rsidRPr="0079558E">
        <w:rPr>
          <w:rFonts w:ascii="Aptos"/>
          <w:sz w:val="22"/>
        </w:rPr>
        <w:t xml:space="preserve">, </w:t>
      </w:r>
      <w:r w:rsidRPr="0079558E">
        <w:rPr>
          <w:rFonts w:ascii="Aptos"/>
          <w:i/>
          <w:iCs/>
          <w:sz w:val="22"/>
        </w:rPr>
        <w:t>591</w:t>
      </w:r>
      <w:r w:rsidRPr="0079558E">
        <w:rPr>
          <w:rFonts w:ascii="Aptos"/>
          <w:sz w:val="22"/>
        </w:rPr>
        <w:t>(7848), 92–98. https://doi.org/10.1038/s41586-020-03065-y</w:t>
      </w:r>
    </w:p>
    <w:p w14:paraId="7B3F53BC" w14:textId="77777777" w:rsidR="0079558E" w:rsidRPr="0079558E" w:rsidRDefault="0079558E" w:rsidP="0079558E">
      <w:pPr>
        <w:pStyle w:val="Bibliography"/>
        <w:rPr>
          <w:rFonts w:ascii="Aptos"/>
          <w:sz w:val="22"/>
        </w:rPr>
      </w:pPr>
      <w:r w:rsidRPr="0079558E">
        <w:rPr>
          <w:rFonts w:ascii="Aptos"/>
          <w:sz w:val="22"/>
        </w:rPr>
        <w:t xml:space="preserve">Thébaud, B., Goss, K. N., Laughon, M., Whitsett, J. A., </w:t>
      </w:r>
      <w:proofErr w:type="spellStart"/>
      <w:r w:rsidRPr="0079558E">
        <w:rPr>
          <w:rFonts w:ascii="Aptos"/>
          <w:sz w:val="22"/>
        </w:rPr>
        <w:t>Abman</w:t>
      </w:r>
      <w:proofErr w:type="spellEnd"/>
      <w:r w:rsidRPr="0079558E">
        <w:rPr>
          <w:rFonts w:ascii="Aptos"/>
          <w:sz w:val="22"/>
        </w:rPr>
        <w:t xml:space="preserve">, S. H., Steinhorn, R. H., Aschner, J. L., Davis, P. G., McGrath-Morrow, S. A., Soll, R. F., &amp; Jobe, A. H. (2019). Bronchopulmonary dysplasia. </w:t>
      </w:r>
      <w:r w:rsidRPr="0079558E">
        <w:rPr>
          <w:rFonts w:ascii="Aptos"/>
          <w:i/>
          <w:iCs/>
          <w:sz w:val="22"/>
        </w:rPr>
        <w:t>Nature Reviews Disease Primers</w:t>
      </w:r>
      <w:r w:rsidRPr="0079558E">
        <w:rPr>
          <w:rFonts w:ascii="Aptos"/>
          <w:sz w:val="22"/>
        </w:rPr>
        <w:t xml:space="preserve">, </w:t>
      </w:r>
      <w:r w:rsidRPr="0079558E">
        <w:rPr>
          <w:rFonts w:ascii="Aptos"/>
          <w:i/>
          <w:iCs/>
          <w:sz w:val="22"/>
        </w:rPr>
        <w:t>5</w:t>
      </w:r>
      <w:r w:rsidRPr="0079558E">
        <w:rPr>
          <w:rFonts w:ascii="Aptos"/>
          <w:sz w:val="22"/>
        </w:rPr>
        <w:t>(1), 78. https://doi.org/10.1038/s41572-019-0127-7</w:t>
      </w:r>
    </w:p>
    <w:p w14:paraId="477C3F58" w14:textId="77777777" w:rsidR="0079558E" w:rsidRPr="0079558E" w:rsidRDefault="0079558E" w:rsidP="0079558E">
      <w:pPr>
        <w:pStyle w:val="Bibliography"/>
        <w:rPr>
          <w:rFonts w:ascii="Aptos"/>
          <w:sz w:val="22"/>
        </w:rPr>
      </w:pPr>
      <w:r w:rsidRPr="0079558E">
        <w:rPr>
          <w:rFonts w:ascii="Aptos"/>
          <w:sz w:val="22"/>
        </w:rPr>
        <w:t xml:space="preserve">Torgerson, D. G., Ballard, P. L., Keller, R. L., Oh, S. S., Huntsman, S., Hu, D., Eng, C., Burchard, E. G., Ballard, R. A., &amp; TOLSURF Study Group. (2018). Ancestry and genetic associations with bronchopulmonary dysplasia in preterm infants. </w:t>
      </w:r>
      <w:r w:rsidRPr="0079558E">
        <w:rPr>
          <w:rFonts w:ascii="Aptos"/>
          <w:i/>
          <w:iCs/>
          <w:sz w:val="22"/>
        </w:rPr>
        <w:t>American Journal of Physiology-Lung Cellular and Molecular Physiology</w:t>
      </w:r>
      <w:r w:rsidRPr="0079558E">
        <w:rPr>
          <w:rFonts w:ascii="Aptos"/>
          <w:sz w:val="22"/>
        </w:rPr>
        <w:t xml:space="preserve">, </w:t>
      </w:r>
      <w:r w:rsidRPr="0079558E">
        <w:rPr>
          <w:rFonts w:ascii="Aptos"/>
          <w:i/>
          <w:iCs/>
          <w:sz w:val="22"/>
        </w:rPr>
        <w:t>315</w:t>
      </w:r>
      <w:r w:rsidRPr="0079558E">
        <w:rPr>
          <w:rFonts w:ascii="Aptos"/>
          <w:sz w:val="22"/>
        </w:rPr>
        <w:t>(5), L858–L869. https://doi.org/10.1152/ajplung.00073.2018</w:t>
      </w:r>
    </w:p>
    <w:p w14:paraId="0496EA1D" w14:textId="77777777" w:rsidR="0079558E" w:rsidRPr="0079558E" w:rsidRDefault="0079558E" w:rsidP="0079558E">
      <w:pPr>
        <w:pStyle w:val="Bibliography"/>
        <w:rPr>
          <w:rFonts w:ascii="Aptos"/>
          <w:sz w:val="22"/>
        </w:rPr>
      </w:pPr>
      <w:r w:rsidRPr="0079558E">
        <w:rPr>
          <w:rFonts w:ascii="Aptos"/>
          <w:sz w:val="22"/>
        </w:rPr>
        <w:t xml:space="preserve">Um-Bergström, P., </w:t>
      </w:r>
      <w:proofErr w:type="spellStart"/>
      <w:r w:rsidRPr="0079558E">
        <w:rPr>
          <w:rFonts w:ascii="Aptos"/>
          <w:sz w:val="22"/>
        </w:rPr>
        <w:t>Pourbazargan</w:t>
      </w:r>
      <w:proofErr w:type="spellEnd"/>
      <w:r w:rsidRPr="0079558E">
        <w:rPr>
          <w:rFonts w:ascii="Aptos"/>
          <w:sz w:val="22"/>
        </w:rPr>
        <w:t xml:space="preserve">, M., Brundin, B., Ström, M., Ezerskyte, M., Gao, J., Berggren </w:t>
      </w:r>
      <w:proofErr w:type="spellStart"/>
      <w:r w:rsidRPr="0079558E">
        <w:rPr>
          <w:rFonts w:ascii="Aptos"/>
          <w:sz w:val="22"/>
        </w:rPr>
        <w:t>Broström</w:t>
      </w:r>
      <w:proofErr w:type="spellEnd"/>
      <w:r w:rsidRPr="0079558E">
        <w:rPr>
          <w:rFonts w:ascii="Aptos"/>
          <w:sz w:val="22"/>
        </w:rPr>
        <w:t xml:space="preserve">, E., </w:t>
      </w:r>
      <w:proofErr w:type="spellStart"/>
      <w:r w:rsidRPr="0079558E">
        <w:rPr>
          <w:rFonts w:ascii="Aptos"/>
          <w:sz w:val="22"/>
        </w:rPr>
        <w:t>Melén</w:t>
      </w:r>
      <w:proofErr w:type="spellEnd"/>
      <w:r w:rsidRPr="0079558E">
        <w:rPr>
          <w:rFonts w:ascii="Aptos"/>
          <w:sz w:val="22"/>
        </w:rPr>
        <w:t xml:space="preserve">, E., Wheelock, Å. M., Lindén, A., &amp; Sköld, C. M. (2022). Increased cytotoxic T-cells in the airways of adults with former bronchopulmonary dysplasia. </w:t>
      </w:r>
      <w:r w:rsidRPr="0079558E">
        <w:rPr>
          <w:rFonts w:ascii="Aptos"/>
          <w:i/>
          <w:iCs/>
          <w:sz w:val="22"/>
        </w:rPr>
        <w:t>European Respiratory Journal</w:t>
      </w:r>
      <w:r w:rsidRPr="0079558E">
        <w:rPr>
          <w:rFonts w:ascii="Aptos"/>
          <w:sz w:val="22"/>
        </w:rPr>
        <w:t xml:space="preserve">, </w:t>
      </w:r>
      <w:r w:rsidRPr="0079558E">
        <w:rPr>
          <w:rFonts w:ascii="Aptos"/>
          <w:i/>
          <w:iCs/>
          <w:sz w:val="22"/>
        </w:rPr>
        <w:t>60</w:t>
      </w:r>
      <w:r w:rsidRPr="0079558E">
        <w:rPr>
          <w:rFonts w:ascii="Aptos"/>
          <w:sz w:val="22"/>
        </w:rPr>
        <w:t>(3), 2102531. https://doi.org/10.1183/13993003.02531-2021</w:t>
      </w:r>
    </w:p>
    <w:p w14:paraId="2CA01787" w14:textId="77777777" w:rsidR="0079558E" w:rsidRPr="0079558E" w:rsidRDefault="0079558E" w:rsidP="0079558E">
      <w:pPr>
        <w:pStyle w:val="Bibliography"/>
        <w:rPr>
          <w:rFonts w:ascii="Aptos"/>
          <w:sz w:val="22"/>
        </w:rPr>
      </w:pPr>
      <w:r w:rsidRPr="0079558E">
        <w:rPr>
          <w:rFonts w:ascii="Aptos"/>
          <w:sz w:val="22"/>
        </w:rPr>
        <w:t xml:space="preserve">Wang, B., Law, A., Regan, T., Parkinson, N., Cole, J., Russell, C. D., </w:t>
      </w:r>
      <w:proofErr w:type="spellStart"/>
      <w:r w:rsidRPr="0079558E">
        <w:rPr>
          <w:rFonts w:ascii="Aptos"/>
          <w:sz w:val="22"/>
        </w:rPr>
        <w:t>Dockrell</w:t>
      </w:r>
      <w:proofErr w:type="spellEnd"/>
      <w:r w:rsidRPr="0079558E">
        <w:rPr>
          <w:rFonts w:ascii="Aptos"/>
          <w:sz w:val="22"/>
        </w:rPr>
        <w:t xml:space="preserve">, D. H., Gutmann, M. U., &amp; Baillie, J. K. (2022). Systematic comparison of ranking aggregation methods for gene lists in experimental results. </w:t>
      </w:r>
      <w:r w:rsidRPr="0079558E">
        <w:rPr>
          <w:rFonts w:ascii="Aptos"/>
          <w:i/>
          <w:iCs/>
          <w:sz w:val="22"/>
        </w:rPr>
        <w:t>Bioinformatics</w:t>
      </w:r>
      <w:r w:rsidRPr="0079558E">
        <w:rPr>
          <w:rFonts w:ascii="Aptos"/>
          <w:sz w:val="22"/>
        </w:rPr>
        <w:t xml:space="preserve">, </w:t>
      </w:r>
      <w:r w:rsidRPr="0079558E">
        <w:rPr>
          <w:rFonts w:ascii="Aptos"/>
          <w:i/>
          <w:iCs/>
          <w:sz w:val="22"/>
        </w:rPr>
        <w:t>38</w:t>
      </w:r>
      <w:r w:rsidRPr="0079558E">
        <w:rPr>
          <w:rFonts w:ascii="Aptos"/>
          <w:sz w:val="22"/>
        </w:rPr>
        <w:t>(21), 4927–4933. https://doi.org/10.1093/bioinformatics/btac621</w:t>
      </w:r>
    </w:p>
    <w:p w14:paraId="14B36A57" w14:textId="77777777" w:rsidR="0079558E" w:rsidRPr="0079558E" w:rsidRDefault="0079558E" w:rsidP="0079558E">
      <w:pPr>
        <w:pStyle w:val="Bibliography"/>
        <w:rPr>
          <w:rFonts w:ascii="Aptos"/>
          <w:sz w:val="22"/>
        </w:rPr>
      </w:pPr>
      <w:r w:rsidRPr="0079558E">
        <w:rPr>
          <w:rFonts w:ascii="Aptos"/>
          <w:sz w:val="22"/>
        </w:rPr>
        <w:t xml:space="preserve">Wang, H., St. Julien, K. R., Stevenson, D. K., Hoffmann, T. J., Witte, J. S., </w:t>
      </w:r>
      <w:proofErr w:type="spellStart"/>
      <w:r w:rsidRPr="0079558E">
        <w:rPr>
          <w:rFonts w:ascii="Aptos"/>
          <w:sz w:val="22"/>
        </w:rPr>
        <w:t>Lazzeroni</w:t>
      </w:r>
      <w:proofErr w:type="spellEnd"/>
      <w:r w:rsidRPr="0079558E">
        <w:rPr>
          <w:rFonts w:ascii="Aptos"/>
          <w:sz w:val="22"/>
        </w:rPr>
        <w:t xml:space="preserve">, L. C., Krasnow, M. A., Quaintance, C. C., Oehlert, J. W., Jelliffe-Pawlowski, L. L., Gould, J. B., Shaw, G. M., &amp; </w:t>
      </w:r>
      <w:proofErr w:type="spellStart"/>
      <w:r w:rsidRPr="0079558E">
        <w:rPr>
          <w:rFonts w:ascii="Aptos"/>
          <w:sz w:val="22"/>
        </w:rPr>
        <w:t>O’Brodovich</w:t>
      </w:r>
      <w:proofErr w:type="spellEnd"/>
      <w:r w:rsidRPr="0079558E">
        <w:rPr>
          <w:rFonts w:ascii="Aptos"/>
          <w:sz w:val="22"/>
        </w:rPr>
        <w:t xml:space="preserve">, H. M. (2013). A Genome-Wide Association Study (GWAS) for Bronchopulmonary Dysplasia. </w:t>
      </w:r>
      <w:proofErr w:type="spellStart"/>
      <w:r w:rsidRPr="0079558E">
        <w:rPr>
          <w:rFonts w:ascii="Aptos"/>
          <w:i/>
          <w:iCs/>
          <w:sz w:val="22"/>
        </w:rPr>
        <w:t>Pediatrics</w:t>
      </w:r>
      <w:proofErr w:type="spellEnd"/>
      <w:r w:rsidRPr="0079558E">
        <w:rPr>
          <w:rFonts w:ascii="Aptos"/>
          <w:sz w:val="22"/>
        </w:rPr>
        <w:t xml:space="preserve">, </w:t>
      </w:r>
      <w:r w:rsidRPr="0079558E">
        <w:rPr>
          <w:rFonts w:ascii="Aptos"/>
          <w:i/>
          <w:iCs/>
          <w:sz w:val="22"/>
        </w:rPr>
        <w:t>132</w:t>
      </w:r>
      <w:r w:rsidRPr="0079558E">
        <w:rPr>
          <w:rFonts w:ascii="Aptos"/>
          <w:sz w:val="22"/>
        </w:rPr>
        <w:t>(2), 290–297. https://doi.org/10.1542/peds.2013-0533</w:t>
      </w:r>
    </w:p>
    <w:p w14:paraId="42034C58" w14:textId="77777777" w:rsidR="0079558E" w:rsidRPr="0079558E" w:rsidRDefault="0079558E" w:rsidP="0079558E">
      <w:pPr>
        <w:pStyle w:val="Bibliography"/>
        <w:rPr>
          <w:rFonts w:ascii="Aptos"/>
          <w:sz w:val="22"/>
        </w:rPr>
      </w:pPr>
      <w:r w:rsidRPr="0079558E">
        <w:rPr>
          <w:rFonts w:ascii="Aptos"/>
          <w:sz w:val="22"/>
        </w:rPr>
        <w:lastRenderedPageBreak/>
        <w:t xml:space="preserve">Wu, T., Hu, E., Xu, S., Chen, M., Guo, P., Dai, Z., Feng, T., Zhou, L., Tang, W., Zhan, L., Fu, X., Liu, S., Bo, X., &amp; Yu, G. (2021). </w:t>
      </w:r>
      <w:proofErr w:type="spellStart"/>
      <w:r w:rsidRPr="0079558E">
        <w:rPr>
          <w:rFonts w:ascii="Aptos"/>
          <w:sz w:val="22"/>
        </w:rPr>
        <w:t>clusterProfiler</w:t>
      </w:r>
      <w:proofErr w:type="spellEnd"/>
      <w:r w:rsidRPr="0079558E">
        <w:rPr>
          <w:rFonts w:ascii="Aptos"/>
          <w:sz w:val="22"/>
        </w:rPr>
        <w:t xml:space="preserve"> 4.0: A universal enrichment tool for interpreting omics data. </w:t>
      </w:r>
      <w:r w:rsidRPr="0079558E">
        <w:rPr>
          <w:rFonts w:ascii="Aptos"/>
          <w:i/>
          <w:iCs/>
          <w:sz w:val="22"/>
        </w:rPr>
        <w:t>The Innovation</w:t>
      </w:r>
      <w:r w:rsidRPr="0079558E">
        <w:rPr>
          <w:rFonts w:ascii="Aptos"/>
          <w:sz w:val="22"/>
        </w:rPr>
        <w:t xml:space="preserve">, </w:t>
      </w:r>
      <w:r w:rsidRPr="0079558E">
        <w:rPr>
          <w:rFonts w:ascii="Aptos"/>
          <w:i/>
          <w:iCs/>
          <w:sz w:val="22"/>
        </w:rPr>
        <w:t>2</w:t>
      </w:r>
      <w:r w:rsidRPr="0079558E">
        <w:rPr>
          <w:rFonts w:ascii="Aptos"/>
          <w:sz w:val="22"/>
        </w:rPr>
        <w:t>(3), 100141. https://doi.org/10.1016/j.xinn.2021.100141</w:t>
      </w:r>
    </w:p>
    <w:p w14:paraId="27B667E2" w14:textId="1394A36A" w:rsidR="005D240B" w:rsidRPr="005B64D9" w:rsidRDefault="005D240B" w:rsidP="0079558E">
      <w:pPr>
        <w:pStyle w:val="Bibliography"/>
        <w:rPr>
          <w:b/>
          <w:bCs/>
          <w:sz w:val="22"/>
          <w:szCs w:val="22"/>
        </w:rPr>
      </w:pPr>
      <w:r>
        <w:rPr>
          <w:b/>
          <w:bCs/>
          <w:sz w:val="22"/>
          <w:szCs w:val="22"/>
        </w:rPr>
        <w:fldChar w:fldCharType="end"/>
      </w:r>
    </w:p>
    <w:p w14:paraId="5A4CAA76" w14:textId="77777777" w:rsidR="005D240B" w:rsidRPr="00B016B7" w:rsidRDefault="005D240B" w:rsidP="005D240B">
      <w:pPr>
        <w:spacing w:line="480" w:lineRule="auto"/>
        <w:jc w:val="both"/>
        <w:rPr>
          <w:rFonts w:cs="Calibri"/>
          <w:b/>
          <w:bCs/>
          <w:color w:val="000000" w:themeColor="text1"/>
          <w:sz w:val="22"/>
          <w:szCs w:val="22"/>
        </w:rPr>
      </w:pPr>
      <w:r w:rsidRPr="005B64D9">
        <w:rPr>
          <w:b/>
          <w:bCs/>
          <w:sz w:val="22"/>
          <w:szCs w:val="22"/>
        </w:rPr>
        <w:br w:type="column"/>
      </w:r>
      <w:r w:rsidRPr="005B64D9">
        <w:rPr>
          <w:rFonts w:cs="Calibri"/>
          <w:b/>
          <w:bCs/>
          <w:color w:val="000000" w:themeColor="text1"/>
          <w:sz w:val="22"/>
          <w:szCs w:val="22"/>
        </w:rPr>
        <w:lastRenderedPageBreak/>
        <w:t>CONFLICT OF INTEREST</w:t>
      </w:r>
    </w:p>
    <w:p w14:paraId="4A34556C" w14:textId="77777777" w:rsidR="005D240B" w:rsidRPr="005B64D9" w:rsidRDefault="005D240B" w:rsidP="005D240B">
      <w:pPr>
        <w:spacing w:line="480" w:lineRule="auto"/>
        <w:jc w:val="both"/>
        <w:rPr>
          <w:rFonts w:cs="Calibri"/>
          <w:color w:val="000000" w:themeColor="text1"/>
          <w:sz w:val="22"/>
          <w:szCs w:val="22"/>
        </w:rPr>
      </w:pPr>
      <w:r w:rsidRPr="005B64D9">
        <w:rPr>
          <w:rFonts w:cs="Calibri"/>
          <w:color w:val="000000" w:themeColor="text1"/>
          <w:sz w:val="22"/>
          <w:szCs w:val="22"/>
        </w:rPr>
        <w:t>All authors report no conflicts of interest.</w:t>
      </w:r>
    </w:p>
    <w:p w14:paraId="54BDE0EE" w14:textId="77777777" w:rsidR="005D240B" w:rsidRPr="005B64D9" w:rsidRDefault="005D240B" w:rsidP="005D240B">
      <w:pPr>
        <w:spacing w:line="480" w:lineRule="auto"/>
        <w:jc w:val="both"/>
        <w:rPr>
          <w:rFonts w:cs="Calibri"/>
          <w:color w:val="000000" w:themeColor="text1"/>
          <w:sz w:val="22"/>
          <w:szCs w:val="22"/>
        </w:rPr>
      </w:pPr>
    </w:p>
    <w:p w14:paraId="136AFC5B" w14:textId="77777777" w:rsidR="005D240B" w:rsidRPr="005B64D9"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FUNDING</w:t>
      </w:r>
    </w:p>
    <w:p w14:paraId="0A5FE622" w14:textId="77777777" w:rsidR="005D240B" w:rsidRPr="005B64D9" w:rsidRDefault="005D240B" w:rsidP="005D240B">
      <w:pPr>
        <w:spacing w:line="480" w:lineRule="auto"/>
        <w:jc w:val="both"/>
        <w:rPr>
          <w:rFonts w:cs="Calibri"/>
          <w:color w:val="000000" w:themeColor="text1"/>
          <w:sz w:val="22"/>
          <w:szCs w:val="22"/>
        </w:rPr>
      </w:pPr>
      <w:r w:rsidRPr="005B64D9">
        <w:rPr>
          <w:rFonts w:cs="Calibri"/>
          <w:color w:val="000000" w:themeColor="text1"/>
          <w:sz w:val="22"/>
          <w:szCs w:val="22"/>
        </w:rPr>
        <w:t>&lt;</w:t>
      </w:r>
      <w:r w:rsidRPr="005B64D9">
        <w:rPr>
          <w:rFonts w:cs="Calibri"/>
          <w:color w:val="000000" w:themeColor="text1"/>
          <w:sz w:val="22"/>
          <w:szCs w:val="22"/>
          <w:highlight w:val="yellow"/>
        </w:rPr>
        <w:t>INSERT</w:t>
      </w:r>
      <w:r w:rsidRPr="005B64D9">
        <w:rPr>
          <w:rFonts w:cs="Calibri"/>
          <w:color w:val="000000" w:themeColor="text1"/>
          <w:sz w:val="22"/>
          <w:szCs w:val="22"/>
        </w:rPr>
        <w:t>&gt;</w:t>
      </w:r>
    </w:p>
    <w:p w14:paraId="1C0C6D3C" w14:textId="77777777" w:rsidR="005D240B" w:rsidRPr="005B64D9" w:rsidRDefault="005D240B" w:rsidP="005D240B">
      <w:pPr>
        <w:spacing w:line="480" w:lineRule="auto"/>
        <w:jc w:val="both"/>
        <w:rPr>
          <w:rFonts w:cs="Calibri"/>
          <w:color w:val="000000" w:themeColor="text1"/>
          <w:sz w:val="22"/>
          <w:szCs w:val="22"/>
        </w:rPr>
      </w:pPr>
    </w:p>
    <w:p w14:paraId="23C76A32" w14:textId="77777777" w:rsidR="005D240B" w:rsidRPr="00B016B7"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DATA AVAILABILITY</w:t>
      </w:r>
    </w:p>
    <w:p w14:paraId="3441BA02" w14:textId="77777777" w:rsidR="005D240B" w:rsidRPr="005B64D9" w:rsidRDefault="005D240B" w:rsidP="005D240B">
      <w:pPr>
        <w:spacing w:line="480" w:lineRule="auto"/>
        <w:jc w:val="both"/>
        <w:rPr>
          <w:rFonts w:cs="Calibri"/>
          <w:color w:val="000000" w:themeColor="text1"/>
          <w:sz w:val="22"/>
          <w:szCs w:val="22"/>
        </w:rPr>
      </w:pPr>
      <w:r w:rsidRPr="005B64D9">
        <w:rPr>
          <w:rFonts w:cs="Calibri"/>
          <w:color w:val="000000" w:themeColor="text1"/>
          <w:sz w:val="22"/>
          <w:szCs w:val="22"/>
        </w:rPr>
        <w:t xml:space="preserve">The MAIC output is included as supplementary material. All code is available at </w:t>
      </w:r>
      <w:r w:rsidRPr="00B016B7">
        <w:rPr>
          <w:rFonts w:cs="Calibri"/>
          <w:color w:val="000000" w:themeColor="text1"/>
          <w:sz w:val="22"/>
          <w:szCs w:val="22"/>
          <w:highlight w:val="yellow"/>
        </w:rPr>
        <w:t>https://github.com/baillielab/bpd_maic.</w:t>
      </w:r>
    </w:p>
    <w:p w14:paraId="5889C142" w14:textId="77777777" w:rsidR="005D240B" w:rsidRPr="005B64D9" w:rsidRDefault="005D240B" w:rsidP="005D240B">
      <w:pPr>
        <w:spacing w:line="480" w:lineRule="auto"/>
        <w:jc w:val="both"/>
        <w:rPr>
          <w:rFonts w:cs="Calibri"/>
          <w:b/>
          <w:bCs/>
          <w:color w:val="000000" w:themeColor="text1"/>
          <w:sz w:val="22"/>
          <w:szCs w:val="22"/>
        </w:rPr>
      </w:pPr>
    </w:p>
    <w:p w14:paraId="37C7D559" w14:textId="77777777" w:rsidR="005D240B" w:rsidRPr="00B016B7" w:rsidRDefault="005D240B" w:rsidP="005D240B">
      <w:pPr>
        <w:spacing w:line="480" w:lineRule="auto"/>
        <w:jc w:val="both"/>
        <w:rPr>
          <w:rFonts w:cs="Calibri"/>
          <w:b/>
          <w:bCs/>
          <w:color w:val="000000" w:themeColor="text1"/>
          <w:sz w:val="22"/>
          <w:szCs w:val="22"/>
        </w:rPr>
      </w:pPr>
      <w:r w:rsidRPr="005B64D9">
        <w:rPr>
          <w:rFonts w:cs="Calibri"/>
          <w:b/>
          <w:bCs/>
          <w:color w:val="000000" w:themeColor="text1"/>
          <w:sz w:val="22"/>
          <w:szCs w:val="22"/>
        </w:rPr>
        <w:t>CONTRIBUTIONS</w:t>
      </w:r>
    </w:p>
    <w:p w14:paraId="08507F0B" w14:textId="77777777" w:rsidR="005D240B" w:rsidRPr="005B64D9" w:rsidRDefault="005D240B" w:rsidP="005D240B">
      <w:pPr>
        <w:spacing w:line="480" w:lineRule="auto"/>
        <w:jc w:val="both"/>
        <w:rPr>
          <w:rFonts w:cs="Calibri"/>
          <w:color w:val="000000" w:themeColor="text1"/>
          <w:sz w:val="22"/>
          <w:szCs w:val="22"/>
        </w:rPr>
      </w:pPr>
      <w:r w:rsidRPr="005B64D9">
        <w:rPr>
          <w:rFonts w:cs="Calibri"/>
          <w:color w:val="000000" w:themeColor="text1"/>
          <w:sz w:val="22"/>
          <w:szCs w:val="22"/>
        </w:rPr>
        <w:t>SCH, JKB and JEM conceived the study. SCH, PK, CH, JAR, NM, AA, NP, EL, MP manually reviewed abstracts for inclusion. SCH, PK, CH and CS curated the data. SCH, PK and CH did the formal analysis. SCH supervised the study. SCH, PK and CH wrote the original draft of the manuscript. All authors reviewed and edited the manuscript. SCH validated the study data. SCH, PK and CH had access to the raw data. The corresponding author had full access to all the data and final responsibility for the decision to submit for publication.</w:t>
      </w:r>
    </w:p>
    <w:p w14:paraId="132675F5" w14:textId="77777777" w:rsidR="005D240B" w:rsidRPr="005B64D9" w:rsidRDefault="005D240B" w:rsidP="005D240B">
      <w:pPr>
        <w:spacing w:line="480" w:lineRule="auto"/>
        <w:jc w:val="both"/>
        <w:rPr>
          <w:sz w:val="22"/>
          <w:szCs w:val="22"/>
        </w:rPr>
      </w:pPr>
    </w:p>
    <w:p w14:paraId="4587EAE1" w14:textId="77777777" w:rsidR="005D240B" w:rsidRPr="005B64D9" w:rsidRDefault="005D240B" w:rsidP="005D240B">
      <w:pPr>
        <w:spacing w:line="480" w:lineRule="auto"/>
        <w:jc w:val="both"/>
        <w:rPr>
          <w:sz w:val="22"/>
          <w:szCs w:val="22"/>
        </w:rPr>
      </w:pPr>
    </w:p>
    <w:p w14:paraId="36B180ED" w14:textId="77777777" w:rsidR="003B2F70" w:rsidRDefault="003B2F70"/>
    <w:sectPr w:rsidR="003B2F70"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08-06T10:58:00Z" w:initials="SCH">
    <w:p w14:paraId="57117665" w14:textId="77777777" w:rsidR="005D240B" w:rsidRDefault="005D240B" w:rsidP="005D240B">
      <w:r>
        <w:rPr>
          <w:rStyle w:val="CommentReference"/>
        </w:rPr>
        <w:annotationRef/>
      </w:r>
      <w:r>
        <w:rPr>
          <w:sz w:val="20"/>
          <w:szCs w:val="20"/>
        </w:rPr>
        <w:t>Aim for 1200 words</w:t>
      </w:r>
    </w:p>
  </w:comment>
  <w:comment w:id="1" w:author="Sara Clohisey Hendry" w:date="2025-08-06T12:55:00Z" w:initials="SCH">
    <w:p w14:paraId="53F7F3EE" w14:textId="77777777" w:rsidR="005D240B" w:rsidRDefault="005D240B" w:rsidP="005D240B">
      <w:r>
        <w:rPr>
          <w:rStyle w:val="CommentReference"/>
        </w:rPr>
        <w:annotationRef/>
      </w:r>
      <w:r>
        <w:rPr>
          <w:sz w:val="20"/>
          <w:szCs w:val="20"/>
        </w:rPr>
        <w:t>heatmap</w:t>
      </w:r>
    </w:p>
    <w:p w14:paraId="6A55D93C" w14:textId="77777777" w:rsidR="005D240B" w:rsidRDefault="005D240B" w:rsidP="005D240B"/>
  </w:comment>
  <w:comment w:id="2" w:author="Sara Clohisey Hendry" w:date="2025-08-21T15:05:00Z" w:initials="SCH">
    <w:p w14:paraId="04267B29" w14:textId="2AAACA4F" w:rsidR="00053511" w:rsidRDefault="00053511" w:rsidP="00053511">
      <w:r>
        <w:rPr>
          <w:rStyle w:val="CommentReference"/>
        </w:rPr>
        <w:annotationRef/>
      </w:r>
      <w:r>
        <w:rPr>
          <w:sz w:val="20"/>
          <w:szCs w:val="20"/>
        </w:rPr>
        <w:t>It is difficult to determine if some uncommon, enriched pathways reflect rodent-specific responses to experimental injury rather than universally conserved disease mechanisms.</w:t>
      </w:r>
    </w:p>
    <w:p w14:paraId="3B4D4153" w14:textId="77777777" w:rsidR="00053511" w:rsidRDefault="00053511" w:rsidP="00053511"/>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117665" w15:done="0"/>
  <w15:commentEx w15:paraId="6A55D93C" w15:done="0"/>
  <w15:commentEx w15:paraId="3B4D41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488C85" w16cex:dateUtc="2025-08-06T09:58:00Z"/>
  <w16cex:commentExtensible w16cex:durableId="515A323F" w16cex:dateUtc="2025-08-06T11:55:00Z"/>
  <w16cex:commentExtensible w16cex:durableId="4C3D618E" w16cex:dateUtc="2025-08-21T1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117665" w16cid:durableId="15488C85"/>
  <w16cid:commentId w16cid:paraId="6A55D93C" w16cid:durableId="515A323F"/>
  <w16cid:commentId w16cid:paraId="3B4D4153" w16cid:durableId="4C3D618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53511"/>
    <w:rsid w:val="00083898"/>
    <w:rsid w:val="00097860"/>
    <w:rsid w:val="000B0759"/>
    <w:rsid w:val="000C33C9"/>
    <w:rsid w:val="001045AD"/>
    <w:rsid w:val="001363FD"/>
    <w:rsid w:val="001B5DBE"/>
    <w:rsid w:val="001D6A71"/>
    <w:rsid w:val="001E5E56"/>
    <w:rsid w:val="001E7CF0"/>
    <w:rsid w:val="00317902"/>
    <w:rsid w:val="00326D95"/>
    <w:rsid w:val="003508D3"/>
    <w:rsid w:val="00357B67"/>
    <w:rsid w:val="0036129C"/>
    <w:rsid w:val="003B2F70"/>
    <w:rsid w:val="00456715"/>
    <w:rsid w:val="004A2A48"/>
    <w:rsid w:val="004F6F62"/>
    <w:rsid w:val="00502716"/>
    <w:rsid w:val="005400FE"/>
    <w:rsid w:val="00545988"/>
    <w:rsid w:val="005508DA"/>
    <w:rsid w:val="00551E31"/>
    <w:rsid w:val="005A680A"/>
    <w:rsid w:val="005D240B"/>
    <w:rsid w:val="006030CD"/>
    <w:rsid w:val="006117F5"/>
    <w:rsid w:val="00642B03"/>
    <w:rsid w:val="00645074"/>
    <w:rsid w:val="0065547A"/>
    <w:rsid w:val="006B6E85"/>
    <w:rsid w:val="007117FA"/>
    <w:rsid w:val="00740014"/>
    <w:rsid w:val="00745C0E"/>
    <w:rsid w:val="00756D83"/>
    <w:rsid w:val="0077789B"/>
    <w:rsid w:val="007816AD"/>
    <w:rsid w:val="0079558E"/>
    <w:rsid w:val="007C3ADC"/>
    <w:rsid w:val="008506FE"/>
    <w:rsid w:val="009122EE"/>
    <w:rsid w:val="009155AD"/>
    <w:rsid w:val="00955096"/>
    <w:rsid w:val="00971920"/>
    <w:rsid w:val="009775FE"/>
    <w:rsid w:val="009A3070"/>
    <w:rsid w:val="009B65CF"/>
    <w:rsid w:val="009F3C8A"/>
    <w:rsid w:val="00A04C89"/>
    <w:rsid w:val="00A14BEC"/>
    <w:rsid w:val="00A55110"/>
    <w:rsid w:val="00A87B66"/>
    <w:rsid w:val="00AB2D4D"/>
    <w:rsid w:val="00AB7995"/>
    <w:rsid w:val="00AE378A"/>
    <w:rsid w:val="00B67F7B"/>
    <w:rsid w:val="00B82C33"/>
    <w:rsid w:val="00BD33E1"/>
    <w:rsid w:val="00BE6D81"/>
    <w:rsid w:val="00BF2C13"/>
    <w:rsid w:val="00C2707E"/>
    <w:rsid w:val="00C418B1"/>
    <w:rsid w:val="00C817ED"/>
    <w:rsid w:val="00C9039E"/>
    <w:rsid w:val="00CC72D9"/>
    <w:rsid w:val="00CD0A9E"/>
    <w:rsid w:val="00CF1C78"/>
    <w:rsid w:val="00D3572D"/>
    <w:rsid w:val="00D47C81"/>
    <w:rsid w:val="00D50D37"/>
    <w:rsid w:val="00D76E64"/>
    <w:rsid w:val="00DF7913"/>
    <w:rsid w:val="00E334A6"/>
    <w:rsid w:val="00E715A3"/>
    <w:rsid w:val="00EA1A53"/>
    <w:rsid w:val="00F3067B"/>
    <w:rsid w:val="00F6752D"/>
    <w:rsid w:val="00F764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720" w:hanging="720"/>
    </w:pPr>
  </w:style>
  <w:style w:type="character" w:styleId="Hyperlink">
    <w:name w:val="Hyperlink"/>
    <w:basedOn w:val="DefaultParagraphFont"/>
    <w:uiPriority w:val="99"/>
    <w:semiHidden/>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24</Pages>
  <Words>22330</Words>
  <Characters>127283</Characters>
  <Application>Microsoft Office Word</Application>
  <DocSecurity>0</DocSecurity>
  <Lines>1060</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33</cp:revision>
  <dcterms:created xsi:type="dcterms:W3CDTF">2025-08-19T13:00:00Z</dcterms:created>
  <dcterms:modified xsi:type="dcterms:W3CDTF">2025-10-16T14:34:00Z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id="7gS6PviK"/&gt;&lt;style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