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6323BF" w:rsidRDefault="005D240B" w:rsidP="00172688">
      <w:pPr>
        <w:spacing w:line="480" w:lineRule="auto"/>
        <w:jc w:val="both"/>
        <w:rPr>
          <w:b/>
          <w:bCs/>
          <w:color w:val="000000" w:themeColor="text1"/>
          <w:sz w:val="22"/>
          <w:szCs w:val="22"/>
        </w:rPr>
      </w:pPr>
      <w:r w:rsidRPr="006323BF">
        <w:rPr>
          <w:b/>
          <w:bCs/>
          <w:color w:val="000000" w:themeColor="text1"/>
          <w:sz w:val="22"/>
          <w:szCs w:val="22"/>
        </w:rPr>
        <w:t>Systems-Level Insights into Bronchopulmonary Dysplasia from Meta-Analysis of Genome-Scale Studies</w:t>
      </w:r>
    </w:p>
    <w:p w14:paraId="29EC562B" w14:textId="77777777" w:rsidR="005D240B" w:rsidRPr="006323BF" w:rsidRDefault="005D240B" w:rsidP="00172688">
      <w:pPr>
        <w:spacing w:line="480" w:lineRule="auto"/>
        <w:jc w:val="both"/>
        <w:rPr>
          <w:b/>
          <w:bCs/>
          <w:color w:val="000000" w:themeColor="text1"/>
          <w:sz w:val="22"/>
          <w:szCs w:val="22"/>
        </w:rPr>
      </w:pPr>
    </w:p>
    <w:p w14:paraId="6AB27514" w14:textId="77777777"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Chris Happs</w:t>
      </w:r>
      <w:r w:rsidRPr="006323BF">
        <w:rPr>
          <w:color w:val="000000" w:themeColor="text1"/>
          <w:sz w:val="22"/>
          <w:szCs w:val="22"/>
          <w:vertAlign w:val="superscript"/>
        </w:rPr>
        <w:t>1,2</w:t>
      </w:r>
      <w:r w:rsidRPr="006323BF">
        <w:rPr>
          <w:color w:val="000000" w:themeColor="text1"/>
          <w:sz w:val="22"/>
          <w:szCs w:val="22"/>
        </w:rPr>
        <w:t>*, Prerna Khanna</w:t>
      </w:r>
      <w:r w:rsidRPr="006323BF">
        <w:rPr>
          <w:color w:val="000000" w:themeColor="text1"/>
          <w:sz w:val="22"/>
          <w:szCs w:val="22"/>
          <w:vertAlign w:val="superscript"/>
        </w:rPr>
        <w:t>1,2</w:t>
      </w:r>
      <w:r w:rsidRPr="006323BF">
        <w:rPr>
          <w:color w:val="000000" w:themeColor="text1"/>
          <w:sz w:val="22"/>
          <w:szCs w:val="22"/>
        </w:rPr>
        <w:t>*, Charlotte Scoynes</w:t>
      </w:r>
      <w:r w:rsidRPr="006323BF">
        <w:rPr>
          <w:color w:val="000000" w:themeColor="text1"/>
          <w:sz w:val="22"/>
          <w:szCs w:val="22"/>
          <w:vertAlign w:val="superscript"/>
        </w:rPr>
        <w:t>2</w:t>
      </w:r>
      <w:r w:rsidRPr="006323BF">
        <w:rPr>
          <w:color w:val="000000" w:themeColor="text1"/>
          <w:sz w:val="22"/>
          <w:szCs w:val="22"/>
        </w:rPr>
        <w:t>, Nelly Muriungi</w:t>
      </w:r>
      <w:r w:rsidRPr="006323BF">
        <w:rPr>
          <w:color w:val="000000" w:themeColor="text1"/>
          <w:sz w:val="22"/>
          <w:szCs w:val="22"/>
          <w:vertAlign w:val="superscript"/>
        </w:rPr>
        <w:t>1</w:t>
      </w:r>
      <w:r w:rsidRPr="006323BF">
        <w:rPr>
          <w:color w:val="000000" w:themeColor="text1"/>
          <w:sz w:val="22"/>
          <w:szCs w:val="22"/>
        </w:rPr>
        <w:t>, Akira Alexander</w:t>
      </w:r>
      <w:r w:rsidRPr="006323BF">
        <w:rPr>
          <w:color w:val="000000" w:themeColor="text1"/>
          <w:sz w:val="22"/>
          <w:szCs w:val="22"/>
          <w:vertAlign w:val="superscript"/>
        </w:rPr>
        <w:t>1</w:t>
      </w:r>
      <w:r w:rsidRPr="006323BF">
        <w:rPr>
          <w:color w:val="000000" w:themeColor="text1"/>
          <w:sz w:val="22"/>
          <w:szCs w:val="22"/>
        </w:rPr>
        <w:t>, Josh Rogers</w:t>
      </w:r>
      <w:r w:rsidRPr="006323BF">
        <w:rPr>
          <w:color w:val="000000" w:themeColor="text1"/>
          <w:sz w:val="22"/>
          <w:szCs w:val="22"/>
          <w:vertAlign w:val="superscript"/>
        </w:rPr>
        <w:t>1</w:t>
      </w:r>
      <w:r w:rsidRPr="006323BF">
        <w:rPr>
          <w:color w:val="000000" w:themeColor="text1"/>
          <w:sz w:val="22"/>
          <w:szCs w:val="22"/>
        </w:rPr>
        <w:t>, Elizabeth Lake</w:t>
      </w:r>
      <w:r w:rsidRPr="006323BF">
        <w:rPr>
          <w:color w:val="000000" w:themeColor="text1"/>
          <w:sz w:val="22"/>
          <w:szCs w:val="22"/>
          <w:vertAlign w:val="superscript"/>
        </w:rPr>
        <w:t>1,2</w:t>
      </w:r>
      <w:r w:rsidRPr="006323BF">
        <w:rPr>
          <w:color w:val="000000" w:themeColor="text1"/>
          <w:sz w:val="22"/>
          <w:szCs w:val="22"/>
        </w:rPr>
        <w:t>, Maximillian Pickup</w:t>
      </w:r>
      <w:r w:rsidRPr="006323BF">
        <w:rPr>
          <w:color w:val="000000" w:themeColor="text1"/>
          <w:sz w:val="22"/>
          <w:szCs w:val="22"/>
          <w:vertAlign w:val="superscript"/>
        </w:rPr>
        <w:t>1,2</w:t>
      </w:r>
      <w:r w:rsidRPr="006323BF">
        <w:rPr>
          <w:color w:val="000000" w:themeColor="text1"/>
          <w:sz w:val="22"/>
          <w:szCs w:val="22"/>
        </w:rPr>
        <w:t>, Nicholas Parkinson</w:t>
      </w:r>
      <w:r w:rsidRPr="006323BF">
        <w:rPr>
          <w:color w:val="000000" w:themeColor="text1"/>
          <w:sz w:val="22"/>
          <w:szCs w:val="22"/>
          <w:vertAlign w:val="superscript"/>
        </w:rPr>
        <w:t>1</w:t>
      </w:r>
      <w:r w:rsidRPr="006323BF">
        <w:rPr>
          <w:color w:val="000000" w:themeColor="text1"/>
          <w:sz w:val="22"/>
          <w:szCs w:val="22"/>
        </w:rPr>
        <w:t>, Jonathan Millar</w:t>
      </w:r>
      <w:r w:rsidRPr="006323BF">
        <w:rPr>
          <w:color w:val="000000" w:themeColor="text1"/>
          <w:sz w:val="22"/>
          <w:szCs w:val="22"/>
          <w:vertAlign w:val="superscript"/>
        </w:rPr>
        <w:t>2</w:t>
      </w:r>
      <w:r w:rsidRPr="006323BF">
        <w:rPr>
          <w:color w:val="000000" w:themeColor="text1"/>
          <w:sz w:val="22"/>
          <w:szCs w:val="22"/>
        </w:rPr>
        <w:t>, Kenneth Baillie</w:t>
      </w:r>
      <w:r w:rsidRPr="006323BF">
        <w:rPr>
          <w:color w:val="000000" w:themeColor="text1"/>
          <w:sz w:val="22"/>
          <w:szCs w:val="22"/>
          <w:vertAlign w:val="superscript"/>
        </w:rPr>
        <w:t>1,2</w:t>
      </w:r>
      <w:r w:rsidRPr="006323BF">
        <w:rPr>
          <w:color w:val="000000" w:themeColor="text1"/>
          <w:sz w:val="22"/>
          <w:szCs w:val="22"/>
        </w:rPr>
        <w:t>, Sara Clohisey Hendry</w:t>
      </w:r>
      <w:r w:rsidRPr="006323BF">
        <w:rPr>
          <w:color w:val="000000" w:themeColor="text1"/>
          <w:sz w:val="22"/>
          <w:szCs w:val="22"/>
          <w:vertAlign w:val="superscript"/>
        </w:rPr>
        <w:t>1,2</w:t>
      </w:r>
    </w:p>
    <w:p w14:paraId="00402DAC" w14:textId="1C69DD9C" w:rsidR="005D240B" w:rsidRPr="003D4739" w:rsidRDefault="005D240B" w:rsidP="003D4739">
      <w:pPr>
        <w:spacing w:line="480" w:lineRule="auto"/>
        <w:jc w:val="both"/>
        <w:rPr>
          <w:rFonts w:cs="Calibri"/>
          <w:color w:val="000000" w:themeColor="text1"/>
          <w:sz w:val="22"/>
          <w:szCs w:val="22"/>
        </w:rPr>
      </w:pPr>
    </w:p>
    <w:p w14:paraId="3924C8B2" w14:textId="77777777" w:rsidR="005D240B" w:rsidRPr="006323BF" w:rsidRDefault="005D240B" w:rsidP="00172688">
      <w:pPr>
        <w:spacing w:line="480" w:lineRule="auto"/>
        <w:jc w:val="both"/>
        <w:rPr>
          <w:color w:val="000000" w:themeColor="text1"/>
          <w:sz w:val="22"/>
          <w:szCs w:val="22"/>
        </w:rPr>
      </w:pPr>
    </w:p>
    <w:p w14:paraId="53342AC2" w14:textId="77777777" w:rsidR="005D240B" w:rsidRPr="006323BF" w:rsidRDefault="005D240B" w:rsidP="00172688">
      <w:pPr>
        <w:spacing w:line="480" w:lineRule="auto"/>
        <w:jc w:val="both"/>
        <w:rPr>
          <w:rFonts w:cs="Calibri"/>
          <w:color w:val="000000" w:themeColor="text1"/>
          <w:sz w:val="22"/>
          <w:szCs w:val="22"/>
        </w:rPr>
      </w:pPr>
      <w:r w:rsidRPr="006323BF">
        <w:rPr>
          <w:rFonts w:cs="Calibri"/>
          <w:b/>
          <w:bCs/>
          <w:color w:val="000000" w:themeColor="text1"/>
          <w:sz w:val="22"/>
          <w:szCs w:val="22"/>
        </w:rPr>
        <w:t xml:space="preserve">Running title: </w:t>
      </w:r>
      <w:r w:rsidRPr="006323BF">
        <w:rPr>
          <w:rFonts w:cs="Calibri"/>
          <w:color w:val="000000" w:themeColor="text1"/>
          <w:sz w:val="22"/>
          <w:szCs w:val="22"/>
        </w:rPr>
        <w:t>MAIC analysis of Bronchopulmonary Dysplasia</w:t>
      </w:r>
    </w:p>
    <w:p w14:paraId="13593164"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color w:val="000000" w:themeColor="text1"/>
          <w:sz w:val="22"/>
          <w:szCs w:val="22"/>
        </w:rPr>
        <w:br w:type="column"/>
      </w:r>
      <w:r w:rsidRPr="006323BF">
        <w:rPr>
          <w:rFonts w:cs="Calibri"/>
          <w:b/>
          <w:bCs/>
          <w:color w:val="000000" w:themeColor="text1"/>
          <w:sz w:val="22"/>
          <w:szCs w:val="22"/>
        </w:rPr>
        <w:lastRenderedPageBreak/>
        <w:t>ABSTRACT</w:t>
      </w:r>
    </w:p>
    <w:p w14:paraId="5FC885CB" w14:textId="77777777" w:rsidR="005D240B" w:rsidRPr="006323BF" w:rsidRDefault="005D240B" w:rsidP="00172688">
      <w:pPr>
        <w:spacing w:line="480" w:lineRule="auto"/>
        <w:jc w:val="both"/>
        <w:rPr>
          <w:rFonts w:cs="Calibri"/>
          <w:b/>
          <w:bCs/>
          <w:color w:val="000000" w:themeColor="text1"/>
          <w:sz w:val="22"/>
          <w:szCs w:val="22"/>
        </w:rPr>
      </w:pPr>
    </w:p>
    <w:p w14:paraId="2AC1ACFE"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b/>
          <w:bCs/>
          <w:color w:val="000000" w:themeColor="text1"/>
          <w:sz w:val="22"/>
          <w:szCs w:val="22"/>
        </w:rPr>
        <w:t>Background</w:t>
      </w:r>
    </w:p>
    <w:p w14:paraId="682833F4" w14:textId="70D8E5D3" w:rsidR="005D240B" w:rsidRPr="006323BF" w:rsidRDefault="000B0D01" w:rsidP="00172688">
      <w:pPr>
        <w:spacing w:line="480" w:lineRule="auto"/>
        <w:jc w:val="both"/>
        <w:rPr>
          <w:color w:val="000000" w:themeColor="text1"/>
          <w:sz w:val="22"/>
          <w:szCs w:val="22"/>
        </w:rPr>
      </w:pPr>
      <w:r w:rsidRPr="006323BF">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6323BF" w:rsidRDefault="000B0D01" w:rsidP="00172688">
      <w:pPr>
        <w:spacing w:line="480" w:lineRule="auto"/>
        <w:jc w:val="both"/>
        <w:rPr>
          <w:rFonts w:cs="Calibri"/>
          <w:b/>
          <w:bCs/>
          <w:color w:val="000000" w:themeColor="text1"/>
          <w:sz w:val="22"/>
          <w:szCs w:val="22"/>
        </w:rPr>
      </w:pPr>
    </w:p>
    <w:p w14:paraId="695E0928"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b/>
          <w:bCs/>
          <w:color w:val="000000" w:themeColor="text1"/>
          <w:sz w:val="22"/>
          <w:szCs w:val="22"/>
        </w:rPr>
        <w:t>Methods</w:t>
      </w:r>
    </w:p>
    <w:p w14:paraId="5792247D" w14:textId="77777777" w:rsidR="005D240B" w:rsidRPr="006323BF" w:rsidRDefault="005D240B" w:rsidP="00172688">
      <w:pPr>
        <w:spacing w:line="480" w:lineRule="auto"/>
        <w:jc w:val="both"/>
        <w:rPr>
          <w:rFonts w:cs="Calibri"/>
          <w:b/>
          <w:bCs/>
          <w:color w:val="000000" w:themeColor="text1"/>
          <w:sz w:val="22"/>
          <w:szCs w:val="22"/>
        </w:rPr>
      </w:pPr>
    </w:p>
    <w:p w14:paraId="283F0B14" w14:textId="3D073F6C" w:rsidR="005D240B" w:rsidRPr="006323BF" w:rsidRDefault="000B0D01" w:rsidP="00172688">
      <w:pPr>
        <w:spacing w:line="480" w:lineRule="auto"/>
        <w:jc w:val="both"/>
        <w:rPr>
          <w:rFonts w:cs="Calibri"/>
          <w:color w:val="000000" w:themeColor="text1"/>
          <w:sz w:val="22"/>
          <w:szCs w:val="22"/>
        </w:rPr>
      </w:pPr>
      <w:r w:rsidRPr="006323BF">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6323BF" w:rsidRDefault="000B0D01" w:rsidP="00172688">
      <w:pPr>
        <w:spacing w:line="480" w:lineRule="auto"/>
        <w:jc w:val="both"/>
        <w:rPr>
          <w:rFonts w:cs="Calibri"/>
          <w:b/>
          <w:bCs/>
          <w:color w:val="000000" w:themeColor="text1"/>
          <w:sz w:val="22"/>
          <w:szCs w:val="22"/>
        </w:rPr>
      </w:pPr>
    </w:p>
    <w:p w14:paraId="1598C9B9"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b/>
          <w:bCs/>
          <w:color w:val="000000" w:themeColor="text1"/>
          <w:sz w:val="22"/>
          <w:szCs w:val="22"/>
        </w:rPr>
        <w:t>Results</w:t>
      </w:r>
    </w:p>
    <w:p w14:paraId="217F6E50" w14:textId="77777777" w:rsidR="005D240B" w:rsidRPr="006323BF" w:rsidRDefault="005D240B" w:rsidP="00172688">
      <w:pPr>
        <w:spacing w:line="480" w:lineRule="auto"/>
        <w:jc w:val="both"/>
        <w:rPr>
          <w:rFonts w:cs="Calibri"/>
          <w:color w:val="000000" w:themeColor="text1"/>
          <w:sz w:val="22"/>
          <w:szCs w:val="22"/>
        </w:rPr>
      </w:pPr>
    </w:p>
    <w:p w14:paraId="30B7BE11" w14:textId="77777777" w:rsidR="005D240B" w:rsidRPr="006323BF" w:rsidRDefault="005D240B" w:rsidP="00172688">
      <w:pPr>
        <w:spacing w:line="480" w:lineRule="auto"/>
        <w:jc w:val="both"/>
        <w:rPr>
          <w:rFonts w:cs="Calibri"/>
          <w:b/>
          <w:bCs/>
          <w:color w:val="000000" w:themeColor="text1"/>
          <w:sz w:val="22"/>
          <w:szCs w:val="22"/>
        </w:rPr>
      </w:pPr>
    </w:p>
    <w:p w14:paraId="14036533"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b/>
          <w:bCs/>
          <w:color w:val="000000" w:themeColor="text1"/>
          <w:sz w:val="22"/>
          <w:szCs w:val="22"/>
        </w:rPr>
        <w:t>Conclusions</w:t>
      </w:r>
    </w:p>
    <w:p w14:paraId="614E12E4" w14:textId="77777777" w:rsidR="005D240B" w:rsidRPr="006323BF" w:rsidRDefault="005D240B" w:rsidP="00172688">
      <w:pPr>
        <w:spacing w:line="480" w:lineRule="auto"/>
        <w:jc w:val="both"/>
        <w:rPr>
          <w:rFonts w:cs="Calibri"/>
          <w:color w:val="000000" w:themeColor="text1"/>
          <w:sz w:val="22"/>
          <w:szCs w:val="22"/>
        </w:rPr>
      </w:pPr>
    </w:p>
    <w:p w14:paraId="0B37ABF8" w14:textId="77777777" w:rsidR="005D240B" w:rsidRPr="006323BF" w:rsidRDefault="005D240B" w:rsidP="00172688">
      <w:pPr>
        <w:spacing w:line="480" w:lineRule="auto"/>
        <w:jc w:val="both"/>
        <w:rPr>
          <w:rFonts w:cs="Calibri"/>
          <w:color w:val="000000" w:themeColor="text1"/>
          <w:sz w:val="22"/>
          <w:szCs w:val="22"/>
        </w:rPr>
      </w:pPr>
      <w:r w:rsidRPr="006323BF">
        <w:rPr>
          <w:rFonts w:cs="Calibri"/>
          <w:b/>
          <w:bCs/>
          <w:color w:val="000000" w:themeColor="text1"/>
          <w:sz w:val="22"/>
          <w:szCs w:val="22"/>
        </w:rPr>
        <w:t xml:space="preserve">Key words: </w:t>
      </w:r>
      <w:r w:rsidRPr="006323BF">
        <w:rPr>
          <w:rFonts w:cs="Calibri"/>
          <w:color w:val="000000" w:themeColor="text1"/>
          <w:sz w:val="22"/>
          <w:szCs w:val="22"/>
        </w:rPr>
        <w:t xml:space="preserve">Bronchopulmonary Dysplasia; adaptive immunity, T cells, </w:t>
      </w:r>
    </w:p>
    <w:p w14:paraId="3BAA0B1D" w14:textId="75944528" w:rsidR="000B0D01" w:rsidRPr="006323BF" w:rsidRDefault="005D240B" w:rsidP="00172688">
      <w:pPr>
        <w:spacing w:line="480" w:lineRule="auto"/>
        <w:jc w:val="both"/>
        <w:rPr>
          <w:b/>
          <w:bCs/>
          <w:color w:val="000000" w:themeColor="text1"/>
          <w:sz w:val="22"/>
          <w:szCs w:val="22"/>
        </w:rPr>
      </w:pPr>
      <w:r w:rsidRPr="006323BF">
        <w:rPr>
          <w:b/>
          <w:bCs/>
          <w:color w:val="000000" w:themeColor="text1"/>
          <w:sz w:val="22"/>
          <w:szCs w:val="22"/>
        </w:rPr>
        <w:br w:type="column"/>
      </w:r>
      <w:r w:rsidRPr="006323BF">
        <w:rPr>
          <w:b/>
          <w:bCs/>
          <w:color w:val="000000" w:themeColor="text1"/>
          <w:sz w:val="22"/>
          <w:szCs w:val="22"/>
        </w:rPr>
        <w:lastRenderedPageBreak/>
        <w:t>Background</w:t>
      </w:r>
    </w:p>
    <w:p w14:paraId="79A12F87" w14:textId="77777777" w:rsidR="000B0D01" w:rsidRPr="006323BF" w:rsidRDefault="000B0D01" w:rsidP="00172688">
      <w:pPr>
        <w:spacing w:line="480" w:lineRule="auto"/>
        <w:jc w:val="both"/>
        <w:rPr>
          <w:color w:val="000000" w:themeColor="text1"/>
          <w:sz w:val="22"/>
          <w:szCs w:val="22"/>
        </w:rPr>
      </w:pPr>
    </w:p>
    <w:p w14:paraId="1A381C39" w14:textId="3FD8ED9B"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 xml:space="preserve">Bronchopulmonary dysplasia (BPD), </w:t>
      </w:r>
      <w:r w:rsidR="00BE6D81" w:rsidRPr="006323BF">
        <w:rPr>
          <w:color w:val="000000" w:themeColor="text1"/>
          <w:sz w:val="22"/>
          <w:szCs w:val="22"/>
        </w:rPr>
        <w:t>a</w:t>
      </w:r>
      <w:r w:rsidRPr="006323BF">
        <w:rPr>
          <w:color w:val="000000" w:themeColor="text1"/>
          <w:sz w:val="22"/>
          <w:szCs w:val="22"/>
        </w:rPr>
        <w:t xml:space="preserve"> </w:t>
      </w:r>
      <w:r w:rsidR="00BE6D81" w:rsidRPr="006323BF">
        <w:rPr>
          <w:color w:val="000000" w:themeColor="text1"/>
          <w:sz w:val="22"/>
          <w:szCs w:val="22"/>
        </w:rPr>
        <w:t>c</w:t>
      </w:r>
      <w:r w:rsidRPr="006323BF">
        <w:rPr>
          <w:color w:val="000000" w:themeColor="text1"/>
          <w:sz w:val="22"/>
          <w:szCs w:val="22"/>
        </w:rPr>
        <w:t xml:space="preserve">hronic </w:t>
      </w:r>
      <w:r w:rsidR="00BE6D81" w:rsidRPr="006323BF">
        <w:rPr>
          <w:color w:val="000000" w:themeColor="text1"/>
          <w:sz w:val="22"/>
          <w:szCs w:val="22"/>
        </w:rPr>
        <w:t>l</w:t>
      </w:r>
      <w:r w:rsidRPr="006323BF">
        <w:rPr>
          <w:color w:val="000000" w:themeColor="text1"/>
          <w:sz w:val="22"/>
          <w:szCs w:val="22"/>
        </w:rPr>
        <w:t xml:space="preserve">ung </w:t>
      </w:r>
      <w:r w:rsidR="00BE6D81" w:rsidRPr="006323BF">
        <w:rPr>
          <w:color w:val="000000" w:themeColor="text1"/>
          <w:sz w:val="22"/>
          <w:szCs w:val="22"/>
        </w:rPr>
        <w:t>d</w:t>
      </w:r>
      <w:r w:rsidRPr="006323BF">
        <w:rPr>
          <w:color w:val="000000" w:themeColor="text1"/>
          <w:sz w:val="22"/>
          <w:szCs w:val="22"/>
        </w:rPr>
        <w:t>isease, is one of the most common complications of preterm birth, affecting up to 30% of preterm infants born before 32 weeks post-menstrual age (PMA)</w:t>
      </w:r>
      <w:r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6323BF">
        <w:rPr>
          <w:color w:val="000000" w:themeColor="text1"/>
          <w:sz w:val="22"/>
          <w:szCs w:val="22"/>
        </w:rPr>
        <w:fldChar w:fldCharType="separate"/>
      </w:r>
      <w:r w:rsidR="00246187" w:rsidRPr="006323BF">
        <w:rPr>
          <w:rFonts w:ascii="Aptos" w:cs="Times New Roman"/>
          <w:color w:val="000000" w:themeColor="text1"/>
          <w:sz w:val="22"/>
          <w:vertAlign w:val="superscript"/>
        </w:rPr>
        <w:t>1</w:t>
      </w:r>
      <w:r w:rsidRPr="006323BF">
        <w:rPr>
          <w:color w:val="000000" w:themeColor="text1"/>
          <w:sz w:val="22"/>
          <w:szCs w:val="22"/>
        </w:rPr>
        <w:fldChar w:fldCharType="end"/>
      </w:r>
      <w:r w:rsidRPr="006323BF">
        <w:rPr>
          <w:color w:val="000000" w:themeColor="text1"/>
          <w:sz w:val="22"/>
          <w:szCs w:val="22"/>
          <w:vertAlign w:val="superscript"/>
        </w:rPr>
        <w:t>,</w:t>
      </w:r>
      <w:r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6323BF">
        <w:rPr>
          <w:color w:val="000000" w:themeColor="text1"/>
          <w:sz w:val="22"/>
          <w:szCs w:val="22"/>
        </w:rPr>
        <w:fldChar w:fldCharType="separate"/>
      </w:r>
      <w:r w:rsidR="00246187" w:rsidRPr="006323BF">
        <w:rPr>
          <w:rFonts w:ascii="Aptos" w:cs="Times New Roman"/>
          <w:color w:val="000000" w:themeColor="text1"/>
          <w:sz w:val="22"/>
          <w:vertAlign w:val="superscript"/>
        </w:rPr>
        <w:t>2,3</w:t>
      </w:r>
      <w:r w:rsidRPr="006323BF">
        <w:rPr>
          <w:color w:val="000000" w:themeColor="text1"/>
          <w:sz w:val="22"/>
          <w:szCs w:val="22"/>
        </w:rPr>
        <w:fldChar w:fldCharType="end"/>
      </w:r>
      <w:r w:rsidR="00E52999" w:rsidRPr="006323BF">
        <w:rPr>
          <w:color w:val="000000" w:themeColor="text1"/>
          <w:sz w:val="22"/>
          <w:szCs w:val="22"/>
        </w:rPr>
        <w:t>.</w:t>
      </w:r>
      <w:r w:rsidRPr="006323BF">
        <w:rPr>
          <w:color w:val="000000" w:themeColor="text1"/>
          <w:sz w:val="22"/>
          <w:szCs w:val="22"/>
        </w:rPr>
        <w:t xml:space="preserve"> Antenatal and postnatal factors disrupt the developing lung leading to decreased alveolarisation, larger alveoli, irregular pulmonary vessels, and fibrotic tissue</w:t>
      </w:r>
      <w:r w:rsidRPr="006323BF">
        <w:rPr>
          <w:rFonts w:eastAsia="Times New Roman"/>
          <w:color w:val="000000" w:themeColor="text1"/>
          <w:sz w:val="22"/>
          <w:szCs w:val="22"/>
          <w:lang w:eastAsia="en-GB"/>
        </w:rPr>
        <w:fldChar w:fldCharType="begin"/>
      </w:r>
      <w:r w:rsidR="00246187" w:rsidRPr="006323BF">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6323BF">
        <w:rPr>
          <w:rFonts w:eastAsia="Times New Roman"/>
          <w:color w:val="000000" w:themeColor="text1"/>
          <w:sz w:val="22"/>
          <w:szCs w:val="22"/>
          <w:lang w:eastAsia="en-GB"/>
        </w:rPr>
        <w:fldChar w:fldCharType="separate"/>
      </w:r>
      <w:r w:rsidR="00246187" w:rsidRPr="006323BF">
        <w:rPr>
          <w:rFonts w:ascii="Aptos" w:cs="Times New Roman"/>
          <w:color w:val="000000" w:themeColor="text1"/>
          <w:sz w:val="22"/>
          <w:vertAlign w:val="superscript"/>
        </w:rPr>
        <w:t>4,5</w:t>
      </w:r>
      <w:r w:rsidRPr="006323BF">
        <w:rPr>
          <w:rFonts w:eastAsia="Times New Roman"/>
          <w:color w:val="000000" w:themeColor="text1"/>
          <w:sz w:val="22"/>
          <w:szCs w:val="22"/>
          <w:lang w:eastAsia="en-GB"/>
        </w:rPr>
        <w:fldChar w:fldCharType="end"/>
      </w:r>
      <w:r w:rsidR="00E52999" w:rsidRPr="006323BF">
        <w:rPr>
          <w:rFonts w:eastAsia="Times New Roman"/>
          <w:color w:val="000000" w:themeColor="text1"/>
          <w:sz w:val="22"/>
          <w:szCs w:val="22"/>
          <w:lang w:eastAsia="en-GB"/>
        </w:rPr>
        <w:t>.</w:t>
      </w:r>
      <w:r w:rsidRPr="006323BF">
        <w:rPr>
          <w:rFonts w:eastAsia="Times New Roman"/>
          <w:color w:val="000000" w:themeColor="text1"/>
          <w:sz w:val="22"/>
          <w:szCs w:val="22"/>
          <w:lang w:eastAsia="en-GB"/>
        </w:rPr>
        <w:t xml:space="preserve"> </w:t>
      </w:r>
      <w:r w:rsidRPr="006323BF">
        <w:rPr>
          <w:color w:val="000000" w:themeColor="text1"/>
          <w:sz w:val="22"/>
          <w:szCs w:val="22"/>
        </w:rPr>
        <w:t xml:space="preserve">The effects of BPD </w:t>
      </w:r>
      <w:r w:rsidR="00BE6D81" w:rsidRPr="006323BF">
        <w:rPr>
          <w:color w:val="000000" w:themeColor="text1"/>
          <w:sz w:val="22"/>
          <w:szCs w:val="22"/>
        </w:rPr>
        <w:t>can be</w:t>
      </w:r>
      <w:r w:rsidRPr="006323BF">
        <w:rPr>
          <w:color w:val="000000" w:themeColor="text1"/>
          <w:sz w:val="22"/>
          <w:szCs w:val="22"/>
        </w:rPr>
        <w:t xml:space="preserve"> life-long; individuals with BPD are more likely to require rehospitalisation during their childhood</w:t>
      </w:r>
      <w:r w:rsidR="00BE6D81" w:rsidRPr="006323BF">
        <w:rPr>
          <w:color w:val="000000" w:themeColor="text1"/>
          <w:sz w:val="22"/>
          <w:szCs w:val="22"/>
        </w:rPr>
        <w:t xml:space="preserve"> and</w:t>
      </w:r>
      <w:r w:rsidRPr="006323BF">
        <w:rPr>
          <w:color w:val="000000" w:themeColor="text1"/>
          <w:sz w:val="22"/>
          <w:szCs w:val="22"/>
        </w:rPr>
        <w:t xml:space="preserve"> to have limited lung function compared to those born preterm without BPD</w:t>
      </w:r>
      <w:r w:rsidRPr="006323BF">
        <w:rPr>
          <w:rFonts w:eastAsia="Times New Roman"/>
          <w:color w:val="000000" w:themeColor="text1"/>
          <w:sz w:val="22"/>
          <w:szCs w:val="22"/>
          <w:lang w:eastAsia="en-GB"/>
        </w:rPr>
        <w:fldChar w:fldCharType="begin"/>
      </w:r>
      <w:r w:rsidR="00246187" w:rsidRPr="006323BF">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1.73, 95% confidence interval (CI)</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 xml:space="preserve">1.43–2.09]. Moreover, there was no obvious heterogeneity across the studies (\n                P\n                </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 xml:space="preserve">0.617,\n                I\n                2\n                </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0%). The pooled OR remained stable and ranged from 1.65 (95% CI</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1.35–2.01) to 1.78 (95% CI</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&gt; |\n                Z\n                | =</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 xml:space="preserve">0.602 for Begg’s test, and\n                P\n                </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&gt; |\n                t\n                | =</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1.73, 95% CI</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w:instrText>
      </w:r>
      <w:r w:rsidR="00246187" w:rsidRPr="006323BF">
        <w:rPr>
          <w:rFonts w:ascii="Arial" w:eastAsia="Times New Roman" w:hAnsi="Arial" w:cs="Arial"/>
          <w:color w:val="000000" w:themeColor="text1"/>
          <w:sz w:val="22"/>
          <w:szCs w:val="22"/>
          <w:lang w:eastAsia="en-GB"/>
        </w:rPr>
        <w:instrText> </w:instrText>
      </w:r>
      <w:r w:rsidR="00246187" w:rsidRPr="006323BF">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6323BF">
        <w:rPr>
          <w:rFonts w:eastAsia="Times New Roman"/>
          <w:color w:val="000000" w:themeColor="text1"/>
          <w:sz w:val="22"/>
          <w:szCs w:val="22"/>
          <w:lang w:eastAsia="en-GB"/>
        </w:rPr>
        <w:fldChar w:fldCharType="separate"/>
      </w:r>
      <w:r w:rsidR="00246187" w:rsidRPr="006323BF">
        <w:rPr>
          <w:rFonts w:ascii="Aptos" w:cs="Times New Roman"/>
          <w:color w:val="000000" w:themeColor="text1"/>
          <w:sz w:val="22"/>
          <w:vertAlign w:val="superscript"/>
        </w:rPr>
        <w:t>6–9</w:t>
      </w:r>
      <w:r w:rsidRPr="006323BF">
        <w:rPr>
          <w:rFonts w:eastAsia="Times New Roman"/>
          <w:color w:val="000000" w:themeColor="text1"/>
          <w:sz w:val="22"/>
          <w:szCs w:val="22"/>
          <w:lang w:eastAsia="en-GB"/>
        </w:rPr>
        <w:fldChar w:fldCharType="end"/>
      </w:r>
      <w:r w:rsidR="00E52999" w:rsidRPr="006323BF">
        <w:rPr>
          <w:rFonts w:eastAsia="Times New Roman"/>
          <w:color w:val="000000" w:themeColor="text1"/>
          <w:sz w:val="22"/>
          <w:szCs w:val="22"/>
          <w:lang w:eastAsia="en-GB"/>
        </w:rPr>
        <w:t>.</w:t>
      </w:r>
    </w:p>
    <w:p w14:paraId="759F8694" w14:textId="77777777" w:rsidR="005D240B" w:rsidRPr="006323BF" w:rsidRDefault="005D240B" w:rsidP="00172688">
      <w:pPr>
        <w:spacing w:line="480" w:lineRule="auto"/>
        <w:jc w:val="both"/>
        <w:rPr>
          <w:color w:val="000000" w:themeColor="text1"/>
          <w:sz w:val="22"/>
          <w:szCs w:val="22"/>
        </w:rPr>
      </w:pPr>
    </w:p>
    <w:p w14:paraId="03FACDBC" w14:textId="25D692BA" w:rsidR="005D240B" w:rsidRPr="006323BF" w:rsidRDefault="00E52999" w:rsidP="00172688">
      <w:pPr>
        <w:spacing w:line="480" w:lineRule="auto"/>
        <w:jc w:val="both"/>
        <w:rPr>
          <w:color w:val="000000" w:themeColor="text1"/>
          <w:sz w:val="22"/>
          <w:szCs w:val="22"/>
        </w:rPr>
      </w:pPr>
      <w:r w:rsidRPr="006323BF">
        <w:rPr>
          <w:color w:val="000000" w:themeColor="text1"/>
          <w:sz w:val="22"/>
          <w:szCs w:val="22"/>
        </w:rPr>
        <w:t xml:space="preserve">Understanding the molecular mechanisms that contribute to BPD could aid in risk prediction, targeted therapies, and understanding disease mechanisms. </w:t>
      </w:r>
      <w:r w:rsidR="00BE6D81" w:rsidRPr="006323BF">
        <w:rPr>
          <w:color w:val="000000" w:themeColor="text1"/>
          <w:sz w:val="22"/>
          <w:szCs w:val="22"/>
        </w:rPr>
        <w:t>The heterogeneity of the disease has hampered efforts to identify reliable, consistent biomarkers</w:t>
      </w:r>
      <w:r w:rsidRPr="006323BF">
        <w:rPr>
          <w:color w:val="000000" w:themeColor="text1"/>
          <w:sz w:val="22"/>
          <w:szCs w:val="22"/>
        </w:rPr>
        <w:t xml:space="preserve"> and causative genes associated with disease progression.</w:t>
      </w:r>
      <w:r w:rsidR="00BE6D81" w:rsidRPr="006323BF">
        <w:rPr>
          <w:color w:val="000000" w:themeColor="text1"/>
          <w:sz w:val="22"/>
          <w:szCs w:val="22"/>
        </w:rPr>
        <w:t xml:space="preserve"> </w:t>
      </w:r>
      <w:r w:rsidR="005D240B" w:rsidRPr="006323BF">
        <w:rPr>
          <w:color w:val="000000" w:themeColor="text1"/>
          <w:sz w:val="22"/>
          <w:szCs w:val="22"/>
        </w:rPr>
        <w:t>Alongside evidence from twin studies pointing to a possible heritable component in BPD</w:t>
      </w:r>
      <w:r w:rsidR="0065547A" w:rsidRPr="006323BF">
        <w:rPr>
          <w:color w:val="000000" w:themeColor="text1"/>
          <w:sz w:val="22"/>
          <w:szCs w:val="22"/>
        </w:rPr>
        <w:t xml:space="preserve"> </w:t>
      </w:r>
      <w:r w:rsidR="005D240B"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6323BF">
        <w:rPr>
          <w:rFonts w:ascii="Sylfaen" w:hAnsi="Sylfaen" w:cs="Sylfaen"/>
          <w:color w:val="000000" w:themeColor="text1"/>
          <w:sz w:val="22"/>
          <w:szCs w:val="22"/>
        </w:rPr>
        <w:instrText>Յ</w:instrText>
      </w:r>
      <w:r w:rsidR="00246187" w:rsidRPr="006323BF">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6323BF">
        <w:rPr>
          <w:rFonts w:ascii="Sylfaen" w:hAnsi="Sylfaen" w:cs="Sylfaen"/>
          <w:color w:val="000000" w:themeColor="text1"/>
          <w:sz w:val="22"/>
          <w:szCs w:val="22"/>
        </w:rPr>
        <w:instrText>Յ</w:instrText>
      </w:r>
      <w:r w:rsidR="00246187" w:rsidRPr="006323BF">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6323BF">
        <w:rPr>
          <w:rFonts w:ascii="Sylfaen" w:hAnsi="Sylfaen" w:cs="Sylfaen"/>
          <w:color w:val="000000" w:themeColor="text1"/>
          <w:sz w:val="22"/>
          <w:szCs w:val="22"/>
        </w:rPr>
        <w:instrText>Ն</w:instrText>
      </w:r>
      <w:r w:rsidR="00246187" w:rsidRPr="006323BF">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6323BF">
        <w:rPr>
          <w:color w:val="000000" w:themeColor="text1"/>
          <w:sz w:val="22"/>
          <w:szCs w:val="22"/>
        </w:rPr>
        <w:fldChar w:fldCharType="separate"/>
      </w:r>
      <w:r w:rsidR="00246187" w:rsidRPr="006323BF">
        <w:rPr>
          <w:rFonts w:ascii="Aptos" w:cs="Times New Roman"/>
          <w:color w:val="000000" w:themeColor="text1"/>
          <w:sz w:val="22"/>
          <w:vertAlign w:val="superscript"/>
        </w:rPr>
        <w:t>10,11</w:t>
      </w:r>
      <w:r w:rsidR="005D240B" w:rsidRPr="006323BF">
        <w:rPr>
          <w:color w:val="000000" w:themeColor="text1"/>
          <w:sz w:val="22"/>
          <w:szCs w:val="22"/>
        </w:rPr>
        <w:fldChar w:fldCharType="end"/>
      </w:r>
      <w:r w:rsidR="005D240B" w:rsidRPr="006323BF">
        <w:rPr>
          <w:color w:val="000000" w:themeColor="text1"/>
          <w:sz w:val="22"/>
          <w:szCs w:val="22"/>
        </w:rPr>
        <w:t xml:space="preserve"> some </w:t>
      </w:r>
      <w:r w:rsidRPr="006323BF">
        <w:rPr>
          <w:color w:val="000000" w:themeColor="text1"/>
          <w:sz w:val="22"/>
          <w:szCs w:val="22"/>
        </w:rPr>
        <w:t xml:space="preserve">putative genetic </w:t>
      </w:r>
      <w:r w:rsidR="005D240B" w:rsidRPr="006323BF">
        <w:rPr>
          <w:color w:val="000000" w:themeColor="text1"/>
          <w:sz w:val="22"/>
          <w:szCs w:val="22"/>
        </w:rPr>
        <w:t xml:space="preserve">candidates have been </w:t>
      </w:r>
      <w:r w:rsidRPr="006323BF">
        <w:rPr>
          <w:color w:val="000000" w:themeColor="text1"/>
          <w:sz w:val="22"/>
          <w:szCs w:val="22"/>
        </w:rPr>
        <w:t>identified</w:t>
      </w:r>
      <w:r w:rsidR="005D240B" w:rsidRPr="006323BF">
        <w:rPr>
          <w:color w:val="000000" w:themeColor="text1"/>
          <w:sz w:val="22"/>
          <w:szCs w:val="22"/>
        </w:rPr>
        <w:t xml:space="preserve"> (e.g. SPOCK2, CRP)</w:t>
      </w:r>
      <w:r w:rsidR="00BD1842"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555) and non-Finnish (\n              n</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3.4</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2.9</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5.3</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6323BF">
        <w:rPr>
          <w:color w:val="000000" w:themeColor="text1"/>
          <w:sz w:val="22"/>
          <w:szCs w:val="22"/>
        </w:rPr>
        <w:fldChar w:fldCharType="separate"/>
      </w:r>
      <w:r w:rsidR="00246187" w:rsidRPr="006323BF">
        <w:rPr>
          <w:rFonts w:ascii="Aptos" w:cs="Times New Roman"/>
          <w:color w:val="000000" w:themeColor="text1"/>
          <w:sz w:val="22"/>
          <w:vertAlign w:val="superscript"/>
        </w:rPr>
        <w:t>12,13</w:t>
      </w:r>
      <w:r w:rsidR="00BD1842" w:rsidRPr="006323BF">
        <w:rPr>
          <w:color w:val="000000" w:themeColor="text1"/>
          <w:sz w:val="22"/>
          <w:szCs w:val="22"/>
        </w:rPr>
        <w:fldChar w:fldCharType="end"/>
      </w:r>
      <w:r w:rsidR="00BD1842" w:rsidRPr="006323BF">
        <w:rPr>
          <w:color w:val="000000" w:themeColor="text1"/>
          <w:sz w:val="22"/>
          <w:szCs w:val="22"/>
        </w:rPr>
        <w:t xml:space="preserve">. </w:t>
      </w:r>
      <w:r w:rsidR="000B0D01" w:rsidRPr="006323BF">
        <w:rPr>
          <w:color w:val="000000" w:themeColor="text1"/>
          <w:sz w:val="22"/>
          <w:szCs w:val="22"/>
        </w:rPr>
        <w:t>t</w:t>
      </w:r>
      <w:r w:rsidR="005D240B" w:rsidRPr="006323BF">
        <w:rPr>
          <w:color w:val="000000" w:themeColor="text1"/>
          <w:sz w:val="22"/>
          <w:szCs w:val="22"/>
        </w:rPr>
        <w:t>hough no gene has been significantly associated with the development</w:t>
      </w:r>
      <w:r w:rsidRPr="006323BF">
        <w:rPr>
          <w:color w:val="000000" w:themeColor="text1"/>
          <w:sz w:val="22"/>
          <w:szCs w:val="22"/>
        </w:rPr>
        <w:t xml:space="preserve"> </w:t>
      </w:r>
      <w:r w:rsidR="005D240B" w:rsidRPr="006323BF">
        <w:rPr>
          <w:color w:val="000000" w:themeColor="text1"/>
          <w:sz w:val="22"/>
          <w:szCs w:val="22"/>
        </w:rPr>
        <w:t xml:space="preserve">of BPD </w:t>
      </w:r>
      <w:r w:rsidRPr="006323BF">
        <w:rPr>
          <w:color w:val="000000" w:themeColor="text1"/>
          <w:sz w:val="22"/>
          <w:szCs w:val="22"/>
        </w:rPr>
        <w:t>by genome-scale studies such as</w:t>
      </w:r>
      <w:r w:rsidR="005D240B" w:rsidRPr="006323BF">
        <w:rPr>
          <w:color w:val="000000" w:themeColor="text1"/>
          <w:sz w:val="22"/>
          <w:szCs w:val="22"/>
        </w:rPr>
        <w:t xml:space="preserve"> Genome Wide Association Studies (GWAS) or exome sequencing</w:t>
      </w:r>
      <w:r w:rsidRPr="006323BF">
        <w:rPr>
          <w:color w:val="000000" w:themeColor="text1"/>
          <w:sz w:val="22"/>
          <w:szCs w:val="22"/>
        </w:rPr>
        <w:t xml:space="preserve"> </w:t>
      </w:r>
      <w:r w:rsidR="005D240B"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555) and non-Finnish (\n              n</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3.4</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2.9</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5.3</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w:instrText>
      </w:r>
      <w:r w:rsidR="00246187" w:rsidRPr="006323BF">
        <w:rPr>
          <w:rFonts w:ascii="Arial" w:hAnsi="Arial" w:cs="Arial"/>
          <w:color w:val="000000" w:themeColor="text1"/>
          <w:sz w:val="22"/>
          <w:szCs w:val="22"/>
        </w:rPr>
        <w:instrText> </w:instrText>
      </w:r>
      <w:r w:rsidR="00246187" w:rsidRPr="006323BF">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6323BF">
        <w:rPr>
          <w:color w:val="000000" w:themeColor="text1"/>
          <w:sz w:val="22"/>
          <w:szCs w:val="22"/>
        </w:rPr>
        <w:fldChar w:fldCharType="separate"/>
      </w:r>
      <w:r w:rsidR="00246187" w:rsidRPr="006323BF">
        <w:rPr>
          <w:rFonts w:ascii="Aptos" w:cs="Times New Roman"/>
          <w:color w:val="000000" w:themeColor="text1"/>
          <w:sz w:val="22"/>
          <w:vertAlign w:val="superscript"/>
        </w:rPr>
        <w:t>12–16</w:t>
      </w:r>
      <w:r w:rsidR="005D240B" w:rsidRPr="006323BF">
        <w:rPr>
          <w:color w:val="000000" w:themeColor="text1"/>
          <w:sz w:val="22"/>
          <w:szCs w:val="22"/>
        </w:rPr>
        <w:fldChar w:fldCharType="end"/>
      </w:r>
      <w:r w:rsidRPr="006323BF">
        <w:rPr>
          <w:color w:val="000000" w:themeColor="text1"/>
          <w:sz w:val="22"/>
          <w:szCs w:val="22"/>
        </w:rPr>
        <w:t>.</w:t>
      </w:r>
      <w:r w:rsidR="005D240B" w:rsidRPr="006323BF">
        <w:rPr>
          <w:color w:val="000000" w:themeColor="text1"/>
          <w:sz w:val="22"/>
          <w:szCs w:val="22"/>
        </w:rPr>
        <w:t xml:space="preserve"> Recently, transcriptomic data has been used to identify four endotypes of BPD, distinguished by T helper cell and T cell signalling</w:t>
      </w:r>
      <w:r w:rsidR="005D240B"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6323BF">
        <w:rPr>
          <w:color w:val="000000" w:themeColor="text1"/>
          <w:sz w:val="22"/>
          <w:szCs w:val="22"/>
        </w:rPr>
        <w:fldChar w:fldCharType="separate"/>
      </w:r>
      <w:r w:rsidR="00246187" w:rsidRPr="006323BF">
        <w:rPr>
          <w:rFonts w:ascii="Aptos" w:cs="Times New Roman"/>
          <w:color w:val="000000" w:themeColor="text1"/>
          <w:sz w:val="22"/>
          <w:vertAlign w:val="superscript"/>
        </w:rPr>
        <w:t>17</w:t>
      </w:r>
      <w:r w:rsidR="005D240B" w:rsidRPr="006323BF">
        <w:rPr>
          <w:color w:val="000000" w:themeColor="text1"/>
          <w:sz w:val="22"/>
          <w:szCs w:val="22"/>
        </w:rPr>
        <w:fldChar w:fldCharType="end"/>
      </w:r>
      <w:r w:rsidRPr="006323BF">
        <w:rPr>
          <w:color w:val="000000" w:themeColor="text1"/>
          <w:sz w:val="22"/>
          <w:szCs w:val="22"/>
        </w:rPr>
        <w:t>.</w:t>
      </w:r>
    </w:p>
    <w:p w14:paraId="327A3697" w14:textId="77777777" w:rsidR="009122EE" w:rsidRPr="006323BF" w:rsidRDefault="009122EE" w:rsidP="00172688">
      <w:pPr>
        <w:spacing w:line="480" w:lineRule="auto"/>
        <w:jc w:val="both"/>
        <w:rPr>
          <w:color w:val="000000" w:themeColor="text1"/>
          <w:sz w:val="22"/>
          <w:szCs w:val="22"/>
        </w:rPr>
      </w:pPr>
    </w:p>
    <w:p w14:paraId="47B3636A" w14:textId="037873FE"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Comparative analyses across species can provide valuable insights into common mechanisms while also highlighting potential species-specific responses</w:t>
      </w:r>
      <w:r w:rsidR="00E52999" w:rsidRPr="006323BF">
        <w:rPr>
          <w:color w:val="000000" w:themeColor="text1"/>
          <w:sz w:val="22"/>
          <w:szCs w:val="22"/>
        </w:rPr>
        <w:t xml:space="preserve"> across models</w:t>
      </w:r>
      <w:r w:rsidRPr="006323BF">
        <w:rPr>
          <w:color w:val="000000" w:themeColor="text1"/>
          <w:sz w:val="22"/>
          <w:szCs w:val="22"/>
        </w:rPr>
        <w:t>. Rodent models</w:t>
      </w:r>
      <w:r w:rsidR="00BD1842" w:rsidRPr="006323BF">
        <w:rPr>
          <w:color w:val="000000" w:themeColor="text1"/>
          <w:sz w:val="22"/>
          <w:szCs w:val="22"/>
        </w:rPr>
        <w:t xml:space="preserve"> </w:t>
      </w:r>
      <w:r w:rsidRPr="006323BF">
        <w:rPr>
          <w:color w:val="000000" w:themeColor="text1"/>
          <w:sz w:val="22"/>
          <w:szCs w:val="22"/>
        </w:rPr>
        <w:t xml:space="preserve">have been widely employed to study the pathophysiology of BPD. </w:t>
      </w:r>
      <w:r w:rsidR="00BD1842" w:rsidRPr="006323BF">
        <w:rPr>
          <w:color w:val="000000" w:themeColor="text1"/>
          <w:sz w:val="22"/>
          <w:szCs w:val="22"/>
        </w:rPr>
        <w:t>The r</w:t>
      </w:r>
      <w:r w:rsidR="00E52999" w:rsidRPr="006323BF">
        <w:rPr>
          <w:color w:val="000000" w:themeColor="text1"/>
          <w:sz w:val="22"/>
          <w:szCs w:val="22"/>
        </w:rPr>
        <w:t xml:space="preserve">odent </w:t>
      </w:r>
      <w:r w:rsidR="00BD1842" w:rsidRPr="006323BF">
        <w:rPr>
          <w:color w:val="000000" w:themeColor="text1"/>
          <w:sz w:val="22"/>
          <w:szCs w:val="22"/>
        </w:rPr>
        <w:t>model</w:t>
      </w:r>
      <w:r w:rsidRPr="006323BF">
        <w:rPr>
          <w:color w:val="000000" w:themeColor="text1"/>
          <w:sz w:val="22"/>
          <w:szCs w:val="22"/>
        </w:rPr>
        <w:t xml:space="preserve"> has concentrated primarily on hyperoxia-induced lung injury, mimicking the impaired alveolar development and inflammation observed in preterm infants</w:t>
      </w:r>
      <w:r w:rsidR="00BD1842" w:rsidRPr="006323BF">
        <w:rPr>
          <w:color w:val="000000" w:themeColor="text1"/>
          <w:sz w:val="22"/>
          <w:szCs w:val="22"/>
        </w:rPr>
        <w:t xml:space="preserve"> </w:t>
      </w:r>
      <w:r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6323BF">
        <w:rPr>
          <w:color w:val="000000" w:themeColor="text1"/>
          <w:sz w:val="22"/>
          <w:szCs w:val="22"/>
        </w:rPr>
        <w:fldChar w:fldCharType="separate"/>
      </w:r>
      <w:r w:rsidR="00246187" w:rsidRPr="006323BF">
        <w:rPr>
          <w:rFonts w:ascii="Aptos" w:cs="Times New Roman"/>
          <w:color w:val="000000" w:themeColor="text1"/>
          <w:sz w:val="22"/>
          <w:vertAlign w:val="superscript"/>
        </w:rPr>
        <w:t>18</w:t>
      </w:r>
      <w:r w:rsidRPr="006323BF">
        <w:rPr>
          <w:color w:val="000000" w:themeColor="text1"/>
          <w:sz w:val="22"/>
          <w:szCs w:val="22"/>
        </w:rPr>
        <w:fldChar w:fldCharType="end"/>
      </w:r>
      <w:r w:rsidR="00E52999" w:rsidRPr="006323BF">
        <w:rPr>
          <w:color w:val="000000" w:themeColor="text1"/>
          <w:sz w:val="22"/>
          <w:szCs w:val="22"/>
        </w:rPr>
        <w:t>. Anatomical and physiological differences have prevented in-depth research of ventilator induced lung injury in this model.</w:t>
      </w:r>
    </w:p>
    <w:p w14:paraId="47F9A33D" w14:textId="77777777" w:rsidR="005D240B" w:rsidRPr="006323BF" w:rsidRDefault="005D240B" w:rsidP="00172688">
      <w:pPr>
        <w:spacing w:line="480" w:lineRule="auto"/>
        <w:jc w:val="both"/>
        <w:rPr>
          <w:color w:val="000000" w:themeColor="text1"/>
          <w:sz w:val="22"/>
          <w:szCs w:val="22"/>
        </w:rPr>
      </w:pPr>
    </w:p>
    <w:p w14:paraId="4EF82ACF" w14:textId="48CF6A83" w:rsidR="005D240B" w:rsidRPr="006323BF" w:rsidRDefault="00E52999" w:rsidP="00172688">
      <w:pPr>
        <w:spacing w:line="480" w:lineRule="auto"/>
        <w:jc w:val="both"/>
        <w:rPr>
          <w:color w:val="000000" w:themeColor="text1"/>
          <w:sz w:val="22"/>
          <w:szCs w:val="22"/>
        </w:rPr>
      </w:pPr>
      <w:r w:rsidRPr="006323BF">
        <w:rPr>
          <w:color w:val="000000" w:themeColor="text1"/>
          <w:sz w:val="22"/>
          <w:szCs w:val="22"/>
        </w:rPr>
        <w:t xml:space="preserve">By integrating heterogeneous data sources, we </w:t>
      </w:r>
      <w:r w:rsidR="0001420C" w:rsidRPr="006323BF">
        <w:rPr>
          <w:color w:val="000000" w:themeColor="text1"/>
          <w:sz w:val="22"/>
          <w:szCs w:val="22"/>
        </w:rPr>
        <w:t xml:space="preserve">can </w:t>
      </w:r>
      <w:r w:rsidRPr="006323BF">
        <w:rPr>
          <w:color w:val="000000" w:themeColor="text1"/>
          <w:sz w:val="22"/>
          <w:szCs w:val="22"/>
        </w:rPr>
        <w:t>gain new perspectives. This study incorporates genome-scale insights to complement the field’s longstanding clinical focus.</w:t>
      </w:r>
      <w:r w:rsidR="009122EE" w:rsidRPr="006323BF">
        <w:rPr>
          <w:color w:val="000000" w:themeColor="text1"/>
          <w:sz w:val="22"/>
          <w:szCs w:val="22"/>
        </w:rPr>
        <w:t xml:space="preserve">  </w:t>
      </w:r>
      <w:r w:rsidR="005D240B" w:rsidRPr="006323BF">
        <w:rPr>
          <w:color w:val="000000" w:themeColor="text1"/>
          <w:sz w:val="22"/>
          <w:szCs w:val="22"/>
        </w:rPr>
        <w:t xml:space="preserve">We conducted two concurrent systematic reviews of the BPD literature, focusing on genome-scale studies in humans and </w:t>
      </w:r>
      <w:r w:rsidR="0001420C" w:rsidRPr="006323BF">
        <w:rPr>
          <w:color w:val="000000" w:themeColor="text1"/>
          <w:sz w:val="22"/>
          <w:szCs w:val="22"/>
        </w:rPr>
        <w:t>animal models</w:t>
      </w:r>
      <w:r w:rsidR="005D240B" w:rsidRPr="006323BF">
        <w:rPr>
          <w:color w:val="000000" w:themeColor="text1"/>
          <w:sz w:val="22"/>
          <w:szCs w:val="22"/>
        </w:rPr>
        <w:t xml:space="preserve">. Results were extracted from identified studies, where possible, and analysed using </w:t>
      </w:r>
      <w:r w:rsidRPr="006323BF">
        <w:rPr>
          <w:color w:val="000000" w:themeColor="text1"/>
          <w:sz w:val="22"/>
          <w:szCs w:val="22"/>
        </w:rPr>
        <w:t xml:space="preserve">the </w:t>
      </w:r>
      <w:r w:rsidR="005D240B" w:rsidRPr="006323BF">
        <w:rPr>
          <w:color w:val="000000" w:themeColor="text1"/>
          <w:sz w:val="22"/>
          <w:szCs w:val="22"/>
        </w:rPr>
        <w:t xml:space="preserve">Meta Analysis by Information Content (MAIC) algorithm. </w:t>
      </w:r>
      <w:r w:rsidRPr="006323BF">
        <w:rPr>
          <w:color w:val="000000" w:themeColor="text1"/>
          <w:sz w:val="22"/>
          <w:szCs w:val="22"/>
        </w:rPr>
        <w:t xml:space="preserve">This </w:t>
      </w:r>
      <w:r w:rsidR="005D240B" w:rsidRPr="006323BF">
        <w:rPr>
          <w:color w:val="000000" w:themeColor="text1"/>
          <w:sz w:val="22"/>
          <w:szCs w:val="22"/>
        </w:rPr>
        <w:t>is a previously described algorithm that uses data-driven gene list weightings to produce a comprehensive ranked list of genes associated with the trait of interest</w:t>
      </w:r>
      <w:r w:rsidR="00BD1842" w:rsidRPr="006323BF">
        <w:rPr>
          <w:color w:val="000000" w:themeColor="text1"/>
          <w:sz w:val="22"/>
          <w:szCs w:val="22"/>
        </w:rPr>
        <w:t xml:space="preserve"> </w:t>
      </w:r>
      <w:r w:rsidR="005D240B"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6323BF">
        <w:rPr>
          <w:color w:val="000000" w:themeColor="text1"/>
          <w:sz w:val="22"/>
          <w:szCs w:val="22"/>
        </w:rPr>
        <w:fldChar w:fldCharType="separate"/>
      </w:r>
      <w:r w:rsidR="00246187" w:rsidRPr="006323BF">
        <w:rPr>
          <w:rFonts w:ascii="Aptos" w:cs="Times New Roman"/>
          <w:color w:val="000000" w:themeColor="text1"/>
          <w:sz w:val="22"/>
          <w:vertAlign w:val="superscript"/>
        </w:rPr>
        <w:t>19–22</w:t>
      </w:r>
      <w:r w:rsidR="005D240B" w:rsidRPr="006323BF">
        <w:rPr>
          <w:color w:val="000000" w:themeColor="text1"/>
          <w:sz w:val="22"/>
          <w:szCs w:val="22"/>
        </w:rPr>
        <w:fldChar w:fldCharType="end"/>
      </w:r>
      <w:r w:rsidRPr="006323BF">
        <w:rPr>
          <w:color w:val="000000" w:themeColor="text1"/>
          <w:sz w:val="22"/>
          <w:szCs w:val="22"/>
        </w:rPr>
        <w:t>.</w:t>
      </w:r>
    </w:p>
    <w:p w14:paraId="218F2443" w14:textId="77777777" w:rsidR="005D240B" w:rsidRPr="006323BF" w:rsidRDefault="005D240B" w:rsidP="00172688">
      <w:pPr>
        <w:spacing w:line="480" w:lineRule="auto"/>
        <w:jc w:val="both"/>
        <w:rPr>
          <w:color w:val="000000" w:themeColor="text1"/>
          <w:sz w:val="22"/>
          <w:szCs w:val="22"/>
        </w:rPr>
      </w:pPr>
    </w:p>
    <w:p w14:paraId="0B6EE8BF" w14:textId="3AFACD1F" w:rsidR="005D240B" w:rsidRPr="006323BF" w:rsidRDefault="009122EE" w:rsidP="00172688">
      <w:pPr>
        <w:spacing w:line="480" w:lineRule="auto"/>
        <w:jc w:val="both"/>
        <w:rPr>
          <w:color w:val="000000" w:themeColor="text1"/>
          <w:sz w:val="22"/>
          <w:szCs w:val="22"/>
        </w:rPr>
      </w:pPr>
      <w:r w:rsidRPr="006323BF">
        <w:rPr>
          <w:color w:val="000000" w:themeColor="text1"/>
          <w:sz w:val="22"/>
          <w:szCs w:val="22"/>
        </w:rPr>
        <w:t xml:space="preserve">Our findings show that </w:t>
      </w:r>
      <w:r w:rsidR="005D240B" w:rsidRPr="006323BF">
        <w:rPr>
          <w:color w:val="000000" w:themeColor="text1"/>
          <w:sz w:val="22"/>
          <w:szCs w:val="22"/>
        </w:rPr>
        <w:t>genes</w:t>
      </w:r>
      <w:r w:rsidRPr="006323BF">
        <w:rPr>
          <w:color w:val="000000" w:themeColor="text1"/>
          <w:sz w:val="22"/>
          <w:szCs w:val="22"/>
        </w:rPr>
        <w:t xml:space="preserve"> associated with development and maintenance of adaptive immun</w:t>
      </w:r>
      <w:r w:rsidR="00E52999" w:rsidRPr="006323BF">
        <w:rPr>
          <w:color w:val="000000" w:themeColor="text1"/>
          <w:sz w:val="22"/>
          <w:szCs w:val="22"/>
        </w:rPr>
        <w:t>e cells</w:t>
      </w:r>
      <w:r w:rsidR="005D240B" w:rsidRPr="006323BF">
        <w:rPr>
          <w:color w:val="000000" w:themeColor="text1"/>
          <w:sz w:val="22"/>
          <w:szCs w:val="22"/>
        </w:rPr>
        <w:t xml:space="preserve"> feature prominently</w:t>
      </w:r>
      <w:r w:rsidRPr="006323BF">
        <w:rPr>
          <w:color w:val="000000" w:themeColor="text1"/>
          <w:sz w:val="22"/>
          <w:szCs w:val="22"/>
        </w:rPr>
        <w:t>,</w:t>
      </w:r>
      <w:r w:rsidR="005D240B" w:rsidRPr="006323BF">
        <w:rPr>
          <w:color w:val="000000" w:themeColor="text1"/>
          <w:sz w:val="22"/>
          <w:szCs w:val="22"/>
        </w:rPr>
        <w:t xml:space="preserve"> suggesting that </w:t>
      </w:r>
      <w:r w:rsidR="00645074" w:rsidRPr="006323BF">
        <w:rPr>
          <w:color w:val="000000" w:themeColor="text1"/>
          <w:sz w:val="22"/>
          <w:szCs w:val="22"/>
        </w:rPr>
        <w:t>adaptive-lineage cells</w:t>
      </w:r>
      <w:r w:rsidR="005D240B" w:rsidRPr="006323BF">
        <w:rPr>
          <w:color w:val="000000" w:themeColor="text1"/>
          <w:sz w:val="22"/>
          <w:szCs w:val="22"/>
        </w:rPr>
        <w:t xml:space="preserve"> may play a larger role in BPD pathogenesis, and</w:t>
      </w:r>
      <w:r w:rsidR="00E52999" w:rsidRPr="006323BF">
        <w:rPr>
          <w:color w:val="000000" w:themeColor="text1"/>
          <w:sz w:val="22"/>
          <w:szCs w:val="22"/>
        </w:rPr>
        <w:t xml:space="preserve"> potentially</w:t>
      </w:r>
      <w:r w:rsidR="005D240B" w:rsidRPr="006323BF">
        <w:rPr>
          <w:color w:val="000000" w:themeColor="text1"/>
          <w:sz w:val="22"/>
          <w:szCs w:val="22"/>
        </w:rPr>
        <w:t xml:space="preserve"> </w:t>
      </w:r>
      <w:r w:rsidRPr="006323BF">
        <w:rPr>
          <w:color w:val="000000" w:themeColor="text1"/>
          <w:sz w:val="22"/>
          <w:szCs w:val="22"/>
        </w:rPr>
        <w:t xml:space="preserve">a wider role in </w:t>
      </w:r>
      <w:r w:rsidR="005D240B" w:rsidRPr="006323BF">
        <w:rPr>
          <w:color w:val="000000" w:themeColor="text1"/>
          <w:sz w:val="22"/>
          <w:szCs w:val="22"/>
        </w:rPr>
        <w:t>ventilator associated lung injury, than previously appreciated.</w:t>
      </w:r>
    </w:p>
    <w:p w14:paraId="5E9CC097" w14:textId="77777777" w:rsidR="00E52999" w:rsidRPr="006323BF" w:rsidRDefault="00E52999" w:rsidP="00172688">
      <w:pPr>
        <w:spacing w:line="480" w:lineRule="auto"/>
        <w:jc w:val="both"/>
        <w:rPr>
          <w:color w:val="000000" w:themeColor="text1"/>
          <w:sz w:val="22"/>
          <w:szCs w:val="22"/>
        </w:rPr>
      </w:pPr>
    </w:p>
    <w:p w14:paraId="38E3A906" w14:textId="77777777" w:rsidR="005D240B" w:rsidRPr="006323BF" w:rsidRDefault="005D240B" w:rsidP="00172688">
      <w:pPr>
        <w:spacing w:line="480" w:lineRule="auto"/>
        <w:jc w:val="both"/>
        <w:rPr>
          <w:b/>
          <w:bCs/>
          <w:color w:val="000000" w:themeColor="text1"/>
          <w:sz w:val="22"/>
          <w:szCs w:val="22"/>
        </w:rPr>
      </w:pPr>
      <w:r w:rsidRPr="006323BF">
        <w:rPr>
          <w:b/>
          <w:bCs/>
          <w:color w:val="000000" w:themeColor="text1"/>
          <w:sz w:val="22"/>
          <w:szCs w:val="22"/>
        </w:rPr>
        <w:t>Result</w:t>
      </w:r>
      <w:commentRangeStart w:id="0"/>
      <w:r w:rsidRPr="006323BF">
        <w:rPr>
          <w:b/>
          <w:bCs/>
          <w:color w:val="000000" w:themeColor="text1"/>
          <w:sz w:val="22"/>
          <w:szCs w:val="22"/>
        </w:rPr>
        <w:t>s</w:t>
      </w:r>
      <w:commentRangeEnd w:id="0"/>
      <w:r w:rsidRPr="006323BF">
        <w:rPr>
          <w:rStyle w:val="CommentReference"/>
          <w:color w:val="000000" w:themeColor="text1"/>
        </w:rPr>
        <w:commentReference w:id="0"/>
      </w:r>
    </w:p>
    <w:p w14:paraId="10D82985" w14:textId="77777777" w:rsidR="005D240B" w:rsidRPr="006323BF" w:rsidRDefault="005D240B" w:rsidP="00172688">
      <w:pPr>
        <w:spacing w:line="480" w:lineRule="auto"/>
        <w:jc w:val="both"/>
        <w:rPr>
          <w:color w:val="000000" w:themeColor="text1"/>
          <w:sz w:val="22"/>
          <w:szCs w:val="22"/>
        </w:rPr>
      </w:pPr>
    </w:p>
    <w:p w14:paraId="331A203E" w14:textId="250EFF6F" w:rsidR="005D240B" w:rsidRPr="005B6EE6" w:rsidRDefault="005D240B" w:rsidP="00172688">
      <w:pPr>
        <w:spacing w:line="480" w:lineRule="auto"/>
        <w:jc w:val="both"/>
        <w:rPr>
          <w:i/>
          <w:iCs/>
          <w:color w:val="000000" w:themeColor="text1"/>
          <w:sz w:val="22"/>
          <w:szCs w:val="22"/>
        </w:rPr>
      </w:pPr>
      <w:r w:rsidRPr="006323BF">
        <w:rPr>
          <w:i/>
          <w:iCs/>
          <w:color w:val="000000" w:themeColor="text1"/>
          <w:sz w:val="22"/>
          <w:szCs w:val="22"/>
        </w:rPr>
        <w:t xml:space="preserve">Systematic review </w:t>
      </w:r>
    </w:p>
    <w:p w14:paraId="008204EC" w14:textId="6A233848"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 xml:space="preserve">We </w:t>
      </w:r>
      <w:r w:rsidR="00740014" w:rsidRPr="006323BF">
        <w:rPr>
          <w:color w:val="000000" w:themeColor="text1"/>
          <w:sz w:val="22"/>
          <w:szCs w:val="22"/>
        </w:rPr>
        <w:t xml:space="preserve">first </w:t>
      </w:r>
      <w:r w:rsidRPr="006323BF">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6323BF">
        <w:rPr>
          <w:color w:val="000000" w:themeColor="text1"/>
          <w:sz w:val="22"/>
          <w:szCs w:val="22"/>
        </w:rPr>
        <w:t xml:space="preserve">non-human </w:t>
      </w:r>
      <w:r w:rsidR="00740014" w:rsidRPr="006323BF">
        <w:rPr>
          <w:color w:val="000000" w:themeColor="text1"/>
          <w:sz w:val="22"/>
          <w:szCs w:val="22"/>
        </w:rPr>
        <w:t>mammalian</w:t>
      </w:r>
      <w:r w:rsidRPr="006323BF">
        <w:rPr>
          <w:color w:val="000000" w:themeColor="text1"/>
          <w:sz w:val="22"/>
          <w:szCs w:val="22"/>
        </w:rPr>
        <w:t xml:space="preserve"> models</w:t>
      </w:r>
      <w:r w:rsidR="00246187" w:rsidRPr="006323BF">
        <w:rPr>
          <w:color w:val="000000" w:themeColor="text1"/>
          <w:sz w:val="22"/>
          <w:szCs w:val="22"/>
        </w:rPr>
        <w:t xml:space="preserve"> </w:t>
      </w:r>
      <w:r w:rsidR="006323BF">
        <w:rPr>
          <w:color w:val="000000" w:themeColor="text1"/>
          <w:sz w:val="22"/>
          <w:szCs w:val="22"/>
        </w:rPr>
        <w:t>(</w:t>
      </w:r>
      <w:r w:rsidR="00246187" w:rsidRPr="00004CBA">
        <w:rPr>
          <w:color w:val="000000" w:themeColor="text1"/>
          <w:sz w:val="22"/>
          <w:szCs w:val="22"/>
          <w:highlight w:val="green"/>
        </w:rPr>
        <w:t>Supplementary Methods</w:t>
      </w:r>
      <w:r w:rsidR="00004CBA">
        <w:rPr>
          <w:color w:val="000000" w:themeColor="text1"/>
          <w:sz w:val="22"/>
          <w:szCs w:val="22"/>
        </w:rPr>
        <w:t>)</w:t>
      </w:r>
      <w:r w:rsidRPr="006323BF">
        <w:rPr>
          <w:color w:val="000000" w:themeColor="text1"/>
          <w:sz w:val="22"/>
          <w:szCs w:val="22"/>
        </w:rPr>
        <w:t xml:space="preserve">. </w:t>
      </w:r>
      <w:r w:rsidR="000B0759" w:rsidRPr="006323BF">
        <w:rPr>
          <w:color w:val="000000" w:themeColor="text1"/>
          <w:sz w:val="22"/>
          <w:szCs w:val="22"/>
        </w:rPr>
        <w:t>We did not restrict the search</w:t>
      </w:r>
      <w:r w:rsidR="0001420C" w:rsidRPr="006323BF">
        <w:rPr>
          <w:color w:val="000000" w:themeColor="text1"/>
          <w:sz w:val="22"/>
          <w:szCs w:val="22"/>
        </w:rPr>
        <w:t xml:space="preserve"> terms</w:t>
      </w:r>
      <w:r w:rsidR="000B0759" w:rsidRPr="006323BF">
        <w:rPr>
          <w:color w:val="000000" w:themeColor="text1"/>
          <w:sz w:val="22"/>
          <w:szCs w:val="22"/>
        </w:rPr>
        <w:t xml:space="preserve"> to a specific definition of BPD; however, the timeline of genome-scale studies results in an indirect emphasis on </w:t>
      </w:r>
      <w:r w:rsidR="00E52999" w:rsidRPr="006323BF">
        <w:rPr>
          <w:color w:val="000000" w:themeColor="text1"/>
          <w:sz w:val="22"/>
          <w:szCs w:val="22"/>
        </w:rPr>
        <w:t>more recent BPD definitions</w:t>
      </w:r>
      <w:r w:rsidR="000B0759" w:rsidRPr="006323BF">
        <w:rPr>
          <w:color w:val="000000" w:themeColor="text1"/>
          <w:sz w:val="22"/>
          <w:szCs w:val="22"/>
        </w:rPr>
        <w:t xml:space="preserve">. </w:t>
      </w:r>
      <w:r w:rsidRPr="006323BF">
        <w:rPr>
          <w:color w:val="000000" w:themeColor="text1"/>
          <w:sz w:val="22"/>
          <w:szCs w:val="22"/>
        </w:rPr>
        <w:t xml:space="preserve">Our search yielded 4450 unique citations that were evaluated for inclusion </w:t>
      </w:r>
      <w:r w:rsidR="006323BF">
        <w:rPr>
          <w:color w:val="000000" w:themeColor="text1"/>
          <w:sz w:val="22"/>
          <w:szCs w:val="22"/>
        </w:rPr>
        <w:t>(</w:t>
      </w:r>
      <w:r w:rsidRPr="00004CBA">
        <w:rPr>
          <w:color w:val="000000" w:themeColor="text1"/>
          <w:sz w:val="22"/>
          <w:szCs w:val="22"/>
          <w:highlight w:val="green"/>
        </w:rPr>
        <w:t>Supplementary Figures 1 and 2</w:t>
      </w:r>
      <w:r w:rsidR="006323BF">
        <w:rPr>
          <w:color w:val="000000" w:themeColor="text1"/>
          <w:sz w:val="22"/>
          <w:szCs w:val="22"/>
        </w:rPr>
        <w:t>)</w:t>
      </w:r>
      <w:r w:rsidRPr="006323BF">
        <w:rPr>
          <w:color w:val="000000" w:themeColor="text1"/>
          <w:sz w:val="22"/>
          <w:szCs w:val="22"/>
        </w:rPr>
        <w:t xml:space="preserve">. For full text evaluation we retrieved 76 articles for human studies and 118 for </w:t>
      </w:r>
      <w:r w:rsidR="00740014" w:rsidRPr="006323BF">
        <w:rPr>
          <w:color w:val="000000" w:themeColor="text1"/>
          <w:sz w:val="22"/>
          <w:szCs w:val="22"/>
        </w:rPr>
        <w:t>mammalian</w:t>
      </w:r>
      <w:r w:rsidRPr="006323BF">
        <w:rPr>
          <w:color w:val="000000" w:themeColor="text1"/>
          <w:sz w:val="22"/>
          <w:szCs w:val="22"/>
        </w:rPr>
        <w:t xml:space="preserve"> studies, without overlap. Although </w:t>
      </w:r>
      <w:r w:rsidR="0001420C" w:rsidRPr="006323BF">
        <w:rPr>
          <w:color w:val="000000" w:themeColor="text1"/>
          <w:sz w:val="22"/>
          <w:szCs w:val="22"/>
        </w:rPr>
        <w:t>large, non-human mammalian</w:t>
      </w:r>
      <w:r w:rsidRPr="006323BF">
        <w:rPr>
          <w:color w:val="000000" w:themeColor="text1"/>
          <w:sz w:val="22"/>
          <w:szCs w:val="22"/>
        </w:rPr>
        <w:t xml:space="preserve"> models are used to explore BPD,</w:t>
      </w:r>
      <w:r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6323BF">
        <w:rPr>
          <w:color w:val="000000" w:themeColor="text1"/>
          <w:sz w:val="22"/>
          <w:szCs w:val="22"/>
        </w:rPr>
        <w:fldChar w:fldCharType="separate"/>
      </w:r>
      <w:r w:rsidR="00246187" w:rsidRPr="006323BF">
        <w:rPr>
          <w:rFonts w:ascii="Aptos" w:cs="Times New Roman"/>
          <w:color w:val="000000" w:themeColor="text1"/>
          <w:sz w:val="22"/>
          <w:vertAlign w:val="superscript"/>
        </w:rPr>
        <w:t>23,24</w:t>
      </w:r>
      <w:r w:rsidRPr="006323BF">
        <w:rPr>
          <w:color w:val="000000" w:themeColor="text1"/>
          <w:sz w:val="22"/>
          <w:szCs w:val="22"/>
        </w:rPr>
        <w:fldChar w:fldCharType="end"/>
      </w:r>
      <w:r w:rsidRPr="006323BF">
        <w:rPr>
          <w:color w:val="000000" w:themeColor="text1"/>
          <w:sz w:val="22"/>
          <w:szCs w:val="22"/>
          <w:shd w:val="clear" w:color="auto" w:fill="FFFFFF"/>
        </w:rPr>
        <w:fldChar w:fldCharType="begin"/>
      </w:r>
      <w:r w:rsidRPr="006323BF">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6323BF">
        <w:rPr>
          <w:color w:val="000000" w:themeColor="text1"/>
          <w:sz w:val="22"/>
          <w:szCs w:val="22"/>
          <w:shd w:val="clear" w:color="auto" w:fill="FFFFFF"/>
        </w:rPr>
        <w:fldChar w:fldCharType="separate"/>
      </w:r>
      <w:r w:rsidRPr="006323BF">
        <w:rPr>
          <w:color w:val="000000" w:themeColor="text1"/>
          <w:sz w:val="22"/>
          <w:szCs w:val="22"/>
          <w:shd w:val="clear" w:color="auto" w:fill="FFFFFF"/>
        </w:rPr>
        <w:fldChar w:fldCharType="end"/>
      </w:r>
      <w:r w:rsidRPr="006323BF">
        <w:rPr>
          <w:color w:val="000000" w:themeColor="text1"/>
          <w:sz w:val="22"/>
          <w:szCs w:val="22"/>
        </w:rPr>
        <w:t xml:space="preserve"> we </w:t>
      </w:r>
      <w:r w:rsidR="009122EE" w:rsidRPr="006323BF">
        <w:rPr>
          <w:color w:val="000000" w:themeColor="text1"/>
          <w:sz w:val="22"/>
          <w:szCs w:val="22"/>
        </w:rPr>
        <w:t>did not identify any</w:t>
      </w:r>
      <w:r w:rsidRPr="006323BF">
        <w:rPr>
          <w:color w:val="000000" w:themeColor="text1"/>
          <w:sz w:val="22"/>
          <w:szCs w:val="22"/>
        </w:rPr>
        <w:t xml:space="preserve"> that met our </w:t>
      </w:r>
      <w:r w:rsidRPr="006323BF">
        <w:rPr>
          <w:color w:val="000000" w:themeColor="text1"/>
          <w:sz w:val="22"/>
          <w:szCs w:val="22"/>
        </w:rPr>
        <w:lastRenderedPageBreak/>
        <w:t>inclusion criteria (</w:t>
      </w:r>
      <w:r w:rsidRPr="00004CBA">
        <w:rPr>
          <w:color w:val="000000" w:themeColor="text1"/>
          <w:sz w:val="22"/>
          <w:szCs w:val="22"/>
          <w:highlight w:val="green"/>
        </w:rPr>
        <w:t>Supplementary Tables 1 and 2</w:t>
      </w:r>
      <w:r w:rsidRPr="006323BF">
        <w:rPr>
          <w:color w:val="000000" w:themeColor="text1"/>
          <w:sz w:val="22"/>
          <w:szCs w:val="22"/>
        </w:rPr>
        <w:t xml:space="preserve">) and </w:t>
      </w:r>
      <w:r w:rsidR="00E52999" w:rsidRPr="006323BF">
        <w:rPr>
          <w:color w:val="000000" w:themeColor="text1"/>
          <w:sz w:val="22"/>
          <w:szCs w:val="22"/>
        </w:rPr>
        <w:t>further</w:t>
      </w:r>
      <w:r w:rsidRPr="006323BF">
        <w:rPr>
          <w:color w:val="000000" w:themeColor="text1"/>
          <w:sz w:val="22"/>
          <w:szCs w:val="22"/>
        </w:rPr>
        <w:t xml:space="preserve"> analysis therefore focused on rodent</w:t>
      </w:r>
      <w:r w:rsidR="00E52999" w:rsidRPr="006323BF">
        <w:rPr>
          <w:color w:val="000000" w:themeColor="text1"/>
          <w:sz w:val="22"/>
          <w:szCs w:val="22"/>
        </w:rPr>
        <w:t xml:space="preserve"> models</w:t>
      </w:r>
      <w:r w:rsidR="000B0D01" w:rsidRPr="006323BF">
        <w:rPr>
          <w:color w:val="000000" w:themeColor="text1"/>
          <w:sz w:val="22"/>
          <w:szCs w:val="22"/>
        </w:rPr>
        <w:t xml:space="preserve">, </w:t>
      </w:r>
      <w:r w:rsidR="00E52999" w:rsidRPr="006323BF">
        <w:rPr>
          <w:color w:val="000000" w:themeColor="text1"/>
          <w:sz w:val="22"/>
          <w:szCs w:val="22"/>
        </w:rPr>
        <w:t>such as</w:t>
      </w:r>
      <w:r w:rsidR="000B0D01" w:rsidRPr="006323BF">
        <w:rPr>
          <w:color w:val="000000" w:themeColor="text1"/>
          <w:sz w:val="22"/>
          <w:szCs w:val="22"/>
        </w:rPr>
        <w:t xml:space="preserve"> </w:t>
      </w:r>
      <w:r w:rsidRPr="006323BF">
        <w:rPr>
          <w:color w:val="000000" w:themeColor="text1"/>
          <w:sz w:val="22"/>
          <w:szCs w:val="22"/>
        </w:rPr>
        <w:t>mice and rats.</w:t>
      </w:r>
    </w:p>
    <w:p w14:paraId="7D350732" w14:textId="77777777" w:rsidR="00983820" w:rsidRPr="006323BF" w:rsidRDefault="00983820" w:rsidP="00172688">
      <w:pPr>
        <w:spacing w:line="480" w:lineRule="auto"/>
        <w:jc w:val="both"/>
        <w:rPr>
          <w:color w:val="000000" w:themeColor="text1"/>
          <w:sz w:val="22"/>
          <w:szCs w:val="22"/>
        </w:rPr>
      </w:pPr>
    </w:p>
    <w:p w14:paraId="668AEF40" w14:textId="34D7B16A" w:rsidR="003C69BD" w:rsidRPr="006323BF" w:rsidRDefault="00983820" w:rsidP="00983820">
      <w:pPr>
        <w:spacing w:line="480" w:lineRule="auto"/>
        <w:jc w:val="both"/>
        <w:rPr>
          <w:i/>
          <w:iCs/>
          <w:color w:val="000000" w:themeColor="text1"/>
          <w:sz w:val="22"/>
          <w:szCs w:val="22"/>
        </w:rPr>
      </w:pPr>
      <w:r w:rsidRPr="006323BF">
        <w:rPr>
          <w:i/>
          <w:iCs/>
          <w:color w:val="000000" w:themeColor="text1"/>
          <w:sz w:val="22"/>
          <w:szCs w:val="22"/>
        </w:rPr>
        <w:t>Meta-Analysis by Information Content of human studies</w:t>
      </w:r>
    </w:p>
    <w:p w14:paraId="3FCC3EF9" w14:textId="3E5AF6BA" w:rsidR="00D70E15" w:rsidRPr="006323BF" w:rsidRDefault="00983820" w:rsidP="00D70E15">
      <w:pPr>
        <w:spacing w:line="480" w:lineRule="auto"/>
        <w:jc w:val="both"/>
        <w:rPr>
          <w:color w:val="000000" w:themeColor="text1"/>
          <w:sz w:val="22"/>
          <w:szCs w:val="22"/>
        </w:rPr>
      </w:pPr>
      <w:r w:rsidRPr="006323BF">
        <w:rPr>
          <w:color w:val="000000" w:themeColor="text1"/>
          <w:sz w:val="22"/>
          <w:szCs w:val="22"/>
        </w:rPr>
        <w:t xml:space="preserve">From 76 human studies, 21 met our eligibility criteria </w:t>
      </w:r>
      <w:r w:rsidR="006323BF">
        <w:rPr>
          <w:color w:val="000000" w:themeColor="text1"/>
          <w:sz w:val="22"/>
          <w:szCs w:val="22"/>
        </w:rPr>
        <w:t>(</w:t>
      </w:r>
      <w:r w:rsidRPr="00004CBA">
        <w:rPr>
          <w:color w:val="000000" w:themeColor="text1"/>
          <w:sz w:val="22"/>
          <w:szCs w:val="22"/>
          <w:highlight w:val="green"/>
        </w:rPr>
        <w:t>Supplementary Figure 1, Table 1</w:t>
      </w:r>
      <w:r w:rsidR="006323BF">
        <w:rPr>
          <w:color w:val="000000" w:themeColor="text1"/>
          <w:sz w:val="22"/>
          <w:szCs w:val="22"/>
        </w:rPr>
        <w:t>)</w:t>
      </w:r>
      <w:r w:rsidR="0065040F" w:rsidRPr="006323BF">
        <w:rPr>
          <w:color w:val="000000" w:themeColor="text1"/>
          <w:sz w:val="22"/>
          <w:szCs w:val="22"/>
        </w:rPr>
        <w:t>,</w:t>
      </w:r>
      <w:r w:rsidRPr="006323BF">
        <w:rPr>
          <w:color w:val="000000" w:themeColor="text1"/>
          <w:sz w:val="22"/>
          <w:szCs w:val="22"/>
        </w:rPr>
        <w:t xml:space="preserve"> yield</w:t>
      </w:r>
      <w:r w:rsidR="0065040F" w:rsidRPr="006323BF">
        <w:rPr>
          <w:color w:val="000000" w:themeColor="text1"/>
          <w:sz w:val="22"/>
          <w:szCs w:val="22"/>
        </w:rPr>
        <w:t>ing</w:t>
      </w:r>
      <w:r w:rsidRPr="006323BF">
        <w:rPr>
          <w:color w:val="000000" w:themeColor="text1"/>
          <w:sz w:val="22"/>
          <w:szCs w:val="22"/>
        </w:rPr>
        <w:t xml:space="preserve"> 31 gene lists</w:t>
      </w:r>
      <w:r w:rsidR="0065040F" w:rsidRPr="006323BF">
        <w:rPr>
          <w:color w:val="000000" w:themeColor="text1"/>
          <w:sz w:val="22"/>
          <w:szCs w:val="22"/>
        </w:rPr>
        <w:t xml:space="preserve"> (</w:t>
      </w:r>
      <w:r w:rsidRPr="006323BF">
        <w:rPr>
          <w:color w:val="000000" w:themeColor="text1"/>
          <w:sz w:val="22"/>
          <w:szCs w:val="22"/>
        </w:rPr>
        <w:t>23 ranked and 8 unranked</w:t>
      </w:r>
      <w:r w:rsidR="0065040F" w:rsidRPr="006323BF">
        <w:rPr>
          <w:color w:val="000000" w:themeColor="text1"/>
          <w:sz w:val="22"/>
          <w:szCs w:val="22"/>
        </w:rPr>
        <w:t>)</w:t>
      </w:r>
      <w:r w:rsidRPr="006323BF">
        <w:rPr>
          <w:color w:val="000000" w:themeColor="text1"/>
          <w:sz w:val="22"/>
          <w:szCs w:val="22"/>
        </w:rPr>
        <w:t xml:space="preserve"> employing 5 experimental techniques (</w:t>
      </w:r>
      <w:r w:rsidRPr="00004CBA">
        <w:rPr>
          <w:color w:val="000000" w:themeColor="text1"/>
          <w:sz w:val="22"/>
          <w:szCs w:val="22"/>
          <w:highlight w:val="green"/>
        </w:rPr>
        <w:t>Supplementary Table 3</w:t>
      </w:r>
      <w:r w:rsidRPr="006323BF">
        <w:rPr>
          <w:color w:val="000000" w:themeColor="text1"/>
          <w:sz w:val="22"/>
          <w:szCs w:val="22"/>
        </w:rPr>
        <w:t>)</w:t>
      </w:r>
      <w:r w:rsidR="0065040F" w:rsidRPr="006323BF">
        <w:rPr>
          <w:color w:val="000000" w:themeColor="text1"/>
          <w:sz w:val="22"/>
          <w:szCs w:val="22"/>
        </w:rPr>
        <w:t>.</w:t>
      </w:r>
      <w:r w:rsidRPr="006323BF">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6323BF">
        <w:rPr>
          <w:color w:val="000000" w:themeColor="text1"/>
          <w:sz w:val="22"/>
          <w:szCs w:val="22"/>
        </w:rPr>
        <w:fldChar w:fldCharType="separate"/>
      </w:r>
      <w:r w:rsidR="00246187" w:rsidRPr="006323BF">
        <w:rPr>
          <w:rFonts w:ascii="Aptos" w:cs="Times New Roman"/>
          <w:color w:val="000000" w:themeColor="text1"/>
          <w:sz w:val="22"/>
          <w:vertAlign w:val="superscript"/>
        </w:rPr>
        <w:t>3</w:t>
      </w:r>
      <w:r w:rsidRPr="006323BF">
        <w:rPr>
          <w:color w:val="000000" w:themeColor="text1"/>
          <w:sz w:val="22"/>
          <w:szCs w:val="22"/>
        </w:rPr>
        <w:fldChar w:fldCharType="end"/>
      </w:r>
      <w:r w:rsidR="003C69BD" w:rsidRPr="006323BF">
        <w:rPr>
          <w:color w:val="000000" w:themeColor="text1"/>
          <w:sz w:val="22"/>
          <w:szCs w:val="22"/>
        </w:rPr>
        <w:t xml:space="preserve"> (</w:t>
      </w:r>
      <w:r w:rsidR="003C69BD" w:rsidRPr="00004CBA">
        <w:rPr>
          <w:color w:val="000000" w:themeColor="text1"/>
          <w:sz w:val="22"/>
          <w:szCs w:val="22"/>
          <w:highlight w:val="magenta"/>
        </w:rPr>
        <w:t>Table 1</w:t>
      </w:r>
      <w:r w:rsidR="003C69BD" w:rsidRPr="006323BF">
        <w:rPr>
          <w:color w:val="000000" w:themeColor="text1"/>
          <w:sz w:val="22"/>
          <w:szCs w:val="22"/>
        </w:rPr>
        <w:t>)</w:t>
      </w:r>
      <w:r w:rsidRPr="006323BF">
        <w:rPr>
          <w:color w:val="000000" w:themeColor="text1"/>
          <w:sz w:val="22"/>
          <w:szCs w:val="22"/>
        </w:rPr>
        <w:t xml:space="preserve">. All but a single study used primary tissue or blood </w:t>
      </w:r>
      <w:r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6323BF">
        <w:rPr>
          <w:color w:val="000000" w:themeColor="text1"/>
          <w:sz w:val="22"/>
          <w:szCs w:val="22"/>
        </w:rPr>
        <w:fldChar w:fldCharType="separate"/>
      </w:r>
      <w:r w:rsidR="00246187" w:rsidRPr="006323BF">
        <w:rPr>
          <w:rFonts w:ascii="Aptos" w:cs="Times New Roman"/>
          <w:color w:val="000000" w:themeColor="text1"/>
          <w:sz w:val="22"/>
          <w:vertAlign w:val="superscript"/>
        </w:rPr>
        <w:t>25</w:t>
      </w:r>
      <w:r w:rsidRPr="006323BF">
        <w:rPr>
          <w:color w:val="000000" w:themeColor="text1"/>
          <w:sz w:val="22"/>
          <w:szCs w:val="22"/>
        </w:rPr>
        <w:fldChar w:fldCharType="end"/>
      </w:r>
      <w:r w:rsidRPr="006323BF">
        <w:rPr>
          <w:color w:val="000000" w:themeColor="text1"/>
          <w:sz w:val="22"/>
          <w:szCs w:val="22"/>
        </w:rPr>
        <w:t xml:space="preserve">. MAIC collated and ranked 8017 unique genes across the datasets </w:t>
      </w:r>
      <w:r w:rsidR="006323BF">
        <w:rPr>
          <w:color w:val="000000" w:themeColor="text1"/>
          <w:sz w:val="22"/>
          <w:szCs w:val="22"/>
        </w:rPr>
        <w:t>(</w:t>
      </w:r>
      <w:r w:rsidRPr="00004CBA">
        <w:rPr>
          <w:color w:val="000000" w:themeColor="text1"/>
          <w:sz w:val="22"/>
          <w:szCs w:val="22"/>
          <w:highlight w:val="blue"/>
        </w:rPr>
        <w:t>Suppl</w:t>
      </w:r>
      <w:r w:rsidR="00C27FBC" w:rsidRPr="00004CBA">
        <w:rPr>
          <w:color w:val="000000" w:themeColor="text1"/>
          <w:sz w:val="22"/>
          <w:szCs w:val="22"/>
          <w:highlight w:val="blue"/>
        </w:rPr>
        <w:t>e</w:t>
      </w:r>
      <w:r w:rsidRPr="00004CBA">
        <w:rPr>
          <w:color w:val="000000" w:themeColor="text1"/>
          <w:sz w:val="22"/>
          <w:szCs w:val="22"/>
          <w:highlight w:val="blue"/>
        </w:rPr>
        <w:t>mentary Table 4</w:t>
      </w:r>
      <w:r w:rsidR="006323BF">
        <w:rPr>
          <w:color w:val="000000" w:themeColor="text1"/>
          <w:sz w:val="22"/>
          <w:szCs w:val="22"/>
        </w:rPr>
        <w:t>)</w:t>
      </w:r>
      <w:r w:rsidRPr="006323BF">
        <w:rPr>
          <w:color w:val="000000" w:themeColor="text1"/>
          <w:sz w:val="22"/>
          <w:szCs w:val="22"/>
        </w:rPr>
        <w:t>,</w:t>
      </w:r>
      <w:r w:rsidR="003C69BD" w:rsidRPr="006323BF">
        <w:rPr>
          <w:color w:val="000000" w:themeColor="text1"/>
          <w:sz w:val="22"/>
          <w:szCs w:val="22"/>
        </w:rPr>
        <w:t xml:space="preserve"> and the top </w:t>
      </w:r>
      <w:r w:rsidR="006323BF" w:rsidRPr="006323BF">
        <w:rPr>
          <w:color w:val="000000" w:themeColor="text1"/>
          <w:sz w:val="22"/>
          <w:szCs w:val="22"/>
        </w:rPr>
        <w:t>25</w:t>
      </w:r>
      <w:r w:rsidR="003C69BD" w:rsidRPr="006323BF">
        <w:rPr>
          <w:color w:val="000000" w:themeColor="text1"/>
          <w:sz w:val="22"/>
          <w:szCs w:val="22"/>
        </w:rPr>
        <w:t xml:space="preserve"> are shown here</w:t>
      </w:r>
      <w:r w:rsidRPr="006323BF">
        <w:rPr>
          <w:color w:val="000000" w:themeColor="text1"/>
          <w:sz w:val="22"/>
          <w:szCs w:val="22"/>
        </w:rPr>
        <w:t xml:space="preserve"> </w:t>
      </w:r>
      <w:r w:rsidR="006323BF">
        <w:rPr>
          <w:color w:val="000000" w:themeColor="text1"/>
          <w:sz w:val="22"/>
          <w:szCs w:val="22"/>
        </w:rPr>
        <w:t>(</w:t>
      </w:r>
      <w:r w:rsidRPr="00004CBA">
        <w:rPr>
          <w:color w:val="000000" w:themeColor="text1"/>
          <w:sz w:val="22"/>
          <w:szCs w:val="22"/>
          <w:highlight w:val="magenta"/>
        </w:rPr>
        <w:t>Figure1A</w:t>
      </w:r>
      <w:r w:rsidR="000E3E04">
        <w:rPr>
          <w:color w:val="000000" w:themeColor="text1"/>
          <w:sz w:val="22"/>
          <w:szCs w:val="22"/>
        </w:rPr>
        <w:t xml:space="preserve">; </w:t>
      </w:r>
      <w:r w:rsidR="000E3E04" w:rsidRPr="00004CBA">
        <w:rPr>
          <w:color w:val="000000" w:themeColor="text1"/>
          <w:sz w:val="22"/>
          <w:szCs w:val="22"/>
          <w:highlight w:val="green"/>
        </w:rPr>
        <w:t>T</w:t>
      </w:r>
      <w:r w:rsidR="006323BF" w:rsidRPr="00004CBA">
        <w:rPr>
          <w:color w:val="000000" w:themeColor="text1"/>
          <w:sz w:val="22"/>
          <w:szCs w:val="22"/>
          <w:highlight w:val="green"/>
        </w:rPr>
        <w:t xml:space="preserve">op 100 in Supplementary </w:t>
      </w:r>
      <w:r w:rsidR="000E3E04" w:rsidRPr="00004CBA">
        <w:rPr>
          <w:color w:val="000000" w:themeColor="text1"/>
          <w:sz w:val="22"/>
          <w:szCs w:val="22"/>
          <w:highlight w:val="green"/>
        </w:rPr>
        <w:t>F</w:t>
      </w:r>
      <w:r w:rsidR="006323BF" w:rsidRPr="00004CBA">
        <w:rPr>
          <w:color w:val="000000" w:themeColor="text1"/>
          <w:sz w:val="22"/>
          <w:szCs w:val="22"/>
          <w:highlight w:val="green"/>
        </w:rPr>
        <w:t>igure 3A</w:t>
      </w:r>
      <w:r w:rsidR="006323BF" w:rsidRPr="000E3E04">
        <w:rPr>
          <w:color w:val="000000" w:themeColor="text1"/>
          <w:sz w:val="22"/>
          <w:szCs w:val="22"/>
        </w:rPr>
        <w:t>)</w:t>
      </w:r>
      <w:r w:rsidR="003C69BD" w:rsidRPr="006323BF">
        <w:rPr>
          <w:color w:val="000000" w:themeColor="text1"/>
          <w:sz w:val="22"/>
          <w:szCs w:val="22"/>
        </w:rPr>
        <w:t>. A</w:t>
      </w:r>
      <w:r w:rsidRPr="006323BF">
        <w:rPr>
          <w:color w:val="000000" w:themeColor="text1"/>
          <w:sz w:val="22"/>
          <w:szCs w:val="22"/>
        </w:rPr>
        <w:t xml:space="preserve"> single gene was supported by evidence from </w:t>
      </w:r>
      <w:r w:rsidR="007917FC" w:rsidRPr="006323BF">
        <w:rPr>
          <w:color w:val="000000" w:themeColor="text1"/>
          <w:sz w:val="22"/>
          <w:szCs w:val="22"/>
        </w:rPr>
        <w:t>4</w:t>
      </w:r>
      <w:r w:rsidRPr="006323BF">
        <w:rPr>
          <w:color w:val="000000" w:themeColor="text1"/>
          <w:sz w:val="22"/>
          <w:szCs w:val="22"/>
        </w:rPr>
        <w:t xml:space="preserve"> experimental techniques (</w:t>
      </w:r>
      <w:r w:rsidRPr="006323BF">
        <w:rPr>
          <w:i/>
          <w:iCs/>
          <w:color w:val="000000" w:themeColor="text1"/>
          <w:sz w:val="22"/>
          <w:szCs w:val="22"/>
        </w:rPr>
        <w:t>RASGRP3</w:t>
      </w:r>
      <w:r w:rsidRPr="006323BF">
        <w:rPr>
          <w:color w:val="000000" w:themeColor="text1"/>
          <w:sz w:val="22"/>
          <w:szCs w:val="22"/>
        </w:rPr>
        <w:t>, rank = 1). Few genes (n = 53 genes, 0.6%) were supported by &gt;=3 methods while 745 genes (9.74%) were supported by more than 1 method.</w:t>
      </w:r>
      <w:r w:rsidR="003C69BD" w:rsidRPr="006323BF">
        <w:rPr>
          <w:color w:val="000000" w:themeColor="text1"/>
          <w:sz w:val="22"/>
          <w:szCs w:val="22"/>
        </w:rPr>
        <w:t xml:space="preserve"> In the top 10 ranked genes we observe</w:t>
      </w:r>
      <w:r w:rsidRPr="006323BF">
        <w:rPr>
          <w:color w:val="000000" w:themeColor="text1"/>
          <w:sz w:val="22"/>
          <w:szCs w:val="22"/>
        </w:rPr>
        <w:t xml:space="preserve"> immune regulation (</w:t>
      </w:r>
      <w:r w:rsidRPr="006323BF">
        <w:rPr>
          <w:i/>
          <w:iCs/>
          <w:color w:val="000000" w:themeColor="text1"/>
          <w:sz w:val="22"/>
          <w:szCs w:val="22"/>
        </w:rPr>
        <w:t>RASGRP3, CD2, GPA33</w:t>
      </w:r>
      <w:r w:rsidRPr="006323BF">
        <w:rPr>
          <w:color w:val="000000" w:themeColor="text1"/>
          <w:sz w:val="22"/>
          <w:szCs w:val="22"/>
        </w:rPr>
        <w:t xml:space="preserve">, </w:t>
      </w:r>
      <w:r w:rsidRPr="006323BF">
        <w:rPr>
          <w:i/>
          <w:iCs/>
          <w:color w:val="000000" w:themeColor="text1"/>
          <w:sz w:val="22"/>
          <w:szCs w:val="22"/>
        </w:rPr>
        <w:t xml:space="preserve">IL1R2, CD177) </w:t>
      </w:r>
      <w:r w:rsidRPr="006323BF">
        <w:rPr>
          <w:color w:val="000000" w:themeColor="text1"/>
          <w:sz w:val="22"/>
          <w:szCs w:val="22"/>
        </w:rPr>
        <w:t>and extracellular structure</w:t>
      </w:r>
      <w:r w:rsidRPr="006323BF">
        <w:rPr>
          <w:i/>
          <w:iCs/>
          <w:color w:val="000000" w:themeColor="text1"/>
          <w:sz w:val="22"/>
          <w:szCs w:val="22"/>
        </w:rPr>
        <w:t xml:space="preserve"> (CHIT1,</w:t>
      </w:r>
      <w:r w:rsidR="003C69BD" w:rsidRPr="006323BF">
        <w:rPr>
          <w:i/>
          <w:iCs/>
          <w:color w:val="000000" w:themeColor="text1"/>
          <w:sz w:val="22"/>
          <w:szCs w:val="22"/>
        </w:rPr>
        <w:t xml:space="preserve"> </w:t>
      </w:r>
      <w:r w:rsidRPr="006323BF">
        <w:rPr>
          <w:i/>
          <w:iCs/>
          <w:color w:val="000000" w:themeColor="text1"/>
          <w:sz w:val="22"/>
          <w:szCs w:val="22"/>
        </w:rPr>
        <w:t>RCAN3, LRRN3, FBN1)</w:t>
      </w:r>
      <w:r w:rsidRPr="006323BF">
        <w:rPr>
          <w:color w:val="000000" w:themeColor="text1"/>
          <w:sz w:val="22"/>
          <w:szCs w:val="22"/>
        </w:rPr>
        <w:t>. Additionally, a subunit of foetal haemoglobin,</w:t>
      </w:r>
      <w:r w:rsidRPr="006323BF">
        <w:rPr>
          <w:i/>
          <w:iCs/>
          <w:color w:val="000000" w:themeColor="text1"/>
          <w:sz w:val="22"/>
          <w:szCs w:val="22"/>
        </w:rPr>
        <w:t xml:space="preserve"> HGB1,</w:t>
      </w:r>
      <w:r w:rsidRPr="006323BF">
        <w:rPr>
          <w:color w:val="000000" w:themeColor="text1"/>
          <w:sz w:val="22"/>
          <w:szCs w:val="22"/>
        </w:rPr>
        <w:t xml:space="preserve"> features. </w:t>
      </w:r>
      <w:r w:rsidR="00D70E15" w:rsidRPr="006323BF">
        <w:rPr>
          <w:color w:val="000000" w:themeColor="text1"/>
          <w:sz w:val="22"/>
          <w:szCs w:val="22"/>
        </w:rPr>
        <w:t xml:space="preserve">Cell type–specific enrichment analysis indicates that the gene rankings are most strongly driven by cells of the lymphoid lineage </w:t>
      </w:r>
      <w:r w:rsidR="00D70E15" w:rsidRPr="006323BF">
        <w:rPr>
          <w:color w:val="000000" w:themeColor="text1"/>
          <w:sz w:val="22"/>
          <w:szCs w:val="22"/>
        </w:rPr>
        <w:fldChar w:fldCharType="begin"/>
      </w:r>
      <w:r w:rsidR="00D70E15" w:rsidRPr="006323BF">
        <w:rPr>
          <w:color w:val="000000" w:themeColor="text1"/>
          <w:sz w:val="22"/>
          <w:szCs w:val="22"/>
        </w:rPr>
        <w:instrText xml:space="preserve"> ADDIN ZOTERO_ITEM CSL_CITATION {"citationID":"qycrGrlJ","properties":{"formattedCitation":"\\super 27\\nosupersub{}","plainCitation":"27","noteIndex":0},"citationItems":[{"id":2494,"uris":["http://zotero.org/users/14418362/items/UR9I3N8T"],"itemData":{"id":2494,"type":"article-journal","abstract":"Abstract\n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6323BF">
        <w:rPr>
          <w:color w:val="000000" w:themeColor="text1"/>
          <w:sz w:val="22"/>
          <w:szCs w:val="22"/>
        </w:rPr>
        <w:fldChar w:fldCharType="separate"/>
      </w:r>
      <w:r w:rsidR="00D70E15" w:rsidRPr="006323BF">
        <w:rPr>
          <w:rFonts w:ascii="Aptos" w:cs="Times New Roman"/>
          <w:color w:val="000000"/>
          <w:sz w:val="22"/>
          <w:vertAlign w:val="superscript"/>
        </w:rPr>
        <w:t>27</w:t>
      </w:r>
      <w:r w:rsidR="00D70E15" w:rsidRPr="006323BF">
        <w:rPr>
          <w:color w:val="000000" w:themeColor="text1"/>
          <w:sz w:val="22"/>
          <w:szCs w:val="22"/>
        </w:rPr>
        <w:fldChar w:fldCharType="end"/>
      </w:r>
      <w:r w:rsidR="00D70E15" w:rsidRPr="006323BF">
        <w:rPr>
          <w:color w:val="000000" w:themeColor="text1"/>
          <w:sz w:val="22"/>
          <w:szCs w:val="22"/>
        </w:rPr>
        <w:t xml:space="preserve"> (</w:t>
      </w:r>
      <w:r w:rsidR="00D70E15" w:rsidRPr="00004CBA">
        <w:rPr>
          <w:color w:val="000000" w:themeColor="text1"/>
          <w:sz w:val="22"/>
          <w:szCs w:val="22"/>
          <w:highlight w:val="green"/>
        </w:rPr>
        <w:t xml:space="preserve">Supplementary </w:t>
      </w:r>
      <w:r w:rsidR="00004CBA" w:rsidRPr="00004CBA">
        <w:rPr>
          <w:color w:val="000000" w:themeColor="text1"/>
          <w:sz w:val="22"/>
          <w:szCs w:val="22"/>
          <w:highlight w:val="green"/>
        </w:rPr>
        <w:t>F</w:t>
      </w:r>
      <w:r w:rsidR="00D70E15" w:rsidRPr="00004CBA">
        <w:rPr>
          <w:color w:val="000000" w:themeColor="text1"/>
          <w:sz w:val="22"/>
          <w:szCs w:val="22"/>
          <w:highlight w:val="green"/>
        </w:rPr>
        <w:t xml:space="preserve">igure </w:t>
      </w:r>
      <w:r w:rsidR="00004CBA" w:rsidRPr="00004CBA">
        <w:rPr>
          <w:color w:val="000000" w:themeColor="text1"/>
          <w:sz w:val="22"/>
          <w:szCs w:val="22"/>
          <w:highlight w:val="green"/>
        </w:rPr>
        <w:t>4</w:t>
      </w:r>
      <w:r w:rsidR="00D70E15" w:rsidRPr="006323BF">
        <w:rPr>
          <w:color w:val="000000" w:themeColor="text1"/>
          <w:sz w:val="22"/>
          <w:szCs w:val="22"/>
        </w:rPr>
        <w:t>).</w:t>
      </w:r>
    </w:p>
    <w:p w14:paraId="16725CA1" w14:textId="7D18B86B" w:rsidR="005D240B" w:rsidRPr="006323BF" w:rsidRDefault="006323BF" w:rsidP="00172688">
      <w:pPr>
        <w:spacing w:line="480" w:lineRule="auto"/>
        <w:jc w:val="both"/>
        <w:rPr>
          <w:i/>
          <w:iCs/>
          <w:color w:val="000000" w:themeColor="text1"/>
          <w:sz w:val="22"/>
          <w:szCs w:val="22"/>
        </w:rPr>
      </w:pPr>
      <w:r w:rsidRPr="006323BF">
        <w:rPr>
          <w:i/>
          <w:iCs/>
          <w:color w:val="000000" w:themeColor="text1"/>
          <w:sz w:val="22"/>
          <w:szCs w:val="22"/>
        </w:rPr>
        <w:t>E</w:t>
      </w:r>
      <w:r w:rsidR="005D240B" w:rsidRPr="006323BF">
        <w:rPr>
          <w:i/>
          <w:iCs/>
          <w:color w:val="000000" w:themeColor="text1"/>
          <w:sz w:val="22"/>
          <w:szCs w:val="22"/>
        </w:rPr>
        <w:t>nrichment analyses</w:t>
      </w:r>
    </w:p>
    <w:p w14:paraId="67070585" w14:textId="158FF4F8" w:rsidR="006323BF" w:rsidRPr="006323BF" w:rsidRDefault="006323BF" w:rsidP="00172688">
      <w:pPr>
        <w:spacing w:line="480" w:lineRule="auto"/>
        <w:jc w:val="both"/>
        <w:rPr>
          <w:color w:val="000000" w:themeColor="text1"/>
          <w:sz w:val="22"/>
          <w:szCs w:val="22"/>
        </w:rPr>
      </w:pPr>
      <w:r w:rsidRPr="006323BF">
        <w:rPr>
          <w:color w:val="000000" w:themeColor="text1"/>
          <w:sz w:val="22"/>
          <w:szCs w:val="22"/>
        </w:rPr>
        <w:t xml:space="preserve">Multiple aspects of </w:t>
      </w:r>
      <w:r w:rsidR="005D240B" w:rsidRPr="006323BF">
        <w:rPr>
          <w:color w:val="000000" w:themeColor="text1"/>
          <w:sz w:val="22"/>
          <w:szCs w:val="22"/>
        </w:rPr>
        <w:t xml:space="preserve">T cell </w:t>
      </w:r>
      <w:r w:rsidR="00294D94" w:rsidRPr="006323BF">
        <w:rPr>
          <w:color w:val="000000" w:themeColor="text1"/>
          <w:sz w:val="22"/>
          <w:szCs w:val="22"/>
        </w:rPr>
        <w:t xml:space="preserve">activation </w:t>
      </w:r>
      <w:r w:rsidRPr="006323BF">
        <w:rPr>
          <w:color w:val="000000" w:themeColor="text1"/>
          <w:sz w:val="22"/>
          <w:szCs w:val="22"/>
        </w:rPr>
        <w:t>were</w:t>
      </w:r>
      <w:r w:rsidR="005D240B" w:rsidRPr="006323BF">
        <w:rPr>
          <w:color w:val="000000" w:themeColor="text1"/>
          <w:sz w:val="22"/>
          <w:szCs w:val="22"/>
        </w:rPr>
        <w:t xml:space="preserve"> highlighted </w:t>
      </w:r>
      <w:r w:rsidRPr="006323BF">
        <w:rPr>
          <w:color w:val="000000" w:themeColor="text1"/>
          <w:sz w:val="22"/>
          <w:szCs w:val="22"/>
        </w:rPr>
        <w:t>by</w:t>
      </w:r>
      <w:r w:rsidR="005D240B" w:rsidRPr="006323BF">
        <w:rPr>
          <w:color w:val="000000" w:themeColor="text1"/>
          <w:sz w:val="22"/>
          <w:szCs w:val="22"/>
        </w:rPr>
        <w:t xml:space="preserve"> gene set enrichment analysis (GSEA) of the </w:t>
      </w:r>
      <w:r w:rsidR="005036A4" w:rsidRPr="006323BF">
        <w:rPr>
          <w:color w:val="000000" w:themeColor="text1"/>
          <w:sz w:val="22"/>
          <w:szCs w:val="22"/>
        </w:rPr>
        <w:t>gene set</w:t>
      </w:r>
      <w:r w:rsidR="005D240B" w:rsidRPr="006323BF">
        <w:rPr>
          <w:color w:val="000000" w:themeColor="text1"/>
          <w:sz w:val="22"/>
          <w:szCs w:val="22"/>
        </w:rPr>
        <w:t xml:space="preserve"> </w:t>
      </w:r>
      <w:r w:rsidR="00996442">
        <w:rPr>
          <w:color w:val="000000" w:themeColor="text1"/>
          <w:sz w:val="22"/>
          <w:szCs w:val="22"/>
        </w:rPr>
        <w:t xml:space="preserve">using the </w:t>
      </w:r>
      <w:proofErr w:type="spellStart"/>
      <w:r w:rsidR="00996442">
        <w:rPr>
          <w:color w:val="000000" w:themeColor="text1"/>
          <w:sz w:val="22"/>
          <w:szCs w:val="22"/>
        </w:rPr>
        <w:t>Reactome</w:t>
      </w:r>
      <w:proofErr w:type="spellEnd"/>
      <w:r w:rsidR="00996442">
        <w:rPr>
          <w:color w:val="000000" w:themeColor="text1"/>
          <w:sz w:val="22"/>
          <w:szCs w:val="22"/>
        </w:rPr>
        <w:t xml:space="preserve"> database (</w:t>
      </w:r>
      <w:r w:rsidR="00996442" w:rsidRPr="00004CBA">
        <w:rPr>
          <w:color w:val="000000" w:themeColor="text1"/>
          <w:sz w:val="22"/>
          <w:szCs w:val="22"/>
          <w:highlight w:val="magenta"/>
        </w:rPr>
        <w:t>Figure 1B</w:t>
      </w:r>
      <w:r w:rsidR="00996442">
        <w:rPr>
          <w:color w:val="000000" w:themeColor="text1"/>
          <w:sz w:val="22"/>
          <w:szCs w:val="22"/>
        </w:rPr>
        <w:t>). These</w:t>
      </w:r>
      <w:r w:rsidRPr="006323BF">
        <w:rPr>
          <w:color w:val="000000" w:themeColor="text1"/>
          <w:sz w:val="22"/>
          <w:szCs w:val="22"/>
        </w:rPr>
        <w:t xml:space="preserve"> </w:t>
      </w:r>
      <w:r w:rsidR="00996442">
        <w:rPr>
          <w:color w:val="000000" w:themeColor="text1"/>
          <w:sz w:val="22"/>
          <w:szCs w:val="22"/>
        </w:rPr>
        <w:t>were seen</w:t>
      </w:r>
      <w:r w:rsidRPr="006323BF">
        <w:rPr>
          <w:color w:val="000000" w:themeColor="text1"/>
          <w:sz w:val="22"/>
          <w:szCs w:val="22"/>
        </w:rPr>
        <w:t xml:space="preserve"> alongside signals from various aspects of immunity</w:t>
      </w:r>
      <w:r w:rsidR="00996442">
        <w:rPr>
          <w:color w:val="000000" w:themeColor="text1"/>
          <w:sz w:val="22"/>
          <w:szCs w:val="22"/>
        </w:rPr>
        <w:t xml:space="preserve"> and supported by searches of other databases (</w:t>
      </w:r>
      <w:r w:rsidR="002F7479">
        <w:rPr>
          <w:color w:val="000000" w:themeColor="text1"/>
          <w:sz w:val="22"/>
          <w:szCs w:val="22"/>
        </w:rPr>
        <w:t xml:space="preserve">See Supplementary </w:t>
      </w:r>
      <w:proofErr w:type="gramStart"/>
      <w:r w:rsidR="002F7479">
        <w:rPr>
          <w:color w:val="000000" w:themeColor="text1"/>
          <w:sz w:val="22"/>
          <w:szCs w:val="22"/>
        </w:rPr>
        <w:t>materials</w:t>
      </w:r>
      <w:r w:rsidR="00996442">
        <w:rPr>
          <w:color w:val="000000" w:themeColor="text1"/>
          <w:sz w:val="22"/>
          <w:szCs w:val="22"/>
        </w:rPr>
        <w:t xml:space="preserve"> )</w:t>
      </w:r>
      <w:proofErr w:type="gramEnd"/>
      <w:r w:rsidRPr="006323BF">
        <w:rPr>
          <w:color w:val="000000" w:themeColor="text1"/>
          <w:sz w:val="22"/>
          <w:szCs w:val="22"/>
        </w:rPr>
        <w:t>.</w:t>
      </w:r>
      <w:r w:rsidR="00294D94" w:rsidRPr="006323BF">
        <w:rPr>
          <w:color w:val="000000" w:themeColor="text1"/>
          <w:sz w:val="22"/>
          <w:szCs w:val="22"/>
        </w:rPr>
        <w:t xml:space="preserve"> </w:t>
      </w:r>
      <w:r w:rsidRPr="006323BF">
        <w:rPr>
          <w:color w:val="000000" w:themeColor="text1"/>
          <w:sz w:val="22"/>
          <w:szCs w:val="22"/>
        </w:rPr>
        <w:t>The signal was primarily driven by a core set of 23 genes (</w:t>
      </w:r>
      <w:r w:rsidRPr="00004CBA">
        <w:rPr>
          <w:color w:val="000000" w:themeColor="text1"/>
          <w:sz w:val="22"/>
          <w:szCs w:val="22"/>
          <w:highlight w:val="green"/>
        </w:rPr>
        <w:t>Supplementa</w:t>
      </w:r>
      <w:r w:rsidR="00004CBA" w:rsidRPr="00004CBA">
        <w:rPr>
          <w:color w:val="000000" w:themeColor="text1"/>
          <w:sz w:val="22"/>
          <w:szCs w:val="22"/>
          <w:highlight w:val="green"/>
        </w:rPr>
        <w:t>ry</w:t>
      </w:r>
      <w:r w:rsidRPr="00004CBA">
        <w:rPr>
          <w:color w:val="000000" w:themeColor="text1"/>
          <w:sz w:val="22"/>
          <w:szCs w:val="22"/>
          <w:highlight w:val="green"/>
        </w:rPr>
        <w:t xml:space="preserve"> Figure 3</w:t>
      </w:r>
      <w:r w:rsidR="00004CBA" w:rsidRPr="00004CBA">
        <w:rPr>
          <w:color w:val="000000" w:themeColor="text1"/>
          <w:sz w:val="22"/>
          <w:szCs w:val="22"/>
          <w:highlight w:val="green"/>
        </w:rPr>
        <w:t>C</w:t>
      </w:r>
      <w:r w:rsidRPr="006323BF">
        <w:rPr>
          <w:color w:val="000000" w:themeColor="text1"/>
          <w:sz w:val="22"/>
          <w:szCs w:val="22"/>
        </w:rPr>
        <w:t>), which the Markov Cluster Algorithm (MCL) partitioned into two distinct modules</w:t>
      </w:r>
      <w:r w:rsidR="00996442">
        <w:rPr>
          <w:color w:val="000000" w:themeColor="text1"/>
          <w:sz w:val="22"/>
          <w:szCs w:val="22"/>
        </w:rPr>
        <w:t xml:space="preserve"> (</w:t>
      </w:r>
      <w:r w:rsidR="00996442" w:rsidRPr="00996442">
        <w:rPr>
          <w:color w:val="000000" w:themeColor="text1"/>
          <w:sz w:val="22"/>
          <w:szCs w:val="22"/>
          <w:highlight w:val="magenta"/>
        </w:rPr>
        <w:t>Figure 1C</w:t>
      </w:r>
      <w:r w:rsidR="00996442">
        <w:rPr>
          <w:color w:val="000000" w:themeColor="text1"/>
          <w:sz w:val="22"/>
          <w:szCs w:val="22"/>
        </w:rPr>
        <w:t>)</w:t>
      </w:r>
      <w:r w:rsidRPr="006323BF">
        <w:rPr>
          <w:color w:val="000000" w:themeColor="text1"/>
          <w:sz w:val="22"/>
          <w:szCs w:val="22"/>
        </w:rPr>
        <w:t xml:space="preserve">: one associated with CD3 and TCR zeta-chain phosphorylation, and another linked to carbohydrate </w:t>
      </w:r>
      <w:r w:rsidRPr="006323BF">
        <w:rPr>
          <w:color w:val="000000" w:themeColor="text1"/>
          <w:sz w:val="22"/>
          <w:szCs w:val="22"/>
        </w:rPr>
        <w:lastRenderedPageBreak/>
        <w:t>digestion and absorption. The former constituted the substantially larger module, encompassing multiple T-cell receptor components as well as several elements of the HLA complex.</w:t>
      </w:r>
    </w:p>
    <w:p w14:paraId="0E51E759" w14:textId="604B1F6B" w:rsidR="00CA6CE5" w:rsidRPr="006323BF" w:rsidRDefault="00CA6CE5" w:rsidP="00172688">
      <w:pPr>
        <w:spacing w:line="480" w:lineRule="auto"/>
        <w:jc w:val="both"/>
        <w:rPr>
          <w:color w:val="000000" w:themeColor="text1"/>
          <w:sz w:val="22"/>
          <w:szCs w:val="22"/>
        </w:rPr>
      </w:pPr>
      <w:r w:rsidRPr="006323BF">
        <w:rPr>
          <w:color w:val="000000" w:themeColor="text1"/>
          <w:sz w:val="22"/>
          <w:szCs w:val="22"/>
        </w:rPr>
        <w:t xml:space="preserve">We prioritised 945 genes for further investigation </w:t>
      </w:r>
      <w:r w:rsidR="006323BF">
        <w:rPr>
          <w:color w:val="000000" w:themeColor="text1"/>
          <w:sz w:val="22"/>
          <w:szCs w:val="22"/>
        </w:rPr>
        <w:t>(</w:t>
      </w:r>
      <w:r w:rsidRPr="00004CBA">
        <w:rPr>
          <w:color w:val="000000" w:themeColor="text1"/>
          <w:sz w:val="22"/>
          <w:szCs w:val="22"/>
          <w:highlight w:val="green"/>
        </w:rPr>
        <w:t>Supplementary Figure 3</w:t>
      </w:r>
      <w:r w:rsidR="00004CBA" w:rsidRPr="00004CBA">
        <w:rPr>
          <w:color w:val="000000" w:themeColor="text1"/>
          <w:sz w:val="22"/>
          <w:szCs w:val="22"/>
          <w:highlight w:val="green"/>
        </w:rPr>
        <w:t>D</w:t>
      </w:r>
      <w:r w:rsidR="006323BF">
        <w:rPr>
          <w:color w:val="000000" w:themeColor="text1"/>
          <w:sz w:val="22"/>
          <w:szCs w:val="22"/>
        </w:rPr>
        <w:t>)</w:t>
      </w:r>
      <w:r w:rsidRPr="006323BF">
        <w:rPr>
          <w:color w:val="000000" w:themeColor="text1"/>
          <w:sz w:val="22"/>
          <w:szCs w:val="22"/>
        </w:rPr>
        <w:t xml:space="preserve">, as previously described </w:t>
      </w:r>
      <w:r w:rsidRPr="006323BF">
        <w:rPr>
          <w:color w:val="000000" w:themeColor="text1"/>
          <w:sz w:val="22"/>
          <w:szCs w:val="22"/>
        </w:rPr>
        <w:fldChar w:fldCharType="begin"/>
      </w:r>
      <w:r w:rsidRPr="006323BF">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6323BF">
        <w:rPr>
          <w:color w:val="000000" w:themeColor="text1"/>
          <w:sz w:val="22"/>
          <w:szCs w:val="22"/>
        </w:rPr>
        <w:fldChar w:fldCharType="separate"/>
      </w:r>
      <w:r w:rsidRPr="006323BF">
        <w:rPr>
          <w:rFonts w:ascii="Aptos" w:cs="Times New Roman"/>
          <w:color w:val="000000" w:themeColor="text1"/>
          <w:sz w:val="22"/>
          <w:vertAlign w:val="superscript"/>
        </w:rPr>
        <w:t>22</w:t>
      </w:r>
      <w:r w:rsidRPr="006323BF">
        <w:rPr>
          <w:color w:val="000000" w:themeColor="text1"/>
          <w:sz w:val="22"/>
          <w:szCs w:val="22"/>
        </w:rPr>
        <w:fldChar w:fldCharType="end"/>
      </w:r>
      <w:r w:rsidRPr="006323BF">
        <w:rPr>
          <w:color w:val="000000" w:themeColor="text1"/>
          <w:sz w:val="22"/>
          <w:szCs w:val="22"/>
        </w:rPr>
        <w:t xml:space="preserve"> and of these 310 (38%) were identified as druggable, according to The Druggable Genome</w:t>
      </w:r>
      <w:r w:rsidRPr="006323BF">
        <w:rPr>
          <w:color w:val="000000" w:themeColor="text1"/>
          <w:sz w:val="22"/>
          <w:szCs w:val="22"/>
        </w:rPr>
        <w:fldChar w:fldCharType="begin"/>
      </w:r>
      <w:r w:rsidRPr="006323BF">
        <w:rPr>
          <w:color w:val="000000" w:themeColor="text1"/>
          <w:sz w:val="22"/>
          <w:szCs w:val="22"/>
        </w:rPr>
        <w:instrText xml:space="preserve"> ADDIN ZOTERO_ITEM CSL_CITATION {"citationID":"nQIgC9MA","properties":{"formattedCitation":"\\super 26\\nosupersub{}","plainCitation":"26","noteIndex":0},"citationItems":[{"id":2517,"uris":["http://zotero.org/users/14418362/items/2RAFLB25"],"itemData":{"id":2517,"type":"article-journal","abstract":"The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6323BF">
        <w:rPr>
          <w:color w:val="000000" w:themeColor="text1"/>
          <w:sz w:val="22"/>
          <w:szCs w:val="22"/>
        </w:rPr>
        <w:fldChar w:fldCharType="separate"/>
      </w:r>
      <w:r w:rsidRPr="006323BF">
        <w:rPr>
          <w:rFonts w:ascii="Aptos" w:cs="Times New Roman"/>
          <w:color w:val="000000"/>
          <w:sz w:val="22"/>
          <w:vertAlign w:val="superscript"/>
        </w:rPr>
        <w:t>26</w:t>
      </w:r>
      <w:r w:rsidRPr="006323BF">
        <w:rPr>
          <w:color w:val="000000" w:themeColor="text1"/>
          <w:sz w:val="22"/>
          <w:szCs w:val="22"/>
        </w:rPr>
        <w:fldChar w:fldCharType="end"/>
      </w:r>
      <w:r w:rsidRPr="006323BF">
        <w:rPr>
          <w:color w:val="000000" w:themeColor="text1"/>
          <w:sz w:val="22"/>
          <w:szCs w:val="22"/>
        </w:rPr>
        <w:t xml:space="preserve">. We performed Over Representation Analysis (ORA), on the prioritised gene set. </w:t>
      </w:r>
      <w:r w:rsidR="006323BF" w:rsidRPr="006323BF">
        <w:rPr>
          <w:color w:val="000000" w:themeColor="text1"/>
          <w:sz w:val="22"/>
          <w:szCs w:val="22"/>
        </w:rPr>
        <w:t>We grouped</w:t>
      </w:r>
      <w:r w:rsidRPr="006323BF">
        <w:rPr>
          <w:color w:val="000000" w:themeColor="text1"/>
          <w:sz w:val="22"/>
          <w:szCs w:val="22"/>
        </w:rPr>
        <w:t xml:space="preserve"> ORA results from the Gene Ontology database (encompassing all ontologies) first based on semantic similarity</w:t>
      </w:r>
      <w:r w:rsidR="006323BF" w:rsidRPr="006323BF">
        <w:rPr>
          <w:color w:val="000000" w:themeColor="text1"/>
          <w:sz w:val="22"/>
          <w:szCs w:val="22"/>
        </w:rPr>
        <w:t>,</w:t>
      </w:r>
      <w:r w:rsidRPr="006323BF">
        <w:rPr>
          <w:color w:val="000000" w:themeColor="text1"/>
          <w:sz w:val="22"/>
          <w:szCs w:val="22"/>
        </w:rPr>
        <w:t xml:space="preserve"> and then based on function </w:t>
      </w:r>
      <w:r w:rsidR="006323BF">
        <w:rPr>
          <w:color w:val="000000" w:themeColor="text1"/>
          <w:sz w:val="22"/>
          <w:szCs w:val="22"/>
        </w:rPr>
        <w:t>(</w:t>
      </w:r>
      <w:r w:rsidRPr="00004CBA">
        <w:rPr>
          <w:color w:val="000000" w:themeColor="text1"/>
          <w:sz w:val="22"/>
          <w:szCs w:val="22"/>
          <w:highlight w:val="magenta"/>
        </w:rPr>
        <w:t>Figure 1</w:t>
      </w:r>
      <w:r w:rsidR="00004CBA" w:rsidRPr="00004CBA">
        <w:rPr>
          <w:color w:val="000000" w:themeColor="text1"/>
          <w:sz w:val="22"/>
          <w:szCs w:val="22"/>
          <w:highlight w:val="magenta"/>
        </w:rPr>
        <w:t>C</w:t>
      </w:r>
      <w:r w:rsidR="006323BF">
        <w:rPr>
          <w:color w:val="000000" w:themeColor="text1"/>
          <w:sz w:val="22"/>
          <w:szCs w:val="22"/>
        </w:rPr>
        <w:t>)</w:t>
      </w:r>
      <w:r w:rsidRPr="006323BF">
        <w:rPr>
          <w:color w:val="000000" w:themeColor="text1"/>
          <w:sz w:val="22"/>
          <w:szCs w:val="22"/>
        </w:rPr>
        <w:fldChar w:fldCharType="begin"/>
      </w:r>
      <w:r w:rsidRPr="006323BF">
        <w:rPr>
          <w:color w:val="000000" w:themeColor="text1"/>
          <w:sz w:val="22"/>
          <w:szCs w:val="22"/>
        </w:rPr>
        <w:instrText xml:space="preserve"> ADDIN ZOTERO_ITEM CSL_CITATION {"citationID":"oB67OISS","properties":{"formattedCitation":"\\super 43\\nosupersub{}","plainCitation":"43","noteIndex":0},"citationItems":[{"id":2436,"uris":["http://zotero.org/users/14418362/items/M6WCLZNJ"],"itemData":{"id":2436,"type":"article-journal","container-title":"The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6323BF">
        <w:rPr>
          <w:color w:val="000000" w:themeColor="text1"/>
          <w:sz w:val="22"/>
          <w:szCs w:val="22"/>
        </w:rPr>
        <w:fldChar w:fldCharType="separate"/>
      </w:r>
      <w:r w:rsidRPr="006323BF">
        <w:rPr>
          <w:rFonts w:ascii="Aptos" w:cs="Times New Roman"/>
          <w:color w:val="000000"/>
          <w:sz w:val="22"/>
          <w:vertAlign w:val="superscript"/>
        </w:rPr>
        <w:t>43</w:t>
      </w:r>
      <w:r w:rsidRPr="006323BF">
        <w:rPr>
          <w:color w:val="000000" w:themeColor="text1"/>
          <w:sz w:val="22"/>
          <w:szCs w:val="22"/>
        </w:rPr>
        <w:fldChar w:fldCharType="end"/>
      </w:r>
      <w:r w:rsidRPr="006323BF">
        <w:rPr>
          <w:color w:val="000000" w:themeColor="text1"/>
          <w:sz w:val="22"/>
          <w:szCs w:val="22"/>
        </w:rPr>
        <w:t xml:space="preserve">. Our analysis reveals an over-representation of immune system processes associated with lymphoid-mediated immunity, particularly regulation of T cell activation. This is further supported by ORA using the KEGG and </w:t>
      </w:r>
      <w:proofErr w:type="spellStart"/>
      <w:r w:rsidRPr="006323BF">
        <w:rPr>
          <w:color w:val="000000" w:themeColor="text1"/>
          <w:sz w:val="22"/>
          <w:szCs w:val="22"/>
        </w:rPr>
        <w:t>Reactome</w:t>
      </w:r>
      <w:proofErr w:type="spellEnd"/>
      <w:r w:rsidRPr="006323BF">
        <w:rPr>
          <w:color w:val="000000" w:themeColor="text1"/>
          <w:sz w:val="22"/>
          <w:szCs w:val="22"/>
        </w:rPr>
        <w:t xml:space="preserve"> databases </w:t>
      </w:r>
      <w:r w:rsidR="006323BF">
        <w:rPr>
          <w:color w:val="000000" w:themeColor="text1"/>
          <w:sz w:val="22"/>
          <w:szCs w:val="22"/>
        </w:rPr>
        <w:t>(</w:t>
      </w:r>
      <w:r w:rsidRPr="00996442">
        <w:rPr>
          <w:color w:val="000000" w:themeColor="text1"/>
          <w:sz w:val="22"/>
          <w:szCs w:val="22"/>
          <w:highlight w:val="green"/>
        </w:rPr>
        <w:t xml:space="preserve">Supplementary </w:t>
      </w:r>
      <w:r w:rsidR="002F7479">
        <w:rPr>
          <w:color w:val="000000" w:themeColor="text1"/>
          <w:sz w:val="22"/>
          <w:szCs w:val="22"/>
        </w:rPr>
        <w:t>Materials</w:t>
      </w:r>
      <w:r w:rsidR="006323BF">
        <w:rPr>
          <w:color w:val="000000" w:themeColor="text1"/>
          <w:sz w:val="22"/>
          <w:szCs w:val="22"/>
        </w:rPr>
        <w:t>)</w:t>
      </w:r>
      <w:r w:rsidRPr="006323BF">
        <w:rPr>
          <w:color w:val="000000" w:themeColor="text1"/>
          <w:sz w:val="22"/>
          <w:szCs w:val="22"/>
        </w:rPr>
        <w:t>.</w:t>
      </w:r>
    </w:p>
    <w:p w14:paraId="542FFDD7" w14:textId="77777777" w:rsidR="005B6EE6" w:rsidRDefault="005B6EE6" w:rsidP="00172688">
      <w:pPr>
        <w:spacing w:line="480" w:lineRule="auto"/>
        <w:jc w:val="both"/>
        <w:rPr>
          <w:i/>
          <w:iCs/>
          <w:color w:val="000000" w:themeColor="text1"/>
          <w:sz w:val="22"/>
          <w:szCs w:val="22"/>
        </w:rPr>
      </w:pPr>
    </w:p>
    <w:p w14:paraId="1B15CFC5" w14:textId="6BC73458" w:rsidR="00CA6CE5" w:rsidRPr="006323BF" w:rsidRDefault="006323BF" w:rsidP="00172688">
      <w:pPr>
        <w:spacing w:line="480" w:lineRule="auto"/>
        <w:jc w:val="both"/>
        <w:rPr>
          <w:i/>
          <w:iCs/>
          <w:color w:val="000000" w:themeColor="text1"/>
          <w:sz w:val="22"/>
          <w:szCs w:val="22"/>
        </w:rPr>
      </w:pPr>
      <w:r w:rsidRPr="006323BF">
        <w:rPr>
          <w:i/>
          <w:iCs/>
          <w:color w:val="000000" w:themeColor="text1"/>
          <w:sz w:val="22"/>
          <w:szCs w:val="22"/>
        </w:rPr>
        <w:t xml:space="preserve">Protein </w:t>
      </w:r>
      <w:proofErr w:type="spellStart"/>
      <w:r w:rsidRPr="006323BF">
        <w:rPr>
          <w:i/>
          <w:iCs/>
          <w:color w:val="000000" w:themeColor="text1"/>
          <w:sz w:val="22"/>
          <w:szCs w:val="22"/>
        </w:rPr>
        <w:t>protein</w:t>
      </w:r>
      <w:proofErr w:type="spellEnd"/>
      <w:r w:rsidRPr="006323BF">
        <w:rPr>
          <w:i/>
          <w:iCs/>
          <w:color w:val="000000" w:themeColor="text1"/>
          <w:sz w:val="22"/>
          <w:szCs w:val="22"/>
        </w:rPr>
        <w:t xml:space="preserve"> Interaction network</w:t>
      </w:r>
    </w:p>
    <w:p w14:paraId="747D866D" w14:textId="6D2E61F0" w:rsidR="00502716" w:rsidRPr="006323BF" w:rsidRDefault="005D240B" w:rsidP="00172688">
      <w:pPr>
        <w:spacing w:line="480" w:lineRule="auto"/>
        <w:jc w:val="both"/>
        <w:rPr>
          <w:rFonts w:cs="Helvetica"/>
          <w:color w:val="000000" w:themeColor="text1"/>
          <w:sz w:val="22"/>
          <w:szCs w:val="22"/>
        </w:rPr>
      </w:pPr>
      <w:r w:rsidRPr="006323BF">
        <w:rPr>
          <w:color w:val="000000" w:themeColor="text1"/>
          <w:sz w:val="22"/>
          <w:szCs w:val="22"/>
        </w:rPr>
        <w:t xml:space="preserve">We created a protein-protein interaction (PPI) network using the prioritised </w:t>
      </w:r>
      <w:r w:rsidR="005036A4" w:rsidRPr="006323BF">
        <w:rPr>
          <w:color w:val="000000" w:themeColor="text1"/>
          <w:sz w:val="22"/>
          <w:szCs w:val="22"/>
        </w:rPr>
        <w:t xml:space="preserve">gene </w:t>
      </w:r>
      <w:r w:rsidRPr="006323BF">
        <w:rPr>
          <w:color w:val="000000" w:themeColor="text1"/>
          <w:sz w:val="22"/>
          <w:szCs w:val="22"/>
        </w:rPr>
        <w:t xml:space="preserve">set. </w:t>
      </w:r>
      <w:r w:rsidR="005036A4" w:rsidRPr="006323BF">
        <w:rPr>
          <w:color w:val="000000" w:themeColor="text1"/>
          <w:sz w:val="22"/>
          <w:szCs w:val="22"/>
        </w:rPr>
        <w:t xml:space="preserve">Clustering of this network using the Markov Cluster Algorithm (MCL) </w:t>
      </w:r>
      <w:r w:rsidRPr="006323BF">
        <w:rPr>
          <w:rFonts w:cs="Helvetica"/>
          <w:color w:val="000000" w:themeColor="text1"/>
          <w:sz w:val="22"/>
          <w:szCs w:val="22"/>
        </w:rPr>
        <w:t xml:space="preserve">identified 25 clusters with &gt;=5 members. The 7 largest clusters contained &gt;=10 members </w:t>
      </w:r>
      <w:r w:rsidR="006323BF">
        <w:rPr>
          <w:rFonts w:cs="Helvetica"/>
          <w:color w:val="000000" w:themeColor="text1"/>
          <w:sz w:val="22"/>
          <w:szCs w:val="22"/>
        </w:rPr>
        <w:t>(</w:t>
      </w:r>
      <w:r w:rsidRPr="00996442">
        <w:rPr>
          <w:rFonts w:cs="Helvetica"/>
          <w:color w:val="000000" w:themeColor="text1"/>
          <w:sz w:val="22"/>
          <w:szCs w:val="22"/>
          <w:highlight w:val="green"/>
        </w:rPr>
        <w:t>Supplementary Figure</w:t>
      </w:r>
      <w:r w:rsidR="00BC754F" w:rsidRPr="00996442">
        <w:rPr>
          <w:rFonts w:cs="Helvetica"/>
          <w:color w:val="000000" w:themeColor="text1"/>
          <w:sz w:val="22"/>
          <w:szCs w:val="22"/>
          <w:highlight w:val="green"/>
        </w:rPr>
        <w:t>s</w:t>
      </w:r>
      <w:r w:rsidR="00F93FEA" w:rsidRPr="00996442">
        <w:rPr>
          <w:rFonts w:cs="Helvetica"/>
          <w:color w:val="000000" w:themeColor="text1"/>
          <w:sz w:val="22"/>
          <w:szCs w:val="22"/>
          <w:highlight w:val="green"/>
        </w:rPr>
        <w:t xml:space="preserve"> </w:t>
      </w:r>
      <w:r w:rsidR="00690E36" w:rsidRPr="00996442">
        <w:rPr>
          <w:rFonts w:cs="Helvetica"/>
          <w:color w:val="000000" w:themeColor="text1"/>
          <w:sz w:val="22"/>
          <w:szCs w:val="22"/>
          <w:highlight w:val="green"/>
        </w:rPr>
        <w:t>4</w:t>
      </w:r>
      <w:r w:rsidRPr="00996442">
        <w:rPr>
          <w:rFonts w:cs="Helvetica"/>
          <w:color w:val="000000" w:themeColor="text1"/>
          <w:sz w:val="22"/>
          <w:szCs w:val="22"/>
          <w:highlight w:val="green"/>
        </w:rPr>
        <w:t xml:space="preserve"> </w:t>
      </w:r>
      <w:r w:rsidR="003C5E54" w:rsidRPr="00996442">
        <w:rPr>
          <w:rFonts w:cs="Helvetica"/>
          <w:color w:val="000000" w:themeColor="text1"/>
          <w:sz w:val="22"/>
          <w:szCs w:val="22"/>
          <w:highlight w:val="green"/>
        </w:rPr>
        <w:t>A</w:t>
      </w:r>
      <w:r w:rsidR="00BC754F" w:rsidRPr="00996442">
        <w:rPr>
          <w:rFonts w:cs="Helvetica"/>
          <w:color w:val="000000" w:themeColor="text1"/>
          <w:sz w:val="22"/>
          <w:szCs w:val="22"/>
          <w:highlight w:val="green"/>
        </w:rPr>
        <w:t>-E</w:t>
      </w:r>
      <w:r w:rsidR="003C5E54" w:rsidRPr="00996442">
        <w:rPr>
          <w:rFonts w:cs="Helvetica"/>
          <w:color w:val="000000" w:themeColor="text1"/>
          <w:sz w:val="22"/>
          <w:szCs w:val="22"/>
          <w:highlight w:val="green"/>
        </w:rPr>
        <w:t xml:space="preserve"> </w:t>
      </w:r>
      <w:r w:rsidRPr="00996442">
        <w:rPr>
          <w:rFonts w:cs="Helvetica"/>
          <w:color w:val="000000" w:themeColor="text1"/>
          <w:sz w:val="22"/>
          <w:szCs w:val="22"/>
          <w:highlight w:val="green"/>
        </w:rPr>
        <w:t>show the top 5 clusters</w:t>
      </w:r>
      <w:r w:rsidR="006323BF">
        <w:rPr>
          <w:rFonts w:cs="Helvetica"/>
          <w:color w:val="000000" w:themeColor="text1"/>
          <w:sz w:val="22"/>
          <w:szCs w:val="22"/>
        </w:rPr>
        <w:t>)</w:t>
      </w:r>
      <w:r w:rsidRPr="006323BF">
        <w:rPr>
          <w:rFonts w:cs="Helvetica"/>
          <w:color w:val="000000" w:themeColor="text1"/>
          <w:sz w:val="22"/>
          <w:szCs w:val="22"/>
        </w:rPr>
        <w:t xml:space="preserve">. </w:t>
      </w:r>
      <w:r w:rsidR="001D6A71" w:rsidRPr="006323BF">
        <w:rPr>
          <w:color w:val="000000" w:themeColor="text1"/>
          <w:sz w:val="22"/>
          <w:szCs w:val="22"/>
        </w:rPr>
        <w:t xml:space="preserve">Using previously reported methods (Millar et al., 2024), we identified 32 hub </w:t>
      </w:r>
      <w:r w:rsidR="005036A4" w:rsidRPr="006323BF">
        <w:rPr>
          <w:color w:val="000000" w:themeColor="text1"/>
          <w:sz w:val="22"/>
          <w:szCs w:val="22"/>
        </w:rPr>
        <w:t>proteins</w:t>
      </w:r>
      <w:r w:rsidR="001D6A71" w:rsidRPr="006323BF">
        <w:rPr>
          <w:color w:val="000000" w:themeColor="text1"/>
          <w:sz w:val="22"/>
          <w:szCs w:val="22"/>
        </w:rPr>
        <w:t xml:space="preserve"> </w:t>
      </w:r>
      <w:r w:rsidR="005036A4" w:rsidRPr="006323BF">
        <w:rPr>
          <w:color w:val="000000" w:themeColor="text1"/>
          <w:sz w:val="22"/>
          <w:szCs w:val="22"/>
        </w:rPr>
        <w:t>likely</w:t>
      </w:r>
      <w:r w:rsidR="001D6A71" w:rsidRPr="006323BF">
        <w:rPr>
          <w:color w:val="000000" w:themeColor="text1"/>
          <w:sz w:val="22"/>
          <w:szCs w:val="22"/>
        </w:rPr>
        <w:t xml:space="preserve"> to play central roles in the broader</w:t>
      </w:r>
      <w:r w:rsidR="005036A4" w:rsidRPr="006323BF">
        <w:rPr>
          <w:color w:val="000000" w:themeColor="text1"/>
          <w:sz w:val="22"/>
          <w:szCs w:val="22"/>
        </w:rPr>
        <w:t xml:space="preserve"> PPI n</w:t>
      </w:r>
      <w:r w:rsidR="001D6A71" w:rsidRPr="006323BF">
        <w:rPr>
          <w:color w:val="000000" w:themeColor="text1"/>
          <w:sz w:val="22"/>
          <w:szCs w:val="22"/>
        </w:rPr>
        <w:t xml:space="preserve">etwork </w:t>
      </w:r>
      <w:r w:rsidR="006323BF">
        <w:rPr>
          <w:color w:val="000000" w:themeColor="text1"/>
          <w:sz w:val="22"/>
          <w:szCs w:val="22"/>
        </w:rPr>
        <w:t>(</w:t>
      </w:r>
      <w:r w:rsidR="00690E36" w:rsidRPr="00996442">
        <w:rPr>
          <w:rFonts w:cs="Helvetica"/>
          <w:color w:val="000000" w:themeColor="text1"/>
          <w:sz w:val="22"/>
          <w:szCs w:val="22"/>
          <w:highlight w:val="green"/>
        </w:rPr>
        <w:t>Supplementary Figure 4</w:t>
      </w:r>
      <w:r w:rsidR="003C5E54" w:rsidRPr="00996442">
        <w:rPr>
          <w:rFonts w:cs="Helvetica"/>
          <w:color w:val="000000" w:themeColor="text1"/>
          <w:sz w:val="22"/>
          <w:szCs w:val="22"/>
          <w:highlight w:val="green"/>
        </w:rPr>
        <w:t xml:space="preserve"> </w:t>
      </w:r>
      <w:r w:rsidR="00BC754F" w:rsidRPr="00996442">
        <w:rPr>
          <w:rFonts w:cs="Helvetica"/>
          <w:color w:val="000000" w:themeColor="text1"/>
          <w:sz w:val="22"/>
          <w:szCs w:val="22"/>
          <w:highlight w:val="green"/>
        </w:rPr>
        <w:t>F</w:t>
      </w:r>
      <w:r w:rsidR="006323BF">
        <w:rPr>
          <w:color w:val="000000" w:themeColor="text1"/>
          <w:sz w:val="22"/>
          <w:szCs w:val="22"/>
        </w:rPr>
        <w:t>)</w:t>
      </w:r>
      <w:r w:rsidR="001D6A71" w:rsidRPr="006323BF">
        <w:rPr>
          <w:color w:val="000000" w:themeColor="text1"/>
          <w:sz w:val="22"/>
          <w:szCs w:val="22"/>
        </w:rPr>
        <w:t xml:space="preserve">. </w:t>
      </w:r>
      <w:r w:rsidR="005036A4" w:rsidRPr="006323BF">
        <w:rPr>
          <w:color w:val="000000" w:themeColor="text1"/>
          <w:sz w:val="22"/>
          <w:szCs w:val="22"/>
        </w:rPr>
        <w:t>MCL clustering</w:t>
      </w:r>
      <w:r w:rsidR="004F6F62" w:rsidRPr="006323BF">
        <w:rPr>
          <w:color w:val="000000" w:themeColor="text1"/>
          <w:sz w:val="22"/>
          <w:szCs w:val="22"/>
        </w:rPr>
        <w:t xml:space="preserve"> </w:t>
      </w:r>
      <w:r w:rsidR="005036A4" w:rsidRPr="006323BF">
        <w:rPr>
          <w:color w:val="000000" w:themeColor="text1"/>
          <w:sz w:val="22"/>
          <w:szCs w:val="22"/>
        </w:rPr>
        <w:t xml:space="preserve">of this hub </w:t>
      </w:r>
      <w:r w:rsidR="001D6A71" w:rsidRPr="006323BF">
        <w:rPr>
          <w:color w:val="000000" w:themeColor="text1"/>
          <w:sz w:val="22"/>
          <w:szCs w:val="22"/>
        </w:rPr>
        <w:t>revealed three major clusters related to lymphocyte</w:t>
      </w:r>
      <w:r w:rsidR="00294D94" w:rsidRPr="006323BF">
        <w:rPr>
          <w:color w:val="000000" w:themeColor="text1"/>
          <w:sz w:val="22"/>
          <w:szCs w:val="22"/>
        </w:rPr>
        <w:t xml:space="preserve"> function</w:t>
      </w:r>
      <w:r w:rsidR="001D6A71" w:rsidRPr="006323BF">
        <w:rPr>
          <w:color w:val="000000" w:themeColor="text1"/>
          <w:sz w:val="22"/>
          <w:szCs w:val="22"/>
        </w:rPr>
        <w:t>, corresponding to activation (red, blue), receptor</w:t>
      </w:r>
      <w:r w:rsidR="00294D94" w:rsidRPr="006323BF">
        <w:rPr>
          <w:color w:val="000000" w:themeColor="text1"/>
          <w:sz w:val="22"/>
          <w:szCs w:val="22"/>
        </w:rPr>
        <w:t xml:space="preserve"> regulation</w:t>
      </w:r>
      <w:r w:rsidR="001D6A71" w:rsidRPr="006323BF">
        <w:rPr>
          <w:color w:val="000000" w:themeColor="text1"/>
          <w:sz w:val="22"/>
          <w:szCs w:val="22"/>
        </w:rPr>
        <w:t xml:space="preserve"> (blue), and immunoglobulins (green) (</w:t>
      </w:r>
      <w:r w:rsidR="001D6A71" w:rsidRPr="00996442">
        <w:rPr>
          <w:color w:val="000000" w:themeColor="text1"/>
          <w:sz w:val="22"/>
          <w:szCs w:val="22"/>
          <w:highlight w:val="magenta"/>
        </w:rPr>
        <w:t>Figure 1</w:t>
      </w:r>
      <w:r w:rsidR="00690E36" w:rsidRPr="00996442">
        <w:rPr>
          <w:color w:val="000000" w:themeColor="text1"/>
          <w:sz w:val="22"/>
          <w:szCs w:val="22"/>
          <w:highlight w:val="magenta"/>
        </w:rPr>
        <w:t>E</w:t>
      </w:r>
      <w:r w:rsidR="001D6A71" w:rsidRPr="006323BF">
        <w:rPr>
          <w:color w:val="000000" w:themeColor="text1"/>
          <w:sz w:val="22"/>
          <w:szCs w:val="22"/>
        </w:rPr>
        <w:t>).</w:t>
      </w:r>
      <w:r w:rsidR="00294D94" w:rsidRPr="006323BF">
        <w:rPr>
          <w:color w:val="000000" w:themeColor="text1"/>
          <w:sz w:val="22"/>
          <w:szCs w:val="22"/>
        </w:rPr>
        <w:t xml:space="preserve"> Overall, our analysis identified a robust lymphoid cell signature across a diverse range of genome-scale studies of BPD.</w:t>
      </w:r>
    </w:p>
    <w:p w14:paraId="5D3BA60F" w14:textId="77777777" w:rsidR="005B6EE6" w:rsidRDefault="005B6EE6" w:rsidP="00172688">
      <w:pPr>
        <w:spacing w:line="480" w:lineRule="auto"/>
        <w:jc w:val="both"/>
        <w:rPr>
          <w:i/>
          <w:iCs/>
          <w:color w:val="000000" w:themeColor="text1"/>
          <w:sz w:val="22"/>
          <w:szCs w:val="22"/>
        </w:rPr>
      </w:pPr>
    </w:p>
    <w:p w14:paraId="5473D510" w14:textId="03A7F3AB" w:rsidR="00502716" w:rsidRPr="006323BF" w:rsidRDefault="00502716" w:rsidP="00172688">
      <w:pPr>
        <w:spacing w:line="480" w:lineRule="auto"/>
        <w:jc w:val="both"/>
        <w:rPr>
          <w:i/>
          <w:iCs/>
          <w:color w:val="000000" w:themeColor="text1"/>
          <w:sz w:val="22"/>
          <w:szCs w:val="22"/>
        </w:rPr>
      </w:pPr>
      <w:r w:rsidRPr="006323BF">
        <w:rPr>
          <w:i/>
          <w:iCs/>
          <w:color w:val="000000" w:themeColor="text1"/>
          <w:sz w:val="22"/>
          <w:szCs w:val="22"/>
        </w:rPr>
        <w:t>Comparative analysis with ARDS dataset</w:t>
      </w:r>
    </w:p>
    <w:p w14:paraId="15EDB832" w14:textId="5ADEDD09" w:rsidR="007C3ADC" w:rsidRPr="006323BF" w:rsidRDefault="005D240B" w:rsidP="00172688">
      <w:pPr>
        <w:spacing w:line="480" w:lineRule="auto"/>
        <w:jc w:val="both"/>
        <w:rPr>
          <w:color w:val="000000" w:themeColor="text1"/>
          <w:sz w:val="22"/>
          <w:szCs w:val="22"/>
        </w:rPr>
      </w:pPr>
      <w:r w:rsidRPr="006323BF">
        <w:rPr>
          <w:color w:val="000000" w:themeColor="text1"/>
          <w:sz w:val="22"/>
          <w:szCs w:val="22"/>
        </w:rPr>
        <w:t xml:space="preserve">Acute lung injury caused or worsened by mechanical ventilation during treatment is a feature of BPD in neonates and </w:t>
      </w:r>
      <w:proofErr w:type="gramStart"/>
      <w:r w:rsidRPr="006323BF">
        <w:rPr>
          <w:color w:val="000000" w:themeColor="text1"/>
          <w:sz w:val="22"/>
          <w:szCs w:val="22"/>
        </w:rPr>
        <w:t>Acute Respiratory Distress Syndrome</w:t>
      </w:r>
      <w:proofErr w:type="gramEnd"/>
      <w:r w:rsidRPr="006323BF">
        <w:rPr>
          <w:color w:val="000000" w:themeColor="text1"/>
          <w:sz w:val="22"/>
          <w:szCs w:val="22"/>
        </w:rPr>
        <w:t xml:space="preserve"> (ARDS) in adults (paediatric ARDS in children). We </w:t>
      </w:r>
      <w:r w:rsidR="00955096" w:rsidRPr="006323BF">
        <w:rPr>
          <w:color w:val="000000" w:themeColor="text1"/>
          <w:sz w:val="22"/>
          <w:szCs w:val="22"/>
        </w:rPr>
        <w:t>wished</w:t>
      </w:r>
      <w:r w:rsidRPr="006323BF">
        <w:rPr>
          <w:color w:val="000000" w:themeColor="text1"/>
          <w:sz w:val="22"/>
          <w:szCs w:val="22"/>
        </w:rPr>
        <w:t xml:space="preserve"> to </w:t>
      </w:r>
      <w:r w:rsidR="00955096" w:rsidRPr="006323BF">
        <w:rPr>
          <w:color w:val="000000" w:themeColor="text1"/>
          <w:sz w:val="22"/>
          <w:szCs w:val="22"/>
        </w:rPr>
        <w:t xml:space="preserve">characterise, </w:t>
      </w:r>
      <w:r w:rsidRPr="006323BF">
        <w:rPr>
          <w:color w:val="000000" w:themeColor="text1"/>
          <w:sz w:val="22"/>
          <w:szCs w:val="22"/>
        </w:rPr>
        <w:t xml:space="preserve">firstly, the </w:t>
      </w:r>
      <w:r w:rsidR="00955096" w:rsidRPr="006323BF">
        <w:rPr>
          <w:color w:val="000000" w:themeColor="text1"/>
          <w:sz w:val="22"/>
          <w:szCs w:val="22"/>
        </w:rPr>
        <w:t>shared of</w:t>
      </w:r>
      <w:r w:rsidRPr="006323BF">
        <w:rPr>
          <w:color w:val="000000" w:themeColor="text1"/>
          <w:sz w:val="22"/>
          <w:szCs w:val="22"/>
        </w:rPr>
        <w:t xml:space="preserve"> effects mechanical ventilation may </w:t>
      </w:r>
      <w:r w:rsidRPr="006323BF">
        <w:rPr>
          <w:color w:val="000000" w:themeColor="text1"/>
          <w:sz w:val="22"/>
          <w:szCs w:val="22"/>
        </w:rPr>
        <w:lastRenderedPageBreak/>
        <w:t xml:space="preserve">have on the developed </w:t>
      </w:r>
      <w:r w:rsidR="00955096" w:rsidRPr="006323BF">
        <w:rPr>
          <w:color w:val="000000" w:themeColor="text1"/>
          <w:sz w:val="22"/>
          <w:szCs w:val="22"/>
        </w:rPr>
        <w:t>and</w:t>
      </w:r>
      <w:r w:rsidRPr="006323BF">
        <w:rPr>
          <w:color w:val="000000" w:themeColor="text1"/>
          <w:sz w:val="22"/>
          <w:szCs w:val="22"/>
        </w:rPr>
        <w:t xml:space="preserve"> the developing lung, and to understand </w:t>
      </w:r>
      <w:r w:rsidR="00955096" w:rsidRPr="006323BF">
        <w:rPr>
          <w:color w:val="000000" w:themeColor="text1"/>
          <w:sz w:val="22"/>
          <w:szCs w:val="22"/>
        </w:rPr>
        <w:t>distinct</w:t>
      </w:r>
      <w:r w:rsidRPr="006323BF">
        <w:rPr>
          <w:color w:val="000000" w:themeColor="text1"/>
          <w:sz w:val="22"/>
          <w:szCs w:val="22"/>
        </w:rPr>
        <w:t xml:space="preserve"> factors that may underlie </w:t>
      </w:r>
      <w:r w:rsidR="00955096" w:rsidRPr="006323BF">
        <w:rPr>
          <w:color w:val="000000" w:themeColor="text1"/>
          <w:sz w:val="22"/>
          <w:szCs w:val="22"/>
        </w:rPr>
        <w:t>each</w:t>
      </w:r>
      <w:r w:rsidRPr="006323BF">
        <w:rPr>
          <w:color w:val="000000" w:themeColor="text1"/>
          <w:sz w:val="22"/>
          <w:szCs w:val="22"/>
        </w:rPr>
        <w:t xml:space="preserve"> syndrome. </w:t>
      </w:r>
      <w:r w:rsidR="00955096" w:rsidRPr="006323BF">
        <w:rPr>
          <w:color w:val="000000" w:themeColor="text1"/>
          <w:sz w:val="22"/>
          <w:szCs w:val="22"/>
        </w:rPr>
        <w:t>We</w:t>
      </w:r>
      <w:r w:rsidRPr="006323BF">
        <w:rPr>
          <w:color w:val="000000" w:themeColor="text1"/>
          <w:sz w:val="22"/>
          <w:szCs w:val="22"/>
        </w:rPr>
        <w:t xml:space="preserve"> evaluated the human BPD MAIC dataset against our previously generated ARDS MAIC analysis</w:t>
      </w:r>
      <w:r w:rsidR="00056E98" w:rsidRPr="006323BF">
        <w:rPr>
          <w:color w:val="000000" w:themeColor="text1"/>
          <w:sz w:val="22"/>
          <w:szCs w:val="22"/>
        </w:rPr>
        <w:t xml:space="preserve"> </w:t>
      </w:r>
      <w:r w:rsidRPr="006323BF">
        <w:rPr>
          <w:color w:val="000000" w:themeColor="text1"/>
          <w:sz w:val="22"/>
          <w:szCs w:val="22"/>
        </w:rPr>
        <w:fldChar w:fldCharType="begin"/>
      </w:r>
      <w:r w:rsidR="00246187" w:rsidRPr="006323BF">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6323BF">
        <w:rPr>
          <w:color w:val="000000" w:themeColor="text1"/>
          <w:sz w:val="22"/>
          <w:szCs w:val="22"/>
        </w:rPr>
        <w:fldChar w:fldCharType="separate"/>
      </w:r>
      <w:r w:rsidR="00246187" w:rsidRPr="006323BF">
        <w:rPr>
          <w:rFonts w:ascii="Aptos" w:cs="Times New Roman"/>
          <w:color w:val="000000" w:themeColor="text1"/>
          <w:sz w:val="22"/>
          <w:vertAlign w:val="superscript"/>
        </w:rPr>
        <w:t>22</w:t>
      </w:r>
      <w:r w:rsidRPr="006323BF">
        <w:rPr>
          <w:color w:val="000000" w:themeColor="text1"/>
          <w:sz w:val="22"/>
          <w:szCs w:val="22"/>
        </w:rPr>
        <w:fldChar w:fldCharType="end"/>
      </w:r>
      <w:r w:rsidR="00056E98" w:rsidRPr="006323BF">
        <w:rPr>
          <w:color w:val="000000" w:themeColor="text1"/>
          <w:sz w:val="22"/>
          <w:szCs w:val="22"/>
        </w:rPr>
        <w:t>.</w:t>
      </w:r>
    </w:p>
    <w:p w14:paraId="5C5DFECB" w14:textId="21EB10B0" w:rsidR="005D240B" w:rsidRPr="006323BF" w:rsidRDefault="006323BF" w:rsidP="00172688">
      <w:pPr>
        <w:spacing w:line="480" w:lineRule="auto"/>
        <w:jc w:val="both"/>
        <w:rPr>
          <w:color w:val="000000" w:themeColor="text1"/>
          <w:sz w:val="22"/>
          <w:szCs w:val="22"/>
        </w:rPr>
      </w:pPr>
      <w:r w:rsidRPr="006323BF">
        <w:rPr>
          <w:color w:val="000000" w:themeColor="text1"/>
          <w:sz w:val="22"/>
          <w:szCs w:val="22"/>
        </w:rPr>
        <w:t>Focusing</w:t>
      </w:r>
      <w:r w:rsidR="005D240B" w:rsidRPr="006323BF">
        <w:rPr>
          <w:color w:val="000000" w:themeColor="text1"/>
          <w:sz w:val="22"/>
          <w:szCs w:val="22"/>
        </w:rPr>
        <w:t xml:space="preserve"> on the prioritised genes from both datasets</w:t>
      </w:r>
      <w:r w:rsidRPr="006323BF">
        <w:rPr>
          <w:color w:val="000000" w:themeColor="text1"/>
          <w:sz w:val="22"/>
          <w:szCs w:val="22"/>
        </w:rPr>
        <w:t>, ORA</w:t>
      </w:r>
      <w:r w:rsidR="005D240B" w:rsidRPr="006323BF">
        <w:rPr>
          <w:color w:val="000000" w:themeColor="text1"/>
          <w:sz w:val="22"/>
          <w:szCs w:val="22"/>
        </w:rPr>
        <w:t xml:space="preserve"> highlighted shared pathology relating to regulation </w:t>
      </w:r>
      <w:r w:rsidR="005D240B" w:rsidRPr="006323BF">
        <w:rPr>
          <w:rFonts w:ascii="Aptos" w:hAnsi="Aptos"/>
          <w:color w:val="000000" w:themeColor="text1"/>
          <w:sz w:val="22"/>
          <w:szCs w:val="22"/>
        </w:rPr>
        <w:t>of T cell activation</w:t>
      </w:r>
      <w:r w:rsidRPr="006323BF">
        <w:rPr>
          <w:rFonts w:ascii="Aptos" w:hAnsi="Aptos"/>
          <w:color w:val="000000" w:themeColor="text1"/>
          <w:sz w:val="22"/>
          <w:szCs w:val="22"/>
        </w:rPr>
        <w:t xml:space="preserve"> and humoral immunity, alongside leukocyte cell activation</w:t>
      </w:r>
      <w:r w:rsidR="005D240B" w:rsidRPr="006323BF">
        <w:rPr>
          <w:rFonts w:ascii="Aptos" w:hAnsi="Aptos"/>
          <w:color w:val="000000" w:themeColor="text1"/>
          <w:sz w:val="22"/>
          <w:szCs w:val="22"/>
        </w:rPr>
        <w:t xml:space="preserve"> </w:t>
      </w:r>
      <w:r>
        <w:rPr>
          <w:rFonts w:ascii="Aptos" w:hAnsi="Aptos"/>
          <w:color w:val="000000" w:themeColor="text1"/>
          <w:sz w:val="22"/>
          <w:szCs w:val="22"/>
        </w:rPr>
        <w:t>(</w:t>
      </w:r>
      <w:r w:rsidR="005D240B" w:rsidRPr="005B6EE6">
        <w:rPr>
          <w:rFonts w:ascii="Aptos" w:hAnsi="Aptos"/>
          <w:color w:val="000000" w:themeColor="text1"/>
          <w:sz w:val="22"/>
          <w:szCs w:val="22"/>
          <w:highlight w:val="magenta"/>
        </w:rPr>
        <w:t>Figure</w:t>
      </w:r>
      <w:r w:rsidR="005B6EE6" w:rsidRPr="005B6EE6">
        <w:rPr>
          <w:rFonts w:ascii="Aptos" w:hAnsi="Aptos"/>
          <w:color w:val="000000" w:themeColor="text1"/>
          <w:sz w:val="22"/>
          <w:szCs w:val="22"/>
          <w:highlight w:val="magenta"/>
        </w:rPr>
        <w:t xml:space="preserve"> </w:t>
      </w:r>
      <w:r w:rsidR="005D240B" w:rsidRPr="005B6EE6">
        <w:rPr>
          <w:rFonts w:ascii="Aptos" w:hAnsi="Aptos"/>
          <w:color w:val="000000" w:themeColor="text1"/>
          <w:sz w:val="22"/>
          <w:szCs w:val="22"/>
          <w:highlight w:val="magenta"/>
        </w:rPr>
        <w:t>2A</w:t>
      </w:r>
      <w:r>
        <w:rPr>
          <w:rFonts w:ascii="Aptos" w:hAnsi="Aptos"/>
          <w:color w:val="000000" w:themeColor="text1"/>
          <w:sz w:val="22"/>
          <w:szCs w:val="22"/>
        </w:rPr>
        <w:t>)</w:t>
      </w:r>
      <w:r w:rsidR="005D240B" w:rsidRPr="006323BF">
        <w:rPr>
          <w:rFonts w:ascii="Aptos" w:hAnsi="Aptos"/>
          <w:color w:val="000000" w:themeColor="text1"/>
          <w:sz w:val="22"/>
          <w:szCs w:val="22"/>
        </w:rPr>
        <w:t xml:space="preserve">. </w:t>
      </w:r>
      <w:commentRangeStart w:id="1"/>
      <w:r w:rsidR="005D240B" w:rsidRPr="006323BF">
        <w:rPr>
          <w:rFonts w:ascii="Aptos" w:hAnsi="Aptos"/>
          <w:color w:val="000000" w:themeColor="text1"/>
          <w:sz w:val="22"/>
          <w:szCs w:val="22"/>
        </w:rPr>
        <w:t>While</w:t>
      </w:r>
      <w:r w:rsidR="00F93FEA" w:rsidRPr="006323BF">
        <w:rPr>
          <w:rFonts w:ascii="Aptos" w:hAnsi="Aptos"/>
          <w:color w:val="000000" w:themeColor="text1"/>
          <w:sz w:val="22"/>
          <w:szCs w:val="22"/>
        </w:rPr>
        <w:t xml:space="preserve"> pathways associated with</w:t>
      </w:r>
      <w:r w:rsidR="005D240B" w:rsidRPr="006323BF">
        <w:rPr>
          <w:rFonts w:ascii="Aptos" w:hAnsi="Aptos"/>
          <w:color w:val="000000" w:themeColor="text1"/>
          <w:sz w:val="22"/>
          <w:szCs w:val="22"/>
        </w:rPr>
        <w:t xml:space="preserve"> NF-kappa </w:t>
      </w:r>
      <w:r w:rsidR="00F93FEA" w:rsidRPr="006323BF">
        <w:rPr>
          <w:rFonts w:ascii="Aptos" w:hAnsi="Aptos"/>
          <w:color w:val="000000" w:themeColor="text1"/>
          <w:sz w:val="22"/>
          <w:szCs w:val="22"/>
        </w:rPr>
        <w:t xml:space="preserve">B </w:t>
      </w:r>
      <w:r w:rsidR="005D240B" w:rsidRPr="006323BF">
        <w:rPr>
          <w:rFonts w:ascii="Aptos" w:hAnsi="Aptos"/>
          <w:color w:val="000000" w:themeColor="text1"/>
          <w:sz w:val="22"/>
          <w:szCs w:val="22"/>
        </w:rPr>
        <w:t xml:space="preserve">signal transduction </w:t>
      </w:r>
      <w:r w:rsidRPr="006323BF">
        <w:rPr>
          <w:rFonts w:ascii="Aptos" w:hAnsi="Aptos"/>
          <w:color w:val="000000" w:themeColor="text1"/>
          <w:sz w:val="22"/>
          <w:szCs w:val="22"/>
        </w:rPr>
        <w:t>are</w:t>
      </w:r>
      <w:r w:rsidR="005D240B" w:rsidRPr="006323BF">
        <w:rPr>
          <w:rFonts w:ascii="Aptos" w:hAnsi="Aptos"/>
          <w:color w:val="000000" w:themeColor="text1"/>
          <w:sz w:val="22"/>
          <w:szCs w:val="22"/>
        </w:rPr>
        <w:t xml:space="preserve"> associated with ARDS, t</w:t>
      </w:r>
      <w:r w:rsidR="00F93FEA" w:rsidRPr="006323BF">
        <w:rPr>
          <w:rFonts w:ascii="Aptos" w:hAnsi="Aptos"/>
          <w:color w:val="000000" w:themeColor="text1"/>
          <w:sz w:val="22"/>
          <w:szCs w:val="22"/>
        </w:rPr>
        <w:t>hey</w:t>
      </w:r>
      <w:r w:rsidR="005D240B" w:rsidRPr="006323BF">
        <w:rPr>
          <w:rFonts w:ascii="Aptos" w:hAnsi="Aptos"/>
          <w:color w:val="000000" w:themeColor="text1"/>
          <w:sz w:val="22"/>
          <w:szCs w:val="22"/>
        </w:rPr>
        <w:t xml:space="preserve"> </w:t>
      </w:r>
      <w:r w:rsidR="00F93FEA" w:rsidRPr="006323BF">
        <w:rPr>
          <w:rFonts w:ascii="Aptos" w:hAnsi="Aptos"/>
          <w:color w:val="000000" w:themeColor="text1"/>
          <w:sz w:val="22"/>
          <w:szCs w:val="22"/>
        </w:rPr>
        <w:t>are</w:t>
      </w:r>
      <w:r w:rsidR="001B5DBE" w:rsidRPr="006323BF">
        <w:rPr>
          <w:rFonts w:ascii="Aptos" w:hAnsi="Aptos"/>
          <w:color w:val="000000" w:themeColor="text1"/>
          <w:sz w:val="22"/>
          <w:szCs w:val="22"/>
        </w:rPr>
        <w:t xml:space="preserve"> not evident in our BPD dataset, suggesting a divergence in the underlying pathologies.</w:t>
      </w:r>
      <w:r w:rsidR="005D240B" w:rsidRPr="006323BF">
        <w:rPr>
          <w:rFonts w:ascii="Aptos" w:hAnsi="Aptos"/>
          <w:color w:val="000000" w:themeColor="text1"/>
          <w:sz w:val="22"/>
          <w:szCs w:val="22"/>
        </w:rPr>
        <w:t xml:space="preserve"> </w:t>
      </w:r>
      <w:commentRangeEnd w:id="1"/>
      <w:r w:rsidRPr="006323BF">
        <w:rPr>
          <w:rStyle w:val="CommentReference"/>
        </w:rPr>
        <w:commentReference w:id="1"/>
      </w:r>
      <w:r w:rsidR="00745C0E" w:rsidRPr="006323BF">
        <w:rPr>
          <w:rFonts w:ascii="Aptos" w:hAnsi="Aptos"/>
          <w:color w:val="000000" w:themeColor="text1"/>
          <w:sz w:val="22"/>
          <w:szCs w:val="22"/>
        </w:rPr>
        <w:t xml:space="preserve"> </w:t>
      </w:r>
      <w:r w:rsidR="005D240B" w:rsidRPr="006323BF">
        <w:rPr>
          <w:color w:val="000000" w:themeColor="text1"/>
          <w:sz w:val="22"/>
          <w:szCs w:val="22"/>
        </w:rPr>
        <w:t>There were 112 genes that overlapped in the prioritised</w:t>
      </w:r>
      <w:r w:rsidR="00F93FEA" w:rsidRPr="006323BF">
        <w:rPr>
          <w:color w:val="000000" w:themeColor="text1"/>
          <w:sz w:val="22"/>
          <w:szCs w:val="22"/>
        </w:rPr>
        <w:t xml:space="preserve"> gene set lists</w:t>
      </w:r>
      <w:r w:rsidR="005D240B" w:rsidRPr="006323BF">
        <w:rPr>
          <w:color w:val="000000" w:themeColor="text1"/>
          <w:sz w:val="22"/>
          <w:szCs w:val="22"/>
        </w:rPr>
        <w:t xml:space="preserve">, </w:t>
      </w:r>
      <w:r>
        <w:rPr>
          <w:color w:val="000000" w:themeColor="text1"/>
          <w:sz w:val="22"/>
          <w:szCs w:val="22"/>
        </w:rPr>
        <w:t>(</w:t>
      </w:r>
      <w:r w:rsidR="005D240B" w:rsidRPr="005B6EE6">
        <w:rPr>
          <w:color w:val="000000" w:themeColor="text1"/>
          <w:sz w:val="22"/>
          <w:szCs w:val="22"/>
          <w:highlight w:val="magenta"/>
        </w:rPr>
        <w:t>Figure</w:t>
      </w:r>
      <w:r w:rsidR="005B6EE6" w:rsidRPr="005B6EE6">
        <w:rPr>
          <w:color w:val="000000" w:themeColor="text1"/>
          <w:sz w:val="22"/>
          <w:szCs w:val="22"/>
          <w:highlight w:val="magenta"/>
        </w:rPr>
        <w:t xml:space="preserve"> </w:t>
      </w:r>
      <w:r w:rsidR="005D240B" w:rsidRPr="005B6EE6">
        <w:rPr>
          <w:color w:val="000000" w:themeColor="text1"/>
          <w:sz w:val="22"/>
          <w:szCs w:val="22"/>
          <w:highlight w:val="magenta"/>
        </w:rPr>
        <w:t>2B</w:t>
      </w:r>
      <w:r>
        <w:rPr>
          <w:color w:val="000000" w:themeColor="text1"/>
          <w:sz w:val="22"/>
          <w:szCs w:val="22"/>
        </w:rPr>
        <w:t>)</w:t>
      </w:r>
      <w:r w:rsidR="005D240B" w:rsidRPr="006323BF">
        <w:rPr>
          <w:color w:val="000000" w:themeColor="text1"/>
          <w:sz w:val="22"/>
          <w:szCs w:val="22"/>
        </w:rPr>
        <w:t xml:space="preserve"> and this overlap was found to be significant (p&lt;0.005).</w:t>
      </w:r>
      <w:r w:rsidR="00745C0E" w:rsidRPr="006323BF">
        <w:rPr>
          <w:color w:val="000000" w:themeColor="text1"/>
          <w:sz w:val="22"/>
          <w:szCs w:val="22"/>
        </w:rPr>
        <w:t xml:space="preserve"> </w:t>
      </w:r>
      <w:r w:rsidR="005D240B" w:rsidRPr="006323BF">
        <w:rPr>
          <w:color w:val="000000" w:themeColor="text1"/>
          <w:sz w:val="22"/>
          <w:szCs w:val="22"/>
        </w:rPr>
        <w:t xml:space="preserve"> </w:t>
      </w:r>
      <w:r w:rsidR="00745C0E" w:rsidRPr="006323BF">
        <w:rPr>
          <w:color w:val="000000" w:themeColor="text1"/>
          <w:sz w:val="22"/>
          <w:szCs w:val="22"/>
        </w:rPr>
        <w:t>We assessed the degree of similarity between ranked lists and found much of the overlap occurred</w:t>
      </w:r>
      <w:r w:rsidR="001B5DBE" w:rsidRPr="006323BF">
        <w:rPr>
          <w:color w:val="000000" w:themeColor="text1"/>
          <w:sz w:val="22"/>
          <w:szCs w:val="22"/>
        </w:rPr>
        <w:t xml:space="preserve"> toward the top of the</w:t>
      </w:r>
      <w:r w:rsidR="00CC72D9" w:rsidRPr="006323BF">
        <w:rPr>
          <w:color w:val="000000" w:themeColor="text1"/>
          <w:sz w:val="22"/>
          <w:szCs w:val="22"/>
        </w:rPr>
        <w:t xml:space="preserve"> ranked</w:t>
      </w:r>
      <w:r w:rsidR="001B5DBE" w:rsidRPr="006323BF">
        <w:rPr>
          <w:color w:val="000000" w:themeColor="text1"/>
          <w:sz w:val="22"/>
          <w:szCs w:val="22"/>
        </w:rPr>
        <w:t xml:space="preserve"> lists. </w:t>
      </w:r>
      <w:r>
        <w:rPr>
          <w:color w:val="000000" w:themeColor="text1"/>
          <w:sz w:val="22"/>
          <w:szCs w:val="22"/>
        </w:rPr>
        <w:t>(</w:t>
      </w:r>
      <w:r w:rsidR="001B5DBE" w:rsidRPr="005B6EE6">
        <w:rPr>
          <w:color w:val="000000" w:themeColor="text1"/>
          <w:sz w:val="22"/>
          <w:szCs w:val="22"/>
          <w:highlight w:val="magenta"/>
        </w:rPr>
        <w:t>Figure</w:t>
      </w:r>
      <w:r w:rsidR="005B6EE6" w:rsidRPr="005B6EE6">
        <w:rPr>
          <w:color w:val="000000" w:themeColor="text1"/>
          <w:sz w:val="22"/>
          <w:szCs w:val="22"/>
          <w:highlight w:val="magenta"/>
        </w:rPr>
        <w:t xml:space="preserve"> </w:t>
      </w:r>
      <w:r w:rsidR="001B5DBE" w:rsidRPr="005B6EE6">
        <w:rPr>
          <w:color w:val="000000" w:themeColor="text1"/>
          <w:sz w:val="22"/>
          <w:szCs w:val="22"/>
          <w:highlight w:val="magenta"/>
        </w:rPr>
        <w:t>2C</w:t>
      </w:r>
      <w:r>
        <w:rPr>
          <w:color w:val="000000" w:themeColor="text1"/>
          <w:sz w:val="22"/>
          <w:szCs w:val="22"/>
        </w:rPr>
        <w:t>)</w:t>
      </w:r>
      <w:r w:rsidR="001B5DBE" w:rsidRPr="006323BF">
        <w:rPr>
          <w:color w:val="000000" w:themeColor="text1"/>
          <w:sz w:val="22"/>
          <w:szCs w:val="22"/>
        </w:rPr>
        <w:t xml:space="preserve">. </w:t>
      </w:r>
      <w:r w:rsidR="005D240B" w:rsidRPr="006323BF">
        <w:rPr>
          <w:color w:val="000000" w:themeColor="text1"/>
          <w:sz w:val="22"/>
          <w:szCs w:val="22"/>
        </w:rPr>
        <w:t>Over representation analysis</w:t>
      </w:r>
      <w:r w:rsidR="00520233" w:rsidRPr="006323BF">
        <w:rPr>
          <w:color w:val="000000" w:themeColor="text1"/>
          <w:sz w:val="22"/>
          <w:szCs w:val="22"/>
        </w:rPr>
        <w:t xml:space="preserve"> highlighted</w:t>
      </w:r>
      <w:r w:rsidR="005D240B" w:rsidRPr="006323BF">
        <w:rPr>
          <w:color w:val="000000" w:themeColor="text1"/>
          <w:sz w:val="22"/>
          <w:szCs w:val="22"/>
        </w:rPr>
        <w:t xml:space="preserve"> leukocyte</w:t>
      </w:r>
      <w:r w:rsidR="00F93FEA" w:rsidRPr="006323BF">
        <w:rPr>
          <w:color w:val="000000" w:themeColor="text1"/>
          <w:sz w:val="22"/>
          <w:szCs w:val="22"/>
        </w:rPr>
        <w:t>-</w:t>
      </w:r>
      <w:r w:rsidR="005D240B" w:rsidRPr="006323BF">
        <w:rPr>
          <w:color w:val="000000" w:themeColor="text1"/>
          <w:sz w:val="22"/>
          <w:szCs w:val="22"/>
        </w:rPr>
        <w:t>mediated immunity, lymphocyte</w:t>
      </w:r>
      <w:r w:rsidR="00F93FEA" w:rsidRPr="006323BF">
        <w:rPr>
          <w:color w:val="000000" w:themeColor="text1"/>
          <w:sz w:val="22"/>
          <w:szCs w:val="22"/>
        </w:rPr>
        <w:t>-</w:t>
      </w:r>
      <w:r w:rsidR="005D240B" w:rsidRPr="006323BF">
        <w:rPr>
          <w:color w:val="000000" w:themeColor="text1"/>
          <w:sz w:val="22"/>
          <w:szCs w:val="22"/>
        </w:rPr>
        <w:t>mediated immunity</w:t>
      </w:r>
      <w:r w:rsidR="009F3C8A" w:rsidRPr="006323BF">
        <w:rPr>
          <w:color w:val="000000" w:themeColor="text1"/>
          <w:sz w:val="22"/>
          <w:szCs w:val="22"/>
        </w:rPr>
        <w:t>,</w:t>
      </w:r>
      <w:r w:rsidR="005D240B" w:rsidRPr="006323BF">
        <w:rPr>
          <w:color w:val="000000" w:themeColor="text1"/>
          <w:sz w:val="22"/>
          <w:szCs w:val="22"/>
        </w:rPr>
        <w:t xml:space="preserve"> and positive regulation of both T cells and type II interferon </w:t>
      </w:r>
      <w:r w:rsidR="00642B03" w:rsidRPr="006323BF">
        <w:rPr>
          <w:color w:val="000000" w:themeColor="text1"/>
          <w:sz w:val="22"/>
          <w:szCs w:val="22"/>
        </w:rPr>
        <w:t>in the overlapping genes</w:t>
      </w:r>
      <w:r w:rsidR="00520233" w:rsidRPr="006323BF">
        <w:rPr>
          <w:color w:val="000000" w:themeColor="text1"/>
          <w:sz w:val="22"/>
          <w:szCs w:val="22"/>
        </w:rPr>
        <w:t xml:space="preserve"> </w:t>
      </w:r>
      <w:r>
        <w:rPr>
          <w:color w:val="000000" w:themeColor="text1"/>
          <w:sz w:val="22"/>
          <w:szCs w:val="22"/>
        </w:rPr>
        <w:t>(</w:t>
      </w:r>
      <w:r w:rsidR="00520233" w:rsidRPr="005B6EE6">
        <w:rPr>
          <w:color w:val="000000" w:themeColor="text1"/>
          <w:sz w:val="22"/>
          <w:szCs w:val="22"/>
          <w:highlight w:val="magenta"/>
        </w:rPr>
        <w:t>Figure</w:t>
      </w:r>
      <w:r w:rsidR="005B6EE6" w:rsidRPr="005B6EE6">
        <w:rPr>
          <w:color w:val="000000" w:themeColor="text1"/>
          <w:sz w:val="22"/>
          <w:szCs w:val="22"/>
          <w:highlight w:val="magenta"/>
        </w:rPr>
        <w:t xml:space="preserve"> </w:t>
      </w:r>
      <w:r w:rsidR="00520233" w:rsidRPr="005B6EE6">
        <w:rPr>
          <w:color w:val="000000" w:themeColor="text1"/>
          <w:sz w:val="22"/>
          <w:szCs w:val="22"/>
          <w:highlight w:val="magenta"/>
        </w:rPr>
        <w:t>2</w:t>
      </w:r>
      <w:r w:rsidRPr="005B6EE6">
        <w:rPr>
          <w:color w:val="000000" w:themeColor="text1"/>
          <w:sz w:val="22"/>
          <w:szCs w:val="22"/>
          <w:highlight w:val="magenta"/>
        </w:rPr>
        <w:t>D</w:t>
      </w:r>
      <w:r>
        <w:rPr>
          <w:color w:val="000000" w:themeColor="text1"/>
          <w:sz w:val="22"/>
          <w:szCs w:val="22"/>
        </w:rPr>
        <w:t>)</w:t>
      </w:r>
      <w:r w:rsidR="005D240B" w:rsidRPr="006323BF">
        <w:rPr>
          <w:color w:val="000000" w:themeColor="text1"/>
          <w:sz w:val="22"/>
          <w:szCs w:val="22"/>
        </w:rPr>
        <w:t xml:space="preserve">. </w:t>
      </w:r>
      <w:r w:rsidR="00C2707E" w:rsidRPr="006323BF">
        <w:rPr>
          <w:color w:val="000000" w:themeColor="text1"/>
          <w:sz w:val="22"/>
          <w:szCs w:val="22"/>
        </w:rPr>
        <w:t xml:space="preserve">A PPI network focused on the overlap between datasets identifies a hub consisting of 5 genes </w:t>
      </w:r>
      <w:r w:rsidR="005B6EE6">
        <w:rPr>
          <w:color w:val="000000" w:themeColor="text1"/>
          <w:sz w:val="22"/>
          <w:szCs w:val="22"/>
        </w:rPr>
        <w:t>(</w:t>
      </w:r>
      <w:r w:rsidR="005B6EE6" w:rsidRPr="005B6EE6">
        <w:rPr>
          <w:color w:val="000000" w:themeColor="text1"/>
          <w:sz w:val="22"/>
          <w:szCs w:val="22"/>
          <w:highlight w:val="magenta"/>
        </w:rPr>
        <w:t>Figure 2E</w:t>
      </w:r>
      <w:r w:rsidR="005B6EE6">
        <w:rPr>
          <w:color w:val="000000" w:themeColor="text1"/>
          <w:sz w:val="22"/>
          <w:szCs w:val="22"/>
        </w:rPr>
        <w:t xml:space="preserve">) </w:t>
      </w:r>
      <w:r w:rsidR="000C33C9" w:rsidRPr="006323BF">
        <w:rPr>
          <w:color w:val="000000" w:themeColor="text1"/>
          <w:sz w:val="22"/>
          <w:szCs w:val="22"/>
        </w:rPr>
        <w:t>with roles in</w:t>
      </w:r>
      <w:r w:rsidR="00C2707E" w:rsidRPr="006323BF">
        <w:rPr>
          <w:color w:val="000000" w:themeColor="text1"/>
          <w:sz w:val="22"/>
          <w:szCs w:val="22"/>
        </w:rPr>
        <w:t xml:space="preserve"> IL8 signalling (</w:t>
      </w:r>
      <w:r w:rsidR="00C2707E" w:rsidRPr="000E3E04">
        <w:rPr>
          <w:color w:val="000000" w:themeColor="text1"/>
          <w:sz w:val="22"/>
          <w:szCs w:val="22"/>
        </w:rPr>
        <w:t>CXCL8, MMP9</w:t>
      </w:r>
      <w:r w:rsidR="00C2707E" w:rsidRPr="006323BF">
        <w:rPr>
          <w:color w:val="000000" w:themeColor="text1"/>
          <w:sz w:val="22"/>
          <w:szCs w:val="22"/>
        </w:rPr>
        <w:t>) and lymphocyte surface receptors (</w:t>
      </w:r>
      <w:r w:rsidR="00C2707E" w:rsidRPr="000E3E04">
        <w:rPr>
          <w:color w:val="000000" w:themeColor="text1"/>
          <w:sz w:val="22"/>
          <w:szCs w:val="22"/>
        </w:rPr>
        <w:t>CD4, CD40, CD2</w:t>
      </w:r>
      <w:r w:rsidR="00C2707E" w:rsidRPr="006323BF">
        <w:rPr>
          <w:color w:val="000000" w:themeColor="text1"/>
          <w:sz w:val="22"/>
          <w:szCs w:val="22"/>
        </w:rPr>
        <w:t xml:space="preserve">). </w:t>
      </w:r>
    </w:p>
    <w:p w14:paraId="03C54BD5" w14:textId="77777777" w:rsidR="00BD33E1" w:rsidRPr="006323BF" w:rsidRDefault="00BD33E1" w:rsidP="00172688">
      <w:pPr>
        <w:spacing w:line="480" w:lineRule="auto"/>
        <w:jc w:val="both"/>
        <w:rPr>
          <w:i/>
          <w:iCs/>
          <w:color w:val="000000" w:themeColor="text1"/>
          <w:sz w:val="22"/>
          <w:szCs w:val="22"/>
        </w:rPr>
      </w:pPr>
    </w:p>
    <w:p w14:paraId="1D04AC08" w14:textId="77777777" w:rsidR="005D240B" w:rsidRPr="006323BF" w:rsidRDefault="005D240B" w:rsidP="00172688">
      <w:pPr>
        <w:spacing w:line="480" w:lineRule="auto"/>
        <w:jc w:val="both"/>
        <w:rPr>
          <w:i/>
          <w:iCs/>
          <w:color w:val="000000" w:themeColor="text1"/>
          <w:sz w:val="22"/>
          <w:szCs w:val="22"/>
        </w:rPr>
      </w:pPr>
      <w:r w:rsidRPr="006323BF">
        <w:rPr>
          <w:i/>
          <w:iCs/>
          <w:color w:val="000000" w:themeColor="text1"/>
          <w:sz w:val="22"/>
          <w:szCs w:val="22"/>
        </w:rPr>
        <w:t>Meta-Analysis by Information Content of rodent studies</w:t>
      </w:r>
    </w:p>
    <w:p w14:paraId="1AD7F7D2" w14:textId="1856D37A" w:rsidR="006323BF" w:rsidRPr="006323BF" w:rsidRDefault="00520233" w:rsidP="006323BF">
      <w:pPr>
        <w:spacing w:line="480" w:lineRule="auto"/>
        <w:jc w:val="both"/>
        <w:rPr>
          <w:color w:val="000000" w:themeColor="text1"/>
          <w:sz w:val="22"/>
          <w:szCs w:val="22"/>
        </w:rPr>
      </w:pPr>
      <w:r w:rsidRPr="006323BF">
        <w:rPr>
          <w:color w:val="000000" w:themeColor="text1"/>
          <w:sz w:val="22"/>
          <w:szCs w:val="22"/>
        </w:rPr>
        <w:t xml:space="preserve">Rodent </w:t>
      </w:r>
      <w:r w:rsidR="00975F6E" w:rsidRPr="006323BF">
        <w:rPr>
          <w:color w:val="000000" w:themeColor="text1"/>
          <w:sz w:val="22"/>
          <w:szCs w:val="22"/>
        </w:rPr>
        <w:t xml:space="preserve">systems </w:t>
      </w:r>
      <w:r w:rsidRPr="006323BF">
        <w:rPr>
          <w:color w:val="000000" w:themeColor="text1"/>
          <w:sz w:val="22"/>
          <w:szCs w:val="22"/>
        </w:rPr>
        <w:t xml:space="preserve">are widely used to model BPD. </w:t>
      </w:r>
      <w:r w:rsidR="005D240B" w:rsidRPr="006323BF">
        <w:rPr>
          <w:color w:val="000000" w:themeColor="text1"/>
          <w:sz w:val="22"/>
          <w:szCs w:val="22"/>
        </w:rPr>
        <w:t xml:space="preserve">From 20 eligible rodent BPD studies </w:t>
      </w:r>
      <w:r w:rsidR="006323BF">
        <w:rPr>
          <w:color w:val="000000" w:themeColor="text1"/>
          <w:sz w:val="22"/>
          <w:szCs w:val="22"/>
        </w:rPr>
        <w:t>(</w:t>
      </w:r>
      <w:r w:rsidR="005D240B" w:rsidRPr="005B6EE6">
        <w:rPr>
          <w:color w:val="000000" w:themeColor="text1"/>
          <w:sz w:val="22"/>
          <w:szCs w:val="22"/>
          <w:highlight w:val="green"/>
        </w:rPr>
        <w:t>Supplementary Figure 2</w:t>
      </w:r>
      <w:r w:rsidR="005D240B" w:rsidRPr="006323BF">
        <w:rPr>
          <w:color w:val="000000" w:themeColor="text1"/>
          <w:sz w:val="22"/>
          <w:szCs w:val="22"/>
        </w:rPr>
        <w:t xml:space="preserve">, </w:t>
      </w:r>
      <w:r w:rsidR="005D240B" w:rsidRPr="005B6EE6">
        <w:rPr>
          <w:color w:val="000000" w:themeColor="text1"/>
          <w:sz w:val="22"/>
          <w:szCs w:val="22"/>
          <w:highlight w:val="magenta"/>
        </w:rPr>
        <w:t>Table 2</w:t>
      </w:r>
      <w:r w:rsidR="006323BF">
        <w:rPr>
          <w:color w:val="000000" w:themeColor="text1"/>
          <w:sz w:val="22"/>
          <w:szCs w:val="22"/>
        </w:rPr>
        <w:t>)</w:t>
      </w:r>
      <w:r w:rsidR="005D240B" w:rsidRPr="006323BF">
        <w:rPr>
          <w:color w:val="000000" w:themeColor="text1"/>
          <w:sz w:val="22"/>
          <w:szCs w:val="22"/>
        </w:rPr>
        <w:t xml:space="preserve"> we extracted </w:t>
      </w:r>
      <w:r w:rsidR="009C3E07" w:rsidRPr="006323BF">
        <w:rPr>
          <w:color w:val="000000" w:themeColor="text1"/>
          <w:sz w:val="22"/>
          <w:szCs w:val="22"/>
        </w:rPr>
        <w:t xml:space="preserve">and analysed </w:t>
      </w:r>
      <w:r w:rsidR="005D240B" w:rsidRPr="006323BF">
        <w:rPr>
          <w:color w:val="000000" w:themeColor="text1"/>
          <w:sz w:val="22"/>
          <w:szCs w:val="22"/>
        </w:rPr>
        <w:t>35 gene lists (28 ranked and 7 unranked), employing 5 experimental techniques (</w:t>
      </w:r>
      <w:r w:rsidR="005D240B" w:rsidRPr="005B6EE6">
        <w:rPr>
          <w:color w:val="000000" w:themeColor="text1"/>
          <w:sz w:val="22"/>
          <w:szCs w:val="22"/>
          <w:highlight w:val="green"/>
        </w:rPr>
        <w:t>Supplementary Table 3</w:t>
      </w:r>
      <w:r w:rsidR="005D240B" w:rsidRPr="006323BF">
        <w:rPr>
          <w:color w:val="000000" w:themeColor="text1"/>
          <w:sz w:val="22"/>
          <w:szCs w:val="22"/>
        </w:rPr>
        <w:t xml:space="preserve">). Of these studies, 13 used mice models and 7 used rat models. </w:t>
      </w:r>
      <w:r w:rsidR="007B5CF7" w:rsidRPr="006323BF">
        <w:rPr>
          <w:color w:val="000000" w:themeColor="text1"/>
          <w:sz w:val="22"/>
          <w:szCs w:val="22"/>
        </w:rPr>
        <w:t>To enable cross-species comparison</w:t>
      </w:r>
      <w:r w:rsidR="00D70AB2" w:rsidRPr="006323BF">
        <w:rPr>
          <w:color w:val="000000" w:themeColor="text1"/>
          <w:sz w:val="22"/>
          <w:szCs w:val="22"/>
        </w:rPr>
        <w:t>s</w:t>
      </w:r>
      <w:r w:rsidR="009C3E07" w:rsidRPr="006323BF">
        <w:rPr>
          <w:color w:val="000000" w:themeColor="text1"/>
          <w:sz w:val="22"/>
          <w:szCs w:val="22"/>
        </w:rPr>
        <w:t>,</w:t>
      </w:r>
      <w:r w:rsidR="007B5CF7" w:rsidRPr="006323BF">
        <w:rPr>
          <w:color w:val="000000" w:themeColor="text1"/>
          <w:sz w:val="22"/>
          <w:szCs w:val="22"/>
        </w:rPr>
        <w:t xml:space="preserve"> we mapped the genes from both species to their human </w:t>
      </w:r>
      <w:r w:rsidR="00D75528" w:rsidRPr="006323BF">
        <w:rPr>
          <w:color w:val="000000" w:themeColor="text1"/>
          <w:sz w:val="22"/>
          <w:szCs w:val="22"/>
        </w:rPr>
        <w:t>ortholog symbols as part of the MAIC workflow</w:t>
      </w:r>
      <w:r w:rsidR="007B5CF7" w:rsidRPr="006323BF">
        <w:rPr>
          <w:color w:val="000000" w:themeColor="text1"/>
          <w:sz w:val="22"/>
          <w:szCs w:val="22"/>
        </w:rPr>
        <w:t>.</w:t>
      </w:r>
      <w:r w:rsidR="00D75528" w:rsidRPr="006323BF">
        <w:rPr>
          <w:color w:val="000000" w:themeColor="text1"/>
          <w:sz w:val="22"/>
          <w:szCs w:val="22"/>
        </w:rPr>
        <w:t xml:space="preserve"> </w:t>
      </w:r>
      <w:r w:rsidR="005D240B" w:rsidRPr="006323BF">
        <w:rPr>
          <w:color w:val="000000" w:themeColor="text1"/>
          <w:sz w:val="22"/>
          <w:szCs w:val="22"/>
        </w:rPr>
        <w:t xml:space="preserve">The majority (17/20; 85%) of studies modelled BPD by exposing neonatal pups to a </w:t>
      </w:r>
      <w:proofErr w:type="spellStart"/>
      <w:r w:rsidR="005D240B" w:rsidRPr="006323BF">
        <w:rPr>
          <w:color w:val="000000" w:themeColor="text1"/>
          <w:sz w:val="22"/>
          <w:szCs w:val="22"/>
        </w:rPr>
        <w:t>hyperoxic</w:t>
      </w:r>
      <w:proofErr w:type="spellEnd"/>
      <w:r w:rsidR="005D240B" w:rsidRPr="006323BF">
        <w:rPr>
          <w:color w:val="000000" w:themeColor="text1"/>
          <w:sz w:val="22"/>
          <w:szCs w:val="22"/>
        </w:rPr>
        <w:t xml:space="preserve"> environment, though the approaches differed</w:t>
      </w:r>
      <w:r w:rsidR="009C3E07" w:rsidRPr="006323BF">
        <w:rPr>
          <w:color w:val="000000" w:themeColor="text1"/>
          <w:sz w:val="22"/>
          <w:szCs w:val="22"/>
        </w:rPr>
        <w:t>.</w:t>
      </w:r>
      <w:r w:rsidR="005D240B" w:rsidRPr="006323BF">
        <w:rPr>
          <w:color w:val="000000" w:themeColor="text1"/>
          <w:sz w:val="22"/>
          <w:szCs w:val="22"/>
        </w:rPr>
        <w:t xml:space="preserve"> </w:t>
      </w:r>
      <w:r w:rsidR="009C3E07" w:rsidRPr="006323BF">
        <w:rPr>
          <w:color w:val="000000" w:themeColor="text1"/>
          <w:sz w:val="22"/>
          <w:szCs w:val="22"/>
        </w:rPr>
        <w:t xml:space="preserve">For example, </w:t>
      </w:r>
      <w:r w:rsidR="005D240B" w:rsidRPr="006323BF">
        <w:rPr>
          <w:color w:val="000000" w:themeColor="text1"/>
          <w:sz w:val="22"/>
          <w:szCs w:val="22"/>
        </w:rPr>
        <w:t>there was variation in the timeframe of hyperoxia (from 3 days to 14 days), recovery in room air (0 days to 57 days), continuous versus intermittent hyperoxia, and the percent</w:t>
      </w:r>
      <w:r w:rsidR="00DC530D" w:rsidRPr="006323BF">
        <w:rPr>
          <w:color w:val="000000" w:themeColor="text1"/>
          <w:sz w:val="22"/>
          <w:szCs w:val="22"/>
        </w:rPr>
        <w:t>age</w:t>
      </w:r>
      <w:r w:rsidR="005D240B" w:rsidRPr="006323BF">
        <w:rPr>
          <w:color w:val="000000" w:themeColor="text1"/>
          <w:sz w:val="22"/>
          <w:szCs w:val="22"/>
        </w:rPr>
        <w:t xml:space="preserve"> oxygen (70 – 100%) used across the studies. Other </w:t>
      </w:r>
      <w:r w:rsidR="005D240B" w:rsidRPr="006323BF">
        <w:rPr>
          <w:color w:val="000000" w:themeColor="text1"/>
          <w:sz w:val="22"/>
          <w:szCs w:val="22"/>
        </w:rPr>
        <w:lastRenderedPageBreak/>
        <w:t xml:space="preserve">methods to model BPD in rodent models included lipopolysaccharide (LPS) treatment (1 study) and induced IUGR through maternal diet (1 study). MAIC collated 7637 genes across all datasets </w:t>
      </w:r>
      <w:r w:rsidR="006323BF">
        <w:rPr>
          <w:color w:val="000000" w:themeColor="text1"/>
          <w:sz w:val="22"/>
          <w:szCs w:val="22"/>
        </w:rPr>
        <w:t>(</w:t>
      </w:r>
      <w:r w:rsidR="005D240B" w:rsidRPr="005B6EE6">
        <w:rPr>
          <w:color w:val="000000" w:themeColor="text1"/>
          <w:sz w:val="22"/>
          <w:szCs w:val="22"/>
          <w:highlight w:val="green"/>
        </w:rPr>
        <w:t>Figure 3A</w:t>
      </w:r>
      <w:r w:rsidR="005B6EE6">
        <w:rPr>
          <w:color w:val="000000" w:themeColor="text1"/>
          <w:sz w:val="22"/>
          <w:szCs w:val="22"/>
        </w:rPr>
        <w:t>;</w:t>
      </w:r>
      <w:r w:rsidR="005D240B" w:rsidRPr="006323BF">
        <w:rPr>
          <w:color w:val="000000" w:themeColor="text1"/>
          <w:sz w:val="22"/>
          <w:szCs w:val="22"/>
        </w:rPr>
        <w:t xml:space="preserve"> </w:t>
      </w:r>
      <w:r w:rsidR="005D240B" w:rsidRPr="002F7479">
        <w:rPr>
          <w:color w:val="000000" w:themeColor="text1"/>
          <w:sz w:val="22"/>
          <w:szCs w:val="22"/>
          <w:highlight w:val="cyan"/>
        </w:rPr>
        <w:t xml:space="preserve">Supplementary </w:t>
      </w:r>
      <w:r w:rsidR="002F7479" w:rsidRPr="002F7479">
        <w:rPr>
          <w:color w:val="000000" w:themeColor="text1"/>
          <w:sz w:val="22"/>
          <w:szCs w:val="22"/>
          <w:highlight w:val="cyan"/>
        </w:rPr>
        <w:t>T</w:t>
      </w:r>
      <w:r w:rsidR="005D240B" w:rsidRPr="002F7479">
        <w:rPr>
          <w:color w:val="000000" w:themeColor="text1"/>
          <w:sz w:val="22"/>
          <w:szCs w:val="22"/>
          <w:highlight w:val="cyan"/>
        </w:rPr>
        <w:t>able</w:t>
      </w:r>
      <w:r w:rsidR="005B6EE6" w:rsidRPr="002F7479">
        <w:rPr>
          <w:color w:val="000000" w:themeColor="text1"/>
          <w:sz w:val="22"/>
          <w:szCs w:val="22"/>
          <w:highlight w:val="cyan"/>
        </w:rPr>
        <w:t xml:space="preserve"> </w:t>
      </w:r>
      <w:proofErr w:type="gramStart"/>
      <w:r w:rsidR="002F7479" w:rsidRPr="002F7479">
        <w:rPr>
          <w:color w:val="000000" w:themeColor="text1"/>
          <w:sz w:val="22"/>
          <w:szCs w:val="22"/>
          <w:highlight w:val="cyan"/>
        </w:rPr>
        <w:t>5</w:t>
      </w:r>
      <w:r w:rsidR="005D240B" w:rsidRPr="002F7479">
        <w:rPr>
          <w:color w:val="000000" w:themeColor="text1"/>
          <w:sz w:val="22"/>
          <w:szCs w:val="22"/>
          <w:highlight w:val="cyan"/>
        </w:rPr>
        <w:t xml:space="preserve"> </w:t>
      </w:r>
      <w:r w:rsidR="005B6EE6">
        <w:rPr>
          <w:color w:val="000000" w:themeColor="text1"/>
          <w:sz w:val="22"/>
          <w:szCs w:val="22"/>
        </w:rPr>
        <w:t>;</w:t>
      </w:r>
      <w:proofErr w:type="gramEnd"/>
      <w:r w:rsidR="005B6EE6">
        <w:rPr>
          <w:color w:val="000000" w:themeColor="text1"/>
          <w:sz w:val="22"/>
          <w:szCs w:val="22"/>
        </w:rPr>
        <w:t xml:space="preserve"> </w:t>
      </w:r>
      <w:r w:rsidR="005B6EE6" w:rsidRPr="00004CBA">
        <w:rPr>
          <w:color w:val="000000" w:themeColor="text1"/>
          <w:sz w:val="22"/>
          <w:szCs w:val="22"/>
          <w:highlight w:val="green"/>
        </w:rPr>
        <w:t>Top 100 in Supplementary Figure</w:t>
      </w:r>
      <w:r w:rsidR="005B6EE6">
        <w:rPr>
          <w:color w:val="000000" w:themeColor="text1"/>
          <w:sz w:val="22"/>
          <w:szCs w:val="22"/>
        </w:rPr>
        <w:t xml:space="preserve"> </w:t>
      </w:r>
      <w:r w:rsidR="005B6EE6" w:rsidRPr="002F7479">
        <w:rPr>
          <w:color w:val="000000" w:themeColor="text1"/>
          <w:sz w:val="22"/>
          <w:szCs w:val="22"/>
          <w:highlight w:val="green"/>
        </w:rPr>
        <w:t>6A</w:t>
      </w:r>
      <w:r w:rsidR="006323BF" w:rsidRPr="006323BF">
        <w:rPr>
          <w:color w:val="000000" w:themeColor="text1"/>
          <w:sz w:val="22"/>
          <w:szCs w:val="22"/>
        </w:rPr>
        <w:t>)</w:t>
      </w:r>
      <w:r w:rsidR="005D240B" w:rsidRPr="006323BF">
        <w:rPr>
          <w:color w:val="000000" w:themeColor="text1"/>
          <w:sz w:val="22"/>
          <w:szCs w:val="22"/>
        </w:rPr>
        <w:t xml:space="preserve"> and</w:t>
      </w:r>
      <w:r w:rsidR="006323BF" w:rsidRPr="006323BF">
        <w:rPr>
          <w:color w:val="000000" w:themeColor="text1"/>
          <w:sz w:val="22"/>
          <w:szCs w:val="22"/>
        </w:rPr>
        <w:t xml:space="preserve"> the top</w:t>
      </w:r>
      <w:r w:rsidR="005D240B" w:rsidRPr="006323BF">
        <w:rPr>
          <w:color w:val="000000" w:themeColor="text1"/>
          <w:sz w:val="22"/>
          <w:szCs w:val="22"/>
        </w:rPr>
        <w:t xml:space="preserve"> 3 genes were supported by evidence from &gt;=4 experimental techniques (</w:t>
      </w:r>
      <w:r w:rsidR="005D240B" w:rsidRPr="006323BF">
        <w:rPr>
          <w:i/>
          <w:iCs/>
          <w:color w:val="000000" w:themeColor="text1"/>
          <w:sz w:val="22"/>
          <w:szCs w:val="22"/>
        </w:rPr>
        <w:t>RAC2</w:t>
      </w:r>
      <w:r w:rsidR="005D240B" w:rsidRPr="006323BF">
        <w:rPr>
          <w:color w:val="000000" w:themeColor="text1"/>
          <w:sz w:val="22"/>
          <w:szCs w:val="22"/>
        </w:rPr>
        <w:t xml:space="preserve">, </w:t>
      </w:r>
      <w:r w:rsidR="005D240B" w:rsidRPr="006323BF">
        <w:rPr>
          <w:i/>
          <w:iCs/>
          <w:color w:val="000000" w:themeColor="text1"/>
          <w:sz w:val="22"/>
          <w:szCs w:val="22"/>
        </w:rPr>
        <w:t>CXCR2</w:t>
      </w:r>
      <w:r w:rsidR="005D240B" w:rsidRPr="006323BF">
        <w:rPr>
          <w:color w:val="000000" w:themeColor="text1"/>
          <w:sz w:val="22"/>
          <w:szCs w:val="22"/>
        </w:rPr>
        <w:t xml:space="preserve">, </w:t>
      </w:r>
      <w:r w:rsidR="005D240B" w:rsidRPr="006323BF">
        <w:rPr>
          <w:i/>
          <w:iCs/>
          <w:color w:val="000000" w:themeColor="text1"/>
          <w:sz w:val="22"/>
          <w:szCs w:val="22"/>
        </w:rPr>
        <w:t>IL1R2</w:t>
      </w:r>
      <w:r w:rsidR="005D240B" w:rsidRPr="006323BF">
        <w:rPr>
          <w:color w:val="000000" w:themeColor="text1"/>
          <w:sz w:val="22"/>
          <w:szCs w:val="22"/>
        </w:rPr>
        <w:t xml:space="preserve">).  One in five genes were supported by more than 1 method (n = 1597, 20.91%), with 141 genes (1.85%) supported by &gt;=3 methods.  Immune processes are </w:t>
      </w:r>
      <w:r w:rsidR="006323BF" w:rsidRPr="006323BF">
        <w:rPr>
          <w:color w:val="000000" w:themeColor="text1"/>
          <w:sz w:val="22"/>
          <w:szCs w:val="22"/>
        </w:rPr>
        <w:t>broadly highlighted</w:t>
      </w:r>
      <w:r w:rsidR="005D240B" w:rsidRPr="006323BF">
        <w:rPr>
          <w:color w:val="000000" w:themeColor="text1"/>
          <w:sz w:val="22"/>
          <w:szCs w:val="22"/>
        </w:rPr>
        <w:t xml:space="preserve"> within the top ten genes (</w:t>
      </w:r>
      <w:r w:rsidR="005D240B" w:rsidRPr="006323BF">
        <w:rPr>
          <w:i/>
          <w:iCs/>
          <w:color w:val="000000" w:themeColor="text1"/>
          <w:sz w:val="22"/>
          <w:szCs w:val="22"/>
        </w:rPr>
        <w:t>RAC2</w:t>
      </w:r>
      <w:r w:rsidR="005D240B" w:rsidRPr="006323BF">
        <w:rPr>
          <w:color w:val="000000" w:themeColor="text1"/>
          <w:sz w:val="22"/>
          <w:szCs w:val="22"/>
        </w:rPr>
        <w:t xml:space="preserve">, </w:t>
      </w:r>
      <w:r w:rsidR="005D240B" w:rsidRPr="006323BF">
        <w:rPr>
          <w:i/>
          <w:iCs/>
          <w:color w:val="000000" w:themeColor="text1"/>
          <w:sz w:val="22"/>
          <w:szCs w:val="22"/>
        </w:rPr>
        <w:t>CXCR2</w:t>
      </w:r>
      <w:r w:rsidR="005D240B" w:rsidRPr="006323BF">
        <w:rPr>
          <w:color w:val="000000" w:themeColor="text1"/>
          <w:sz w:val="22"/>
          <w:szCs w:val="22"/>
        </w:rPr>
        <w:t xml:space="preserve">, </w:t>
      </w:r>
      <w:r w:rsidR="005D240B" w:rsidRPr="006323BF">
        <w:rPr>
          <w:i/>
          <w:iCs/>
          <w:color w:val="000000" w:themeColor="text1"/>
          <w:sz w:val="22"/>
          <w:szCs w:val="22"/>
        </w:rPr>
        <w:t>IL1R2</w:t>
      </w:r>
      <w:r w:rsidR="005D240B" w:rsidRPr="006323BF">
        <w:rPr>
          <w:color w:val="000000" w:themeColor="text1"/>
          <w:sz w:val="22"/>
          <w:szCs w:val="22"/>
        </w:rPr>
        <w:t xml:space="preserve">, </w:t>
      </w:r>
      <w:r w:rsidR="005D240B" w:rsidRPr="006323BF">
        <w:rPr>
          <w:i/>
          <w:iCs/>
          <w:color w:val="000000" w:themeColor="text1"/>
          <w:sz w:val="22"/>
          <w:szCs w:val="22"/>
        </w:rPr>
        <w:t>CCDC3</w:t>
      </w:r>
      <w:r w:rsidR="005D240B" w:rsidRPr="006323BF">
        <w:rPr>
          <w:color w:val="000000" w:themeColor="text1"/>
          <w:sz w:val="22"/>
          <w:szCs w:val="22"/>
        </w:rPr>
        <w:t xml:space="preserve">, </w:t>
      </w:r>
      <w:r w:rsidR="005D240B" w:rsidRPr="006323BF">
        <w:rPr>
          <w:i/>
          <w:iCs/>
          <w:color w:val="000000" w:themeColor="text1"/>
          <w:sz w:val="22"/>
          <w:szCs w:val="22"/>
        </w:rPr>
        <w:t>PTGS2</w:t>
      </w:r>
      <w:r w:rsidR="005D240B" w:rsidRPr="006323BF">
        <w:rPr>
          <w:color w:val="000000" w:themeColor="text1"/>
          <w:sz w:val="22"/>
          <w:szCs w:val="22"/>
        </w:rPr>
        <w:t xml:space="preserve">). </w:t>
      </w:r>
      <w:r w:rsidRPr="006323BF">
        <w:rPr>
          <w:color w:val="000000" w:themeColor="text1"/>
          <w:sz w:val="22"/>
          <w:szCs w:val="22"/>
        </w:rPr>
        <w:t>Notably, IL1R2 appears among the top 10 results in both</w:t>
      </w:r>
      <w:r w:rsidR="00E301FE" w:rsidRPr="006323BF">
        <w:rPr>
          <w:color w:val="000000" w:themeColor="text1"/>
          <w:sz w:val="22"/>
          <w:szCs w:val="22"/>
        </w:rPr>
        <w:t xml:space="preserve"> human</w:t>
      </w:r>
      <w:r w:rsidR="006323BF" w:rsidRPr="006323BF">
        <w:rPr>
          <w:color w:val="000000" w:themeColor="text1"/>
          <w:sz w:val="22"/>
          <w:szCs w:val="22"/>
        </w:rPr>
        <w:t xml:space="preserve"> (rank = 3) </w:t>
      </w:r>
      <w:r w:rsidR="00E301FE" w:rsidRPr="006323BF">
        <w:rPr>
          <w:color w:val="000000" w:themeColor="text1"/>
          <w:sz w:val="22"/>
          <w:szCs w:val="22"/>
        </w:rPr>
        <w:t>and rodent</w:t>
      </w:r>
      <w:r w:rsidRPr="006323BF">
        <w:rPr>
          <w:color w:val="000000" w:themeColor="text1"/>
          <w:sz w:val="22"/>
          <w:szCs w:val="22"/>
        </w:rPr>
        <w:t xml:space="preserve"> </w:t>
      </w:r>
      <w:r w:rsidR="006323BF" w:rsidRPr="006323BF">
        <w:rPr>
          <w:color w:val="000000" w:themeColor="text1"/>
          <w:sz w:val="22"/>
          <w:szCs w:val="22"/>
        </w:rPr>
        <w:t xml:space="preserve">(rank = 3) </w:t>
      </w:r>
      <w:r w:rsidR="00E301FE" w:rsidRPr="006323BF">
        <w:rPr>
          <w:color w:val="000000" w:themeColor="text1"/>
          <w:sz w:val="22"/>
          <w:szCs w:val="22"/>
        </w:rPr>
        <w:t>BPD MAIC analyses</w:t>
      </w:r>
      <w:r w:rsidRPr="006323BF">
        <w:rPr>
          <w:color w:val="000000" w:themeColor="text1"/>
          <w:sz w:val="22"/>
          <w:szCs w:val="22"/>
        </w:rPr>
        <w:t xml:space="preserve">. </w:t>
      </w:r>
      <w:r w:rsidR="006323BF" w:rsidRPr="006323BF">
        <w:rPr>
          <w:color w:val="000000" w:themeColor="text1"/>
          <w:sz w:val="22"/>
          <w:szCs w:val="22"/>
        </w:rPr>
        <w:t xml:space="preserve">Gene rankings are strongly driven by fibroblast cells, with far less emphasis on the lymphoid cells seen in the human dataset, according to cell type–specific enrichment analysis </w:t>
      </w:r>
      <w:r w:rsidR="006323BF">
        <w:rPr>
          <w:color w:val="000000" w:themeColor="text1"/>
          <w:sz w:val="22"/>
          <w:szCs w:val="22"/>
        </w:rPr>
        <w:t>(</w:t>
      </w:r>
      <w:r w:rsidR="006323BF" w:rsidRPr="002F7479">
        <w:rPr>
          <w:color w:val="000000" w:themeColor="text1"/>
          <w:sz w:val="22"/>
          <w:szCs w:val="22"/>
          <w:highlight w:val="green"/>
        </w:rPr>
        <w:t>Supp</w:t>
      </w:r>
      <w:r w:rsidR="002F7479" w:rsidRPr="002F7479">
        <w:rPr>
          <w:color w:val="000000" w:themeColor="text1"/>
          <w:sz w:val="22"/>
          <w:szCs w:val="22"/>
          <w:highlight w:val="green"/>
        </w:rPr>
        <w:t>lementary</w:t>
      </w:r>
      <w:r w:rsidR="006323BF" w:rsidRPr="002F7479">
        <w:rPr>
          <w:color w:val="000000" w:themeColor="text1"/>
          <w:sz w:val="22"/>
          <w:szCs w:val="22"/>
          <w:highlight w:val="green"/>
        </w:rPr>
        <w:t xml:space="preserve"> Figure </w:t>
      </w:r>
      <w:r w:rsidR="002F7479" w:rsidRPr="002F7479">
        <w:rPr>
          <w:color w:val="000000" w:themeColor="text1"/>
          <w:sz w:val="22"/>
          <w:szCs w:val="22"/>
          <w:highlight w:val="green"/>
        </w:rPr>
        <w:t>7</w:t>
      </w:r>
      <w:r w:rsidR="006323BF">
        <w:rPr>
          <w:color w:val="000000" w:themeColor="text1"/>
          <w:sz w:val="22"/>
          <w:szCs w:val="22"/>
        </w:rPr>
        <w:t>)</w:t>
      </w:r>
      <w:r w:rsidR="006323BF" w:rsidRPr="006323BF">
        <w:rPr>
          <w:color w:val="000000" w:themeColor="text1"/>
          <w:sz w:val="22"/>
          <w:szCs w:val="22"/>
        </w:rPr>
        <w:t>.</w:t>
      </w:r>
    </w:p>
    <w:p w14:paraId="1176FE4F" w14:textId="77777777" w:rsidR="005D240B" w:rsidRPr="006323BF" w:rsidRDefault="005D240B" w:rsidP="00172688">
      <w:pPr>
        <w:spacing w:line="480" w:lineRule="auto"/>
        <w:jc w:val="both"/>
        <w:rPr>
          <w:b/>
          <w:bCs/>
          <w:color w:val="000000" w:themeColor="text1"/>
          <w:sz w:val="22"/>
          <w:szCs w:val="22"/>
        </w:rPr>
      </w:pPr>
    </w:p>
    <w:p w14:paraId="1D06CD55" w14:textId="77777777" w:rsidR="005D240B" w:rsidRPr="006323BF" w:rsidRDefault="005D240B" w:rsidP="00172688">
      <w:pPr>
        <w:spacing w:line="480" w:lineRule="auto"/>
        <w:jc w:val="both"/>
        <w:rPr>
          <w:i/>
          <w:iCs/>
          <w:color w:val="000000" w:themeColor="text1"/>
          <w:sz w:val="22"/>
          <w:szCs w:val="22"/>
        </w:rPr>
      </w:pPr>
      <w:r w:rsidRPr="006323BF">
        <w:rPr>
          <w:i/>
          <w:iCs/>
          <w:color w:val="000000" w:themeColor="text1"/>
          <w:sz w:val="22"/>
          <w:szCs w:val="22"/>
        </w:rPr>
        <w:t>Rodent functional enrichment</w:t>
      </w:r>
    </w:p>
    <w:p w14:paraId="775901C0" w14:textId="238BA08B" w:rsidR="00327385" w:rsidRPr="006323BF" w:rsidRDefault="006323BF" w:rsidP="00172688">
      <w:pPr>
        <w:spacing w:line="480" w:lineRule="auto"/>
        <w:jc w:val="both"/>
        <w:rPr>
          <w:color w:val="000000" w:themeColor="text1"/>
          <w:sz w:val="22"/>
          <w:szCs w:val="22"/>
        </w:rPr>
      </w:pPr>
      <w:r w:rsidRPr="006323BF">
        <w:rPr>
          <w:color w:val="000000" w:themeColor="text1"/>
          <w:sz w:val="22"/>
          <w:szCs w:val="22"/>
        </w:rPr>
        <w:t>Gene set enrichment analysis of the rodent MAIC gene set indicates strong signals for mRNA and translation associated pathways (</w:t>
      </w:r>
      <w:r w:rsidRPr="002F7479">
        <w:rPr>
          <w:color w:val="000000" w:themeColor="text1"/>
          <w:sz w:val="22"/>
          <w:szCs w:val="22"/>
          <w:highlight w:val="magenta"/>
        </w:rPr>
        <w:t>Figure 3B</w:t>
      </w:r>
      <w:r w:rsidRPr="006323BF">
        <w:rPr>
          <w:color w:val="000000" w:themeColor="text1"/>
          <w:sz w:val="22"/>
          <w:szCs w:val="22"/>
        </w:rPr>
        <w:t>). Analysis of the ranked genes contributing to this signal (</w:t>
      </w:r>
      <w:r w:rsidRPr="002F7479">
        <w:rPr>
          <w:color w:val="000000" w:themeColor="text1"/>
          <w:sz w:val="22"/>
          <w:szCs w:val="22"/>
          <w:highlight w:val="green"/>
        </w:rPr>
        <w:t xml:space="preserve">Supplementary </w:t>
      </w:r>
      <w:r w:rsidR="000E3E04" w:rsidRPr="002F7479">
        <w:rPr>
          <w:color w:val="000000" w:themeColor="text1"/>
          <w:sz w:val="22"/>
          <w:szCs w:val="22"/>
          <w:highlight w:val="green"/>
        </w:rPr>
        <w:t>F</w:t>
      </w:r>
      <w:r w:rsidRPr="002F7479">
        <w:rPr>
          <w:color w:val="000000" w:themeColor="text1"/>
          <w:sz w:val="22"/>
          <w:szCs w:val="22"/>
          <w:highlight w:val="green"/>
        </w:rPr>
        <w:t>igure 6</w:t>
      </w:r>
      <w:r w:rsidR="002F7479" w:rsidRPr="002F7479">
        <w:rPr>
          <w:color w:val="000000" w:themeColor="text1"/>
          <w:sz w:val="22"/>
          <w:szCs w:val="22"/>
          <w:highlight w:val="green"/>
        </w:rPr>
        <w:t>C</w:t>
      </w:r>
      <w:r w:rsidRPr="006323BF">
        <w:rPr>
          <w:color w:val="000000" w:themeColor="text1"/>
          <w:sz w:val="22"/>
          <w:szCs w:val="22"/>
        </w:rPr>
        <w:t xml:space="preserve">), shows a cluster of genes with a rank of &gt;2500 that contribute strongly to these signals. </w:t>
      </w:r>
      <w:r w:rsidR="00354EC8" w:rsidRPr="006323BF">
        <w:rPr>
          <w:color w:val="000000" w:themeColor="text1"/>
          <w:sz w:val="22"/>
          <w:szCs w:val="22"/>
        </w:rPr>
        <w:t xml:space="preserve">We prioritised 1783 genes for further investigation </w:t>
      </w:r>
      <w:r>
        <w:rPr>
          <w:color w:val="000000" w:themeColor="text1"/>
          <w:sz w:val="22"/>
          <w:szCs w:val="22"/>
        </w:rPr>
        <w:t>(</w:t>
      </w:r>
      <w:r w:rsidR="00354EC8" w:rsidRPr="002F7479">
        <w:rPr>
          <w:color w:val="000000" w:themeColor="text1"/>
          <w:sz w:val="22"/>
          <w:szCs w:val="22"/>
          <w:highlight w:val="green"/>
        </w:rPr>
        <w:t>Supp</w:t>
      </w:r>
      <w:r w:rsidR="002F7479" w:rsidRPr="002F7479">
        <w:rPr>
          <w:color w:val="000000" w:themeColor="text1"/>
          <w:sz w:val="22"/>
          <w:szCs w:val="22"/>
          <w:highlight w:val="green"/>
        </w:rPr>
        <w:t>lementary</w:t>
      </w:r>
      <w:r w:rsidR="00354EC8" w:rsidRPr="002F7479">
        <w:rPr>
          <w:color w:val="000000" w:themeColor="text1"/>
          <w:sz w:val="22"/>
          <w:szCs w:val="22"/>
          <w:highlight w:val="green"/>
        </w:rPr>
        <w:t xml:space="preserve"> Figure 6</w:t>
      </w:r>
      <w:r w:rsidR="002F7479" w:rsidRPr="002F7479">
        <w:rPr>
          <w:color w:val="000000" w:themeColor="text1"/>
          <w:sz w:val="22"/>
          <w:szCs w:val="22"/>
          <w:highlight w:val="green"/>
        </w:rPr>
        <w:t>D</w:t>
      </w:r>
      <w:r>
        <w:rPr>
          <w:color w:val="000000" w:themeColor="text1"/>
          <w:sz w:val="22"/>
          <w:szCs w:val="22"/>
        </w:rPr>
        <w:t>)</w:t>
      </w:r>
      <w:r w:rsidR="00354EC8" w:rsidRPr="006323BF">
        <w:rPr>
          <w:color w:val="000000" w:themeColor="text1"/>
          <w:sz w:val="22"/>
          <w:szCs w:val="22"/>
        </w:rPr>
        <w:t xml:space="preserve">. </w:t>
      </w:r>
      <w:r w:rsidR="005D240B" w:rsidRPr="006323BF">
        <w:rPr>
          <w:color w:val="000000" w:themeColor="text1"/>
          <w:sz w:val="22"/>
          <w:szCs w:val="22"/>
        </w:rPr>
        <w:t xml:space="preserve">Gene ontology ORA revealed a significant overrepresentation of pathways related to </w:t>
      </w:r>
      <w:r w:rsidRPr="006323BF">
        <w:rPr>
          <w:color w:val="000000" w:themeColor="text1"/>
          <w:sz w:val="22"/>
          <w:szCs w:val="22"/>
        </w:rPr>
        <w:t>leukocyte</w:t>
      </w:r>
      <w:r w:rsidR="005D240B" w:rsidRPr="006323BF">
        <w:rPr>
          <w:color w:val="000000" w:themeColor="text1"/>
          <w:sz w:val="22"/>
          <w:szCs w:val="22"/>
        </w:rPr>
        <w:t xml:space="preserve"> cells </w:t>
      </w:r>
      <w:r w:rsidRPr="006323BF">
        <w:rPr>
          <w:color w:val="000000" w:themeColor="text1"/>
          <w:sz w:val="22"/>
          <w:szCs w:val="22"/>
        </w:rPr>
        <w:t>migration and activation,</w:t>
      </w:r>
      <w:r w:rsidR="005D240B" w:rsidRPr="006323BF">
        <w:rPr>
          <w:color w:val="000000" w:themeColor="text1"/>
          <w:sz w:val="22"/>
          <w:szCs w:val="22"/>
        </w:rPr>
        <w:t xml:space="preserve"> and extracellular matrix organisation</w:t>
      </w:r>
      <w:r w:rsidR="009B65CF" w:rsidRPr="006323BF">
        <w:rPr>
          <w:color w:val="000000" w:themeColor="text1"/>
          <w:sz w:val="22"/>
          <w:szCs w:val="22"/>
        </w:rPr>
        <w:t xml:space="preserve"> </w:t>
      </w:r>
      <w:r>
        <w:rPr>
          <w:color w:val="000000" w:themeColor="text1"/>
          <w:sz w:val="22"/>
          <w:szCs w:val="22"/>
        </w:rPr>
        <w:t>(</w:t>
      </w:r>
      <w:r w:rsidR="005D240B" w:rsidRPr="002F7479">
        <w:rPr>
          <w:color w:val="000000" w:themeColor="text1"/>
          <w:sz w:val="22"/>
          <w:szCs w:val="22"/>
          <w:highlight w:val="magenta"/>
        </w:rPr>
        <w:t>Figure 3</w:t>
      </w:r>
      <w:r w:rsidRPr="002F7479">
        <w:rPr>
          <w:color w:val="000000" w:themeColor="text1"/>
          <w:sz w:val="22"/>
          <w:szCs w:val="22"/>
          <w:highlight w:val="magenta"/>
        </w:rPr>
        <w:t>C</w:t>
      </w:r>
      <w:r>
        <w:rPr>
          <w:color w:val="000000" w:themeColor="text1"/>
          <w:sz w:val="22"/>
          <w:szCs w:val="22"/>
        </w:rPr>
        <w:t>)</w:t>
      </w:r>
      <w:r w:rsidR="005D240B" w:rsidRPr="006323BF">
        <w:rPr>
          <w:color w:val="000000" w:themeColor="text1"/>
          <w:sz w:val="22"/>
          <w:szCs w:val="22"/>
        </w:rPr>
        <w:t xml:space="preserve">. </w:t>
      </w:r>
      <w:r w:rsidR="00520233" w:rsidRPr="006323BF">
        <w:rPr>
          <w:color w:val="000000" w:themeColor="text1"/>
          <w:sz w:val="22"/>
          <w:szCs w:val="22"/>
        </w:rPr>
        <w:t xml:space="preserve">An MCL clustered PPI network </w:t>
      </w:r>
      <w:r w:rsidR="005D240B" w:rsidRPr="006323BF">
        <w:rPr>
          <w:color w:val="000000" w:themeColor="text1"/>
          <w:sz w:val="22"/>
          <w:szCs w:val="22"/>
        </w:rPr>
        <w:t>identified 55 clusters with &gt;=5 members</w:t>
      </w:r>
      <w:r w:rsidR="00A55110" w:rsidRPr="006323BF">
        <w:rPr>
          <w:color w:val="000000" w:themeColor="text1"/>
          <w:sz w:val="22"/>
          <w:szCs w:val="22"/>
        </w:rPr>
        <w:t xml:space="preserve"> </w:t>
      </w:r>
      <w:r>
        <w:rPr>
          <w:color w:val="000000" w:themeColor="text1"/>
          <w:sz w:val="22"/>
          <w:szCs w:val="22"/>
        </w:rPr>
        <w:t>(</w:t>
      </w:r>
      <w:r w:rsidR="00A55110" w:rsidRPr="002F7479">
        <w:rPr>
          <w:color w:val="000000" w:themeColor="text1"/>
          <w:sz w:val="22"/>
          <w:szCs w:val="22"/>
          <w:highlight w:val="green"/>
        </w:rPr>
        <w:t>Suppl</w:t>
      </w:r>
      <w:r w:rsidR="00CF1C78" w:rsidRPr="002F7479">
        <w:rPr>
          <w:color w:val="000000" w:themeColor="text1"/>
          <w:sz w:val="22"/>
          <w:szCs w:val="22"/>
          <w:highlight w:val="green"/>
        </w:rPr>
        <w:t>e</w:t>
      </w:r>
      <w:r w:rsidR="00A55110" w:rsidRPr="002F7479">
        <w:rPr>
          <w:color w:val="000000" w:themeColor="text1"/>
          <w:sz w:val="22"/>
          <w:szCs w:val="22"/>
          <w:highlight w:val="green"/>
        </w:rPr>
        <w:t>mentary Figure</w:t>
      </w:r>
      <w:r w:rsidR="00EC63B6" w:rsidRPr="002F7479">
        <w:rPr>
          <w:color w:val="000000" w:themeColor="text1"/>
          <w:sz w:val="22"/>
          <w:szCs w:val="22"/>
          <w:highlight w:val="green"/>
        </w:rPr>
        <w:t xml:space="preserve"> </w:t>
      </w:r>
      <w:r w:rsidR="002F7479" w:rsidRPr="002F7479">
        <w:rPr>
          <w:color w:val="000000" w:themeColor="text1"/>
          <w:sz w:val="22"/>
          <w:szCs w:val="22"/>
          <w:highlight w:val="green"/>
        </w:rPr>
        <w:t>8</w:t>
      </w:r>
      <w:r>
        <w:rPr>
          <w:color w:val="000000" w:themeColor="text1"/>
          <w:sz w:val="22"/>
          <w:szCs w:val="22"/>
        </w:rPr>
        <w:t>)</w:t>
      </w:r>
      <w:r w:rsidR="005D240B" w:rsidRPr="006323BF">
        <w:rPr>
          <w:color w:val="000000" w:themeColor="text1"/>
          <w:sz w:val="22"/>
          <w:szCs w:val="22"/>
        </w:rPr>
        <w:t xml:space="preserve">. The 21 largest clusters contained &gt;=10 members. Among these, we found programs associated with the adaptive immune response and mitosis. </w:t>
      </w:r>
      <w:r w:rsidR="00520233" w:rsidRPr="006323BF">
        <w:rPr>
          <w:color w:val="000000" w:themeColor="text1"/>
          <w:sz w:val="22"/>
          <w:szCs w:val="22"/>
        </w:rPr>
        <w:t>Using the</w:t>
      </w:r>
      <w:r w:rsidR="005D240B" w:rsidRPr="006323BF">
        <w:rPr>
          <w:color w:val="000000" w:themeColor="text1"/>
          <w:sz w:val="22"/>
          <w:szCs w:val="22"/>
        </w:rPr>
        <w:t xml:space="preserve"> PPI network </w:t>
      </w:r>
      <w:r w:rsidR="00520233" w:rsidRPr="006323BF">
        <w:rPr>
          <w:color w:val="000000" w:themeColor="text1"/>
          <w:sz w:val="22"/>
          <w:szCs w:val="22"/>
        </w:rPr>
        <w:t>we</w:t>
      </w:r>
      <w:r w:rsidR="005D240B" w:rsidRPr="006323BF">
        <w:rPr>
          <w:color w:val="000000" w:themeColor="text1"/>
          <w:sz w:val="22"/>
          <w:szCs w:val="22"/>
        </w:rPr>
        <w:t xml:space="preserve"> identif</w:t>
      </w:r>
      <w:r w:rsidR="00520233" w:rsidRPr="006323BF">
        <w:rPr>
          <w:color w:val="000000" w:themeColor="text1"/>
          <w:sz w:val="22"/>
          <w:szCs w:val="22"/>
        </w:rPr>
        <w:t>ied</w:t>
      </w:r>
      <w:r w:rsidR="005D240B" w:rsidRPr="006323BF">
        <w:rPr>
          <w:color w:val="000000" w:themeColor="text1"/>
          <w:sz w:val="22"/>
          <w:szCs w:val="22"/>
        </w:rPr>
        <w:t xml:space="preserve"> 13 hub genes, </w:t>
      </w:r>
      <w:r w:rsidR="00A55110" w:rsidRPr="006323BF">
        <w:rPr>
          <w:color w:val="000000" w:themeColor="text1"/>
          <w:sz w:val="22"/>
          <w:szCs w:val="22"/>
        </w:rPr>
        <w:t xml:space="preserve">including FC gamma receptors </w:t>
      </w:r>
      <w:r>
        <w:rPr>
          <w:color w:val="000000" w:themeColor="text1"/>
          <w:sz w:val="22"/>
          <w:szCs w:val="22"/>
        </w:rPr>
        <w:t>(</w:t>
      </w:r>
      <w:r w:rsidR="00A55110" w:rsidRPr="000E3E04">
        <w:rPr>
          <w:color w:val="000000" w:themeColor="text1"/>
          <w:sz w:val="22"/>
          <w:szCs w:val="22"/>
        </w:rPr>
        <w:t>FCGR1A, FCGR2A, FCGR2B</w:t>
      </w:r>
      <w:r>
        <w:rPr>
          <w:color w:val="000000" w:themeColor="text1"/>
          <w:sz w:val="22"/>
          <w:szCs w:val="22"/>
        </w:rPr>
        <w:t>)</w:t>
      </w:r>
      <w:r w:rsidR="00A55110" w:rsidRPr="006323BF">
        <w:rPr>
          <w:color w:val="000000" w:themeColor="text1"/>
          <w:sz w:val="22"/>
          <w:szCs w:val="22"/>
        </w:rPr>
        <w:t xml:space="preserve"> and lymphocyte markers </w:t>
      </w:r>
      <w:r>
        <w:rPr>
          <w:color w:val="000000" w:themeColor="text1"/>
          <w:sz w:val="22"/>
          <w:szCs w:val="22"/>
        </w:rPr>
        <w:t>(</w:t>
      </w:r>
      <w:r w:rsidR="00A55110" w:rsidRPr="000E3E04">
        <w:rPr>
          <w:color w:val="000000" w:themeColor="text1"/>
          <w:sz w:val="22"/>
          <w:szCs w:val="22"/>
        </w:rPr>
        <w:t>CD3E, CD2</w:t>
      </w:r>
      <w:r w:rsidRPr="000E3E04">
        <w:rPr>
          <w:color w:val="000000" w:themeColor="text1"/>
          <w:sz w:val="22"/>
          <w:szCs w:val="22"/>
        </w:rPr>
        <w:t>)</w:t>
      </w:r>
      <w:r w:rsidR="00A55110" w:rsidRPr="006323BF">
        <w:rPr>
          <w:color w:val="000000" w:themeColor="text1"/>
          <w:sz w:val="22"/>
          <w:szCs w:val="22"/>
        </w:rPr>
        <w:t xml:space="preserve">, </w:t>
      </w:r>
      <w:r w:rsidR="005D240B" w:rsidRPr="006323BF">
        <w:rPr>
          <w:color w:val="000000" w:themeColor="text1"/>
          <w:sz w:val="22"/>
          <w:szCs w:val="22"/>
        </w:rPr>
        <w:t>suggested as being central to the wider network</w:t>
      </w:r>
      <w:r w:rsidR="00520233" w:rsidRPr="006323BF">
        <w:rPr>
          <w:color w:val="000000" w:themeColor="text1"/>
          <w:sz w:val="22"/>
          <w:szCs w:val="22"/>
        </w:rPr>
        <w:t xml:space="preserve"> in rodent models of BPD</w:t>
      </w:r>
      <w:r w:rsidR="005D240B" w:rsidRPr="006323BF">
        <w:rPr>
          <w:color w:val="000000" w:themeColor="text1"/>
          <w:sz w:val="22"/>
          <w:szCs w:val="22"/>
        </w:rPr>
        <w:t xml:space="preserve"> </w:t>
      </w:r>
      <w:r>
        <w:rPr>
          <w:color w:val="000000" w:themeColor="text1"/>
          <w:sz w:val="22"/>
          <w:szCs w:val="22"/>
        </w:rPr>
        <w:t>(</w:t>
      </w:r>
      <w:r w:rsidR="005D240B" w:rsidRPr="002F7479">
        <w:rPr>
          <w:color w:val="000000" w:themeColor="text1"/>
          <w:sz w:val="22"/>
          <w:szCs w:val="22"/>
          <w:highlight w:val="magenta"/>
        </w:rPr>
        <w:t>Figure 3D</w:t>
      </w:r>
      <w:r>
        <w:rPr>
          <w:color w:val="000000" w:themeColor="text1"/>
          <w:sz w:val="22"/>
          <w:szCs w:val="22"/>
        </w:rPr>
        <w:t>)</w:t>
      </w:r>
      <w:r w:rsidR="005D240B" w:rsidRPr="006323BF">
        <w:rPr>
          <w:color w:val="000000" w:themeColor="text1"/>
          <w:sz w:val="22"/>
          <w:szCs w:val="22"/>
        </w:rPr>
        <w:t>.</w:t>
      </w:r>
    </w:p>
    <w:p w14:paraId="5E46E889" w14:textId="5327D307" w:rsidR="007B6D78" w:rsidRPr="006323BF" w:rsidRDefault="007B6D78" w:rsidP="00172688">
      <w:pPr>
        <w:spacing w:line="480" w:lineRule="auto"/>
        <w:jc w:val="both"/>
        <w:rPr>
          <w:color w:val="000000" w:themeColor="text1"/>
          <w:sz w:val="22"/>
          <w:szCs w:val="22"/>
        </w:rPr>
      </w:pPr>
    </w:p>
    <w:p w14:paraId="44162D41" w14:textId="13319C56" w:rsidR="00327385" w:rsidRPr="006323BF" w:rsidRDefault="00327385" w:rsidP="00172688">
      <w:pPr>
        <w:spacing w:line="480" w:lineRule="auto"/>
        <w:jc w:val="both"/>
        <w:rPr>
          <w:color w:val="000000" w:themeColor="text1"/>
          <w:sz w:val="22"/>
          <w:szCs w:val="22"/>
        </w:rPr>
      </w:pPr>
      <w:r w:rsidRPr="006323BF">
        <w:rPr>
          <w:i/>
          <w:iCs/>
          <w:color w:val="000000" w:themeColor="text1"/>
          <w:sz w:val="22"/>
          <w:szCs w:val="22"/>
        </w:rPr>
        <w:t>Comparison of human and rodent datasets</w:t>
      </w:r>
    </w:p>
    <w:p w14:paraId="68E66690" w14:textId="4CE27C1E"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lastRenderedPageBreak/>
        <w:t xml:space="preserve">Ontology ORA showed that while the </w:t>
      </w:r>
      <w:r w:rsidR="00F059EA" w:rsidRPr="006323BF">
        <w:rPr>
          <w:color w:val="000000" w:themeColor="text1"/>
          <w:sz w:val="22"/>
          <w:szCs w:val="22"/>
        </w:rPr>
        <w:t>lymphoid</w:t>
      </w:r>
      <w:r w:rsidRPr="006323BF">
        <w:rPr>
          <w:color w:val="000000" w:themeColor="text1"/>
          <w:sz w:val="22"/>
          <w:szCs w:val="22"/>
        </w:rPr>
        <w:t xml:space="preserve"> signal observed in humans above was seen in the rodent </w:t>
      </w:r>
      <w:r w:rsidR="00F059EA" w:rsidRPr="006323BF">
        <w:rPr>
          <w:color w:val="000000" w:themeColor="text1"/>
          <w:sz w:val="22"/>
          <w:szCs w:val="22"/>
        </w:rPr>
        <w:t xml:space="preserve">gene </w:t>
      </w:r>
      <w:r w:rsidRPr="006323BF">
        <w:rPr>
          <w:color w:val="000000" w:themeColor="text1"/>
          <w:sz w:val="22"/>
          <w:szCs w:val="22"/>
        </w:rPr>
        <w:t xml:space="preserve">set, </w:t>
      </w:r>
      <w:r w:rsidR="00F059EA" w:rsidRPr="006323BF">
        <w:rPr>
          <w:color w:val="000000" w:themeColor="text1"/>
          <w:sz w:val="22"/>
          <w:szCs w:val="22"/>
        </w:rPr>
        <w:t>we also saw</w:t>
      </w:r>
      <w:r w:rsidRPr="006323BF">
        <w:rPr>
          <w:color w:val="000000" w:themeColor="text1"/>
          <w:sz w:val="22"/>
          <w:szCs w:val="22"/>
        </w:rPr>
        <w:t xml:space="preserve"> the role of the extracellular matrix and wound healing</w:t>
      </w:r>
      <w:r w:rsidR="00F059EA" w:rsidRPr="006323BF">
        <w:rPr>
          <w:color w:val="000000" w:themeColor="text1"/>
          <w:sz w:val="22"/>
          <w:szCs w:val="22"/>
        </w:rPr>
        <w:t xml:space="preserve"> highlighted</w:t>
      </w:r>
      <w:r w:rsidRPr="006323BF">
        <w:rPr>
          <w:color w:val="000000" w:themeColor="text1"/>
          <w:sz w:val="22"/>
          <w:szCs w:val="22"/>
        </w:rPr>
        <w:t xml:space="preserve"> </w:t>
      </w:r>
      <w:r w:rsidR="006323BF">
        <w:rPr>
          <w:color w:val="000000" w:themeColor="text1"/>
          <w:sz w:val="22"/>
          <w:szCs w:val="22"/>
        </w:rPr>
        <w:t>(</w:t>
      </w:r>
      <w:r w:rsidRPr="002F7479">
        <w:rPr>
          <w:color w:val="000000" w:themeColor="text1"/>
          <w:sz w:val="22"/>
          <w:szCs w:val="22"/>
          <w:highlight w:val="magenta"/>
        </w:rPr>
        <w:t>Figure 4A</w:t>
      </w:r>
      <w:r w:rsidR="006323BF">
        <w:rPr>
          <w:color w:val="000000" w:themeColor="text1"/>
          <w:sz w:val="22"/>
          <w:szCs w:val="22"/>
        </w:rPr>
        <w:t>)</w:t>
      </w:r>
      <w:r w:rsidRPr="006323BF">
        <w:rPr>
          <w:color w:val="000000" w:themeColor="text1"/>
          <w:sz w:val="22"/>
          <w:szCs w:val="22"/>
        </w:rPr>
        <w:t xml:space="preserve">. The gross overlap between the two parallel MAIC analyses carried out in this study was not shown to be significant by hypergeometric test (p&gt;0.5). However, focusing on the prioritised genes from both </w:t>
      </w:r>
      <w:r w:rsidR="00F059EA" w:rsidRPr="006323BF">
        <w:rPr>
          <w:color w:val="000000" w:themeColor="text1"/>
          <w:sz w:val="22"/>
          <w:szCs w:val="22"/>
        </w:rPr>
        <w:t xml:space="preserve">gene </w:t>
      </w:r>
      <w:r w:rsidRPr="006323BF">
        <w:rPr>
          <w:color w:val="000000" w:themeColor="text1"/>
          <w:sz w:val="22"/>
          <w:szCs w:val="22"/>
        </w:rPr>
        <w:t>sets</w:t>
      </w:r>
      <w:r w:rsidR="00E715A3" w:rsidRPr="006323BF">
        <w:rPr>
          <w:color w:val="000000" w:themeColor="text1"/>
          <w:sz w:val="22"/>
          <w:szCs w:val="22"/>
        </w:rPr>
        <w:t xml:space="preserve"> </w:t>
      </w:r>
      <w:r w:rsidRPr="006323BF">
        <w:rPr>
          <w:color w:val="000000" w:themeColor="text1"/>
          <w:sz w:val="22"/>
          <w:szCs w:val="22"/>
        </w:rPr>
        <w:t xml:space="preserve">indicated the overlap of 163 genes </w:t>
      </w:r>
      <w:r w:rsidR="006323BF">
        <w:rPr>
          <w:color w:val="000000" w:themeColor="text1"/>
          <w:sz w:val="22"/>
          <w:szCs w:val="22"/>
        </w:rPr>
        <w:t>(</w:t>
      </w:r>
      <w:r w:rsidRPr="002F7479">
        <w:rPr>
          <w:color w:val="000000" w:themeColor="text1"/>
          <w:sz w:val="22"/>
          <w:szCs w:val="22"/>
          <w:highlight w:val="magenta"/>
        </w:rPr>
        <w:t>Figure 4B</w:t>
      </w:r>
      <w:r w:rsidR="006323BF">
        <w:rPr>
          <w:color w:val="000000" w:themeColor="text1"/>
          <w:sz w:val="22"/>
          <w:szCs w:val="22"/>
        </w:rPr>
        <w:t>)</w:t>
      </w:r>
      <w:r w:rsidRPr="006323BF">
        <w:rPr>
          <w:color w:val="000000" w:themeColor="text1"/>
          <w:sz w:val="22"/>
          <w:szCs w:val="22"/>
        </w:rPr>
        <w:t xml:space="preserve"> was significant </w:t>
      </w:r>
      <w:r w:rsidR="006323BF">
        <w:rPr>
          <w:color w:val="000000" w:themeColor="text1"/>
          <w:sz w:val="22"/>
          <w:szCs w:val="22"/>
        </w:rPr>
        <w:t>(</w:t>
      </w:r>
      <w:r w:rsidRPr="002F7479">
        <w:rPr>
          <w:color w:val="000000" w:themeColor="text1"/>
          <w:sz w:val="22"/>
          <w:szCs w:val="22"/>
          <w:highlight w:val="green"/>
        </w:rPr>
        <w:t xml:space="preserve">Supplementary Table </w:t>
      </w:r>
      <w:r w:rsidR="00CD4E27" w:rsidRPr="002F7479">
        <w:rPr>
          <w:color w:val="000000" w:themeColor="text1"/>
          <w:sz w:val="22"/>
          <w:szCs w:val="22"/>
          <w:highlight w:val="green"/>
        </w:rPr>
        <w:t>13</w:t>
      </w:r>
      <w:r w:rsidR="006323BF">
        <w:rPr>
          <w:color w:val="000000" w:themeColor="text1"/>
          <w:sz w:val="22"/>
          <w:szCs w:val="22"/>
        </w:rPr>
        <w:t>)</w:t>
      </w:r>
      <w:r w:rsidRPr="006323BF">
        <w:rPr>
          <w:color w:val="000000" w:themeColor="text1"/>
          <w:sz w:val="22"/>
          <w:szCs w:val="22"/>
        </w:rPr>
        <w:t xml:space="preserve">. </w:t>
      </w:r>
      <w:r w:rsidR="00E715A3" w:rsidRPr="006323BF">
        <w:rPr>
          <w:color w:val="000000" w:themeColor="text1"/>
          <w:sz w:val="22"/>
          <w:szCs w:val="22"/>
        </w:rPr>
        <w:t xml:space="preserve">The similarity occurred predominantly toward the top of the prioritised lists. </w:t>
      </w:r>
      <w:r w:rsidR="006323BF">
        <w:rPr>
          <w:color w:val="000000" w:themeColor="text1"/>
          <w:sz w:val="22"/>
          <w:szCs w:val="22"/>
        </w:rPr>
        <w:t>(</w:t>
      </w:r>
      <w:r w:rsidR="00E715A3" w:rsidRPr="002F7479">
        <w:rPr>
          <w:color w:val="000000" w:themeColor="text1"/>
          <w:sz w:val="22"/>
          <w:szCs w:val="22"/>
          <w:highlight w:val="magenta"/>
        </w:rPr>
        <w:t>Figure 4C</w:t>
      </w:r>
      <w:r w:rsidR="006323BF">
        <w:rPr>
          <w:color w:val="000000" w:themeColor="text1"/>
          <w:sz w:val="22"/>
          <w:szCs w:val="22"/>
        </w:rPr>
        <w:t>)</w:t>
      </w:r>
      <w:r w:rsidR="00E715A3" w:rsidRPr="006323BF">
        <w:rPr>
          <w:color w:val="000000" w:themeColor="text1"/>
          <w:sz w:val="22"/>
          <w:szCs w:val="22"/>
        </w:rPr>
        <w:t xml:space="preserve"> </w:t>
      </w:r>
    </w:p>
    <w:p w14:paraId="69F98C09" w14:textId="0009BC91" w:rsidR="005D240B" w:rsidRPr="006323BF" w:rsidRDefault="006323BF" w:rsidP="00172688">
      <w:pPr>
        <w:spacing w:line="480" w:lineRule="auto"/>
        <w:jc w:val="both"/>
        <w:rPr>
          <w:color w:val="000000" w:themeColor="text1"/>
          <w:sz w:val="22"/>
          <w:szCs w:val="22"/>
        </w:rPr>
      </w:pPr>
      <w:r w:rsidRPr="006323BF">
        <w:rPr>
          <w:color w:val="000000" w:themeColor="text1"/>
          <w:sz w:val="22"/>
          <w:szCs w:val="22"/>
        </w:rPr>
        <w:t>An MCL-clustered PPI network of the overlapping genes between the prioritised sets revealed five distinct clusters (</w:t>
      </w:r>
      <w:r w:rsidRPr="002F7479">
        <w:rPr>
          <w:color w:val="000000" w:themeColor="text1"/>
          <w:sz w:val="22"/>
          <w:szCs w:val="22"/>
          <w:highlight w:val="magenta"/>
        </w:rPr>
        <w:t>Figure 4D</w:t>
      </w:r>
      <w:r w:rsidRPr="006323BF">
        <w:rPr>
          <w:color w:val="000000" w:themeColor="text1"/>
          <w:sz w:val="22"/>
          <w:szCs w:val="22"/>
        </w:rPr>
        <w:t>). These clusters prominently featured T-cell receptor–associated genes, including those linked to primary immunodeficiency and ZAP-70 translocation, as well as genes involved in mitosis. Notably, the overlap also highlighted B-cell receptor signalling pathways which was absent from either dataset when analysed independently, alongside IL-1 signalling, which was shared across both datasets.</w:t>
      </w:r>
    </w:p>
    <w:p w14:paraId="257E1A6D" w14:textId="77777777" w:rsidR="005D240B" w:rsidRPr="006323BF" w:rsidRDefault="005D240B" w:rsidP="00172688">
      <w:pPr>
        <w:spacing w:line="480" w:lineRule="auto"/>
        <w:jc w:val="both"/>
        <w:rPr>
          <w:b/>
          <w:bCs/>
          <w:color w:val="000000" w:themeColor="text1"/>
          <w:sz w:val="22"/>
          <w:szCs w:val="22"/>
        </w:rPr>
      </w:pPr>
      <w:r w:rsidRPr="006323BF">
        <w:rPr>
          <w:color w:val="000000" w:themeColor="text1"/>
          <w:sz w:val="22"/>
          <w:szCs w:val="22"/>
        </w:rPr>
        <w:br w:type="column"/>
      </w:r>
      <w:commentRangeStart w:id="2"/>
      <w:r w:rsidRPr="006323BF">
        <w:rPr>
          <w:b/>
          <w:bCs/>
          <w:color w:val="000000" w:themeColor="text1"/>
          <w:sz w:val="22"/>
          <w:szCs w:val="22"/>
        </w:rPr>
        <w:lastRenderedPageBreak/>
        <w:t>Discussion</w:t>
      </w:r>
      <w:commentRangeEnd w:id="2"/>
      <w:r w:rsidR="003C69BD" w:rsidRPr="006323BF">
        <w:rPr>
          <w:rStyle w:val="CommentReference"/>
          <w:color w:val="000000" w:themeColor="text1"/>
        </w:rPr>
        <w:commentReference w:id="2"/>
      </w:r>
    </w:p>
    <w:p w14:paraId="71C88350" w14:textId="1EA11E3B"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The clinical and biological heterogeneity of BPD presents challenges for identifying the molecular processes that drive progression of the disease. To address this, we applied a validated</w:t>
      </w:r>
      <w:r w:rsidRPr="006323BF">
        <w:rPr>
          <w:i/>
          <w:iCs/>
          <w:color w:val="000000" w:themeColor="text1"/>
          <w:sz w:val="22"/>
          <w:szCs w:val="22"/>
        </w:rPr>
        <w:t xml:space="preserve"> in silico </w:t>
      </w:r>
      <w:r w:rsidRPr="006323BF">
        <w:rPr>
          <w:color w:val="000000" w:themeColor="text1"/>
          <w:sz w:val="22"/>
          <w:szCs w:val="22"/>
        </w:rPr>
        <w:t xml:space="preserve">approach to systematically integrate and prioritise existing genome-scale BPD datasets from both human and rodent studies.  </w:t>
      </w:r>
      <w:r w:rsidR="006030CD" w:rsidRPr="006323BF">
        <w:rPr>
          <w:color w:val="000000" w:themeColor="text1"/>
          <w:sz w:val="22"/>
          <w:szCs w:val="22"/>
        </w:rPr>
        <w:t>Further to this, we</w:t>
      </w:r>
      <w:r w:rsidRPr="006323BF">
        <w:rPr>
          <w:color w:val="000000" w:themeColor="text1"/>
          <w:sz w:val="22"/>
          <w:szCs w:val="22"/>
        </w:rPr>
        <w:t xml:space="preserve"> compared our</w:t>
      </w:r>
      <w:r w:rsidR="006030CD" w:rsidRPr="006323BF">
        <w:rPr>
          <w:color w:val="000000" w:themeColor="text1"/>
          <w:sz w:val="22"/>
          <w:szCs w:val="22"/>
        </w:rPr>
        <w:t xml:space="preserve"> human BPD MAIC results</w:t>
      </w:r>
      <w:r w:rsidRPr="006323BF">
        <w:rPr>
          <w:color w:val="000000" w:themeColor="text1"/>
          <w:sz w:val="22"/>
          <w:szCs w:val="22"/>
        </w:rPr>
        <w:t xml:space="preserve"> to</w:t>
      </w:r>
      <w:r w:rsidR="00F76418" w:rsidRPr="006323BF">
        <w:rPr>
          <w:color w:val="000000" w:themeColor="text1"/>
          <w:sz w:val="22"/>
          <w:szCs w:val="22"/>
        </w:rPr>
        <w:t xml:space="preserve"> </w:t>
      </w:r>
      <w:r w:rsidR="00172688" w:rsidRPr="006323BF">
        <w:rPr>
          <w:color w:val="000000" w:themeColor="text1"/>
          <w:sz w:val="22"/>
          <w:szCs w:val="22"/>
        </w:rPr>
        <w:t xml:space="preserve">our </w:t>
      </w:r>
      <w:r w:rsidRPr="006323BF">
        <w:rPr>
          <w:color w:val="000000" w:themeColor="text1"/>
          <w:sz w:val="22"/>
          <w:szCs w:val="22"/>
        </w:rPr>
        <w:t>previously generated ARDS</w:t>
      </w:r>
      <w:r w:rsidR="00172688" w:rsidRPr="006323BF">
        <w:rPr>
          <w:color w:val="000000" w:themeColor="text1"/>
          <w:sz w:val="22"/>
          <w:szCs w:val="22"/>
        </w:rPr>
        <w:t xml:space="preserve"> MAIC dataset</w:t>
      </w:r>
      <w:r w:rsidRPr="006323BF">
        <w:rPr>
          <w:color w:val="000000" w:themeColor="text1"/>
          <w:sz w:val="22"/>
          <w:szCs w:val="22"/>
        </w:rPr>
        <w:t xml:space="preserve">. </w:t>
      </w:r>
    </w:p>
    <w:p w14:paraId="37AF34CF" w14:textId="77777777" w:rsidR="00172688" w:rsidRPr="006323BF" w:rsidRDefault="00172688" w:rsidP="00172688">
      <w:pPr>
        <w:spacing w:line="480" w:lineRule="auto"/>
        <w:jc w:val="both"/>
        <w:rPr>
          <w:color w:val="000000" w:themeColor="text1"/>
          <w:sz w:val="22"/>
          <w:szCs w:val="22"/>
        </w:rPr>
      </w:pPr>
    </w:p>
    <w:p w14:paraId="66C7A733" w14:textId="0D31CC92" w:rsidR="005400FE" w:rsidRPr="006323BF" w:rsidRDefault="001E7CF0" w:rsidP="00172688">
      <w:pPr>
        <w:spacing w:line="480" w:lineRule="auto"/>
        <w:jc w:val="both"/>
        <w:rPr>
          <w:color w:val="000000" w:themeColor="text1"/>
          <w:sz w:val="22"/>
          <w:szCs w:val="22"/>
        </w:rPr>
      </w:pPr>
      <w:r w:rsidRPr="006323BF">
        <w:rPr>
          <w:color w:val="000000" w:themeColor="text1"/>
          <w:sz w:val="22"/>
          <w:szCs w:val="22"/>
        </w:rPr>
        <w:t>Processes associated with lymphocytic cell development and activation are strongly represented throughout our results.</w:t>
      </w:r>
      <w:r w:rsidR="00D47C81" w:rsidRPr="006323BF">
        <w:rPr>
          <w:color w:val="000000" w:themeColor="text1"/>
          <w:sz w:val="22"/>
          <w:szCs w:val="22"/>
        </w:rPr>
        <w:t xml:space="preserve"> </w:t>
      </w:r>
      <w:r w:rsidRPr="006323BF">
        <w:rPr>
          <w:color w:val="000000" w:themeColor="text1"/>
          <w:sz w:val="22"/>
          <w:szCs w:val="22"/>
        </w:rPr>
        <w:t xml:space="preserve"> </w:t>
      </w:r>
      <w:r w:rsidR="00C817ED" w:rsidRPr="006323BF">
        <w:rPr>
          <w:rFonts w:cs="Calibri"/>
          <w:color w:val="000000" w:themeColor="text1"/>
          <w:sz w:val="22"/>
          <w:szCs w:val="22"/>
        </w:rPr>
        <w:t>Our findings prioritise specific elements of the T cell immune response, in particular development and adhesion. This is not without foundation within the literature.  A recent study of potential transcriptomic endotypes in BPD focused on the Pietrzyk dataset included in our analysis</w:t>
      </w:r>
      <w:r w:rsidR="00C817ED" w:rsidRPr="006323BF">
        <w:rPr>
          <w:rFonts w:cs="Calibri"/>
          <w:color w:val="000000" w:themeColor="text1"/>
          <w:sz w:val="22"/>
          <w:szCs w:val="22"/>
        </w:rPr>
        <w:fldChar w:fldCharType="begin"/>
      </w:r>
      <w:r w:rsidR="00B50BCE" w:rsidRPr="006323BF">
        <w:rPr>
          <w:rFonts w:cs="Calibri"/>
          <w:color w:val="000000" w:themeColor="text1"/>
          <w:sz w:val="22"/>
          <w:szCs w:val="22"/>
        </w:rPr>
        <w:instrText xml:space="preserve"> ADDIN ZOTERO_ITEM CSL_CITATION {"citationID":"m8civNmW","properties":{"formattedCitation":"\\super 17,39\\nosupersub{}","plainCitation":"17,39","noteIndex":0},"citationItems":[{"id":1738,"uris":["http://zotero.org/users/14418362/items/4FM3ID98"],"itemData":{"id":1738,"type":"article-journal","abstract":"IMPACT: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00C817ED" w:rsidRPr="006323BF">
        <w:rPr>
          <w:rFonts w:cs="Calibri"/>
          <w:color w:val="000000" w:themeColor="text1"/>
          <w:sz w:val="22"/>
          <w:szCs w:val="22"/>
        </w:rPr>
        <w:fldChar w:fldCharType="separate"/>
      </w:r>
      <w:r w:rsidR="00B50BCE" w:rsidRPr="006323BF">
        <w:rPr>
          <w:rFonts w:ascii="Aptos" w:cs="Times New Roman"/>
          <w:color w:val="000000"/>
          <w:sz w:val="22"/>
          <w:vertAlign w:val="superscript"/>
        </w:rPr>
        <w:t>17,39</w:t>
      </w:r>
      <w:r w:rsidR="00C817ED" w:rsidRPr="006323BF">
        <w:rPr>
          <w:rFonts w:cs="Calibri"/>
          <w:color w:val="000000" w:themeColor="text1"/>
          <w:sz w:val="22"/>
          <w:szCs w:val="22"/>
        </w:rPr>
        <w:fldChar w:fldCharType="end"/>
      </w:r>
      <w:r w:rsidR="00172688" w:rsidRPr="006323BF">
        <w:rPr>
          <w:rFonts w:cs="Calibri"/>
          <w:color w:val="000000" w:themeColor="text1"/>
          <w:sz w:val="22"/>
          <w:szCs w:val="22"/>
        </w:rPr>
        <w:t>.</w:t>
      </w:r>
      <w:r w:rsidR="00C817ED" w:rsidRPr="006323BF">
        <w:rPr>
          <w:rFonts w:cs="Calibri"/>
          <w:color w:val="000000" w:themeColor="text1"/>
          <w:sz w:val="22"/>
          <w:szCs w:val="22"/>
        </w:rPr>
        <w:t xml:space="preserve"> and identified 4 potential endotypes underlying BPD progression. T helper 17 (Th17) differentiation </w:t>
      </w:r>
      <w:r w:rsidR="00C817ED" w:rsidRPr="006323BF">
        <w:rPr>
          <w:color w:val="000000" w:themeColor="text1"/>
          <w:sz w:val="22"/>
          <w:szCs w:val="22"/>
        </w:rPr>
        <w:t>emerged as the most significant pathway distinguishing the BPD endotypes.</w:t>
      </w:r>
      <w:r w:rsidR="00C817ED" w:rsidRPr="006323BF">
        <w:rPr>
          <w:rFonts w:cs="Calibri"/>
          <w:color w:val="000000" w:themeColor="text1"/>
          <w:sz w:val="22"/>
          <w:szCs w:val="22"/>
        </w:rPr>
        <w:t xml:space="preserve">  </w:t>
      </w:r>
      <w:r w:rsidR="00C817ED" w:rsidRPr="006323BF">
        <w:rPr>
          <w:color w:val="000000" w:themeColor="text1"/>
          <w:sz w:val="22"/>
          <w:szCs w:val="22"/>
        </w:rPr>
        <w:t>CD4+ T-cells were shown to be reduced in infants who develop BPD.</w:t>
      </w:r>
      <w:r w:rsidR="00C817ED"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{"citationID":"xkktLkc9","properties":{"formattedCitation":"\\super 63\\nosupersub{}","plainCitation":"63","noteIndex":0},"citationItems":[{"id":2504,"uris":["http://zotero.org/users/14418362/items/BGIG42DF"],"itemData":{"id":2504,"type":"article-journal","container-title":"American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00C817ED" w:rsidRPr="006323BF">
        <w:rPr>
          <w:color w:val="000000" w:themeColor="text1"/>
          <w:sz w:val="22"/>
          <w:szCs w:val="22"/>
        </w:rPr>
        <w:fldChar w:fldCharType="separate"/>
      </w:r>
      <w:r w:rsidR="00B50BCE" w:rsidRPr="006323BF">
        <w:rPr>
          <w:rFonts w:ascii="Aptos" w:cs="Times New Roman"/>
          <w:color w:val="000000"/>
          <w:sz w:val="22"/>
          <w:vertAlign w:val="superscript"/>
        </w:rPr>
        <w:t>63</w:t>
      </w:r>
      <w:r w:rsidR="00C817ED" w:rsidRPr="006323BF">
        <w:rPr>
          <w:color w:val="000000" w:themeColor="text1"/>
          <w:sz w:val="22"/>
          <w:szCs w:val="22"/>
        </w:rPr>
        <w:fldChar w:fldCharType="end"/>
      </w:r>
      <w:r w:rsidR="00C817ED" w:rsidRPr="006323BF">
        <w:rPr>
          <w:color w:val="000000" w:themeColor="text1"/>
          <w:sz w:val="22"/>
          <w:szCs w:val="22"/>
        </w:rPr>
        <w:t xml:space="preserve">  While, a lower CD4/CD8 ratio has been observed in adults with a history of BPD</w:t>
      </w:r>
      <w:r w:rsidR="00C817ED"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{"citationID":"PD1cnCT2","properties":{"formattedCitation":"\\super 64\\nosupersub{}","plainCitation":"64","noteIndex":0},"citationItems":[{"id":2271,"uris":["http://zotero.org/users/14418362/items/EGCZQ2BF"],"itemData":{"id":2271,"type":"article-journal","abstract":"Objectives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00C817ED" w:rsidRPr="006323BF">
        <w:rPr>
          <w:color w:val="000000" w:themeColor="text1"/>
          <w:sz w:val="22"/>
          <w:szCs w:val="22"/>
        </w:rPr>
        <w:fldChar w:fldCharType="separate"/>
      </w:r>
      <w:r w:rsidR="00B50BCE" w:rsidRPr="006323BF">
        <w:rPr>
          <w:rFonts w:ascii="Aptos" w:cs="Times New Roman"/>
          <w:color w:val="000000"/>
          <w:sz w:val="22"/>
          <w:vertAlign w:val="superscript"/>
        </w:rPr>
        <w:t>64</w:t>
      </w:r>
      <w:r w:rsidR="00C817ED" w:rsidRPr="006323BF">
        <w:rPr>
          <w:color w:val="000000" w:themeColor="text1"/>
          <w:sz w:val="22"/>
          <w:szCs w:val="22"/>
        </w:rPr>
        <w:fldChar w:fldCharType="end"/>
      </w:r>
      <w:r w:rsidR="00172688" w:rsidRPr="006323BF">
        <w:rPr>
          <w:color w:val="000000" w:themeColor="text1"/>
          <w:sz w:val="22"/>
          <w:szCs w:val="22"/>
        </w:rPr>
        <w:t>.</w:t>
      </w:r>
      <w:r w:rsidR="00C817ED" w:rsidRPr="006323BF">
        <w:rPr>
          <w:color w:val="000000" w:themeColor="text1"/>
          <w:sz w:val="22"/>
          <w:szCs w:val="22"/>
        </w:rPr>
        <w:t xml:space="preserve"> These taken together suggest a central role for lymphoid cells in the progression </w:t>
      </w:r>
      <w:r w:rsidR="009A3070" w:rsidRPr="006323BF">
        <w:rPr>
          <w:color w:val="000000" w:themeColor="text1"/>
          <w:sz w:val="22"/>
          <w:szCs w:val="22"/>
        </w:rPr>
        <w:t xml:space="preserve">and </w:t>
      </w:r>
      <w:r w:rsidR="00C817ED" w:rsidRPr="006323BF">
        <w:rPr>
          <w:color w:val="000000" w:themeColor="text1"/>
          <w:sz w:val="22"/>
          <w:szCs w:val="22"/>
        </w:rPr>
        <w:t>of BPD</w:t>
      </w:r>
      <w:r w:rsidR="009A3070" w:rsidRPr="006323BF">
        <w:rPr>
          <w:color w:val="000000" w:themeColor="text1"/>
          <w:sz w:val="22"/>
          <w:szCs w:val="22"/>
        </w:rPr>
        <w:t>.</w:t>
      </w:r>
    </w:p>
    <w:p w14:paraId="10DAF0C5" w14:textId="77777777" w:rsidR="00502716" w:rsidRPr="006323BF" w:rsidRDefault="00502716" w:rsidP="00172688">
      <w:pPr>
        <w:spacing w:line="480" w:lineRule="auto"/>
        <w:jc w:val="both"/>
        <w:rPr>
          <w:color w:val="000000" w:themeColor="text1"/>
          <w:sz w:val="22"/>
          <w:szCs w:val="22"/>
        </w:rPr>
      </w:pPr>
    </w:p>
    <w:p w14:paraId="4CD0BDE6" w14:textId="1F8F0FDB" w:rsidR="005400FE" w:rsidRPr="006323BF" w:rsidRDefault="00502716" w:rsidP="00172688">
      <w:pPr>
        <w:spacing w:line="480" w:lineRule="auto"/>
        <w:jc w:val="both"/>
        <w:rPr>
          <w:color w:val="000000" w:themeColor="text1"/>
          <w:sz w:val="22"/>
          <w:szCs w:val="22"/>
        </w:rPr>
      </w:pPr>
      <w:r w:rsidRPr="006323BF">
        <w:rPr>
          <w:color w:val="000000" w:themeColor="text1"/>
          <w:sz w:val="22"/>
          <w:szCs w:val="22"/>
        </w:rPr>
        <w:t>The</w:t>
      </w:r>
      <w:r w:rsidR="00083898" w:rsidRPr="006323BF">
        <w:rPr>
          <w:color w:val="000000" w:themeColor="text1"/>
          <w:sz w:val="22"/>
          <w:szCs w:val="22"/>
        </w:rPr>
        <w:t xml:space="preserve"> top hit </w:t>
      </w:r>
      <w:r w:rsidR="00D47C81" w:rsidRPr="006323BF">
        <w:rPr>
          <w:color w:val="000000" w:themeColor="text1"/>
          <w:sz w:val="22"/>
          <w:szCs w:val="22"/>
        </w:rPr>
        <w:t>in the</w:t>
      </w:r>
      <w:r w:rsidR="00083898" w:rsidRPr="006323BF">
        <w:rPr>
          <w:color w:val="000000" w:themeColor="text1"/>
          <w:sz w:val="22"/>
          <w:szCs w:val="22"/>
        </w:rPr>
        <w:t xml:space="preserve"> human</w:t>
      </w:r>
      <w:r w:rsidR="00D47C81" w:rsidRPr="006323BF">
        <w:rPr>
          <w:color w:val="000000" w:themeColor="text1"/>
          <w:sz w:val="22"/>
          <w:szCs w:val="22"/>
        </w:rPr>
        <w:t xml:space="preserve"> dataset </w:t>
      </w:r>
      <w:r w:rsidR="00083898" w:rsidRPr="006323BF">
        <w:rPr>
          <w:color w:val="000000" w:themeColor="text1"/>
          <w:sz w:val="22"/>
          <w:szCs w:val="22"/>
        </w:rPr>
        <w:t>is Ras guanyl-releasing protein 3, RASGRP3, a</w:t>
      </w:r>
      <w:r w:rsidR="00456715" w:rsidRPr="006323BF">
        <w:rPr>
          <w:color w:val="000000" w:themeColor="text1"/>
          <w:sz w:val="22"/>
          <w:szCs w:val="22"/>
        </w:rPr>
        <w:t xml:space="preserve"> guanyl nucleotide exchange factor</w:t>
      </w:r>
      <w:r w:rsidRPr="006323BF">
        <w:rPr>
          <w:color w:val="000000" w:themeColor="text1"/>
          <w:sz w:val="22"/>
          <w:szCs w:val="22"/>
        </w:rPr>
        <w:t xml:space="preserve"> has been shown to</w:t>
      </w:r>
      <w:r w:rsidR="00456715" w:rsidRPr="006323BF">
        <w:rPr>
          <w:color w:val="000000" w:themeColor="text1"/>
          <w:sz w:val="22"/>
          <w:szCs w:val="22"/>
        </w:rPr>
        <w:t xml:space="preserve"> act</w:t>
      </w:r>
      <w:r w:rsidRPr="006323BF">
        <w:rPr>
          <w:color w:val="000000" w:themeColor="text1"/>
          <w:sz w:val="22"/>
          <w:szCs w:val="22"/>
        </w:rPr>
        <w:t xml:space="preserve"> </w:t>
      </w:r>
      <w:r w:rsidR="00456715" w:rsidRPr="006323BF">
        <w:rPr>
          <w:color w:val="000000" w:themeColor="text1"/>
          <w:sz w:val="22"/>
          <w:szCs w:val="22"/>
        </w:rPr>
        <w:t>downstream of the B-Cell Receptor to activate RAS and RAP1</w:t>
      </w:r>
      <w:r w:rsidR="00456715"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{"citationID":"GzEPn1bW","properties":{"formattedCitation":"\\super 65\\nosupersub{}","plainCitation":"65","noteIndex":0},"citationItems":[{"id":2498,"uris":["http://zotero.org/users/14418362/items/7E3X9VWE"],"itemData":{"id":2498,"type":"article-journal","container-title":"Journal of Biological Chemistry","DOI":"10.1074/jbc.M005327200","ISSN":"00219258","issue":"45","journalAbbreviation":"Journal of Biological Chemistry","language":"en","license":"https://www.elsevier.com/tdm/userlicense/1.0/","page":"34901-34908","source":"DOI.org (Crossref)","title":"Identification of Guanine Nucleotide Exchange Factors (GEFs) for the Rap1 GTPase","URL":"https://linkinghub.elsevier.com/retrieve/pii/S0021925820887808","volume":"275","author":[{"family":"Rebhun","given":"John F."},{"family":"Castro","given":"Ariel F."},{"family":"Quilliam","given":"Lawrence A."}],"accessed":{"date-parts":[["2025",9,8]]},"issued":{"date-parts":[["2000",11]]}}}],"schema":"https://github.com/citation-style-language/schema/raw/master/csl-citation.json"} </w:instrText>
      </w:r>
      <w:r w:rsidR="00456715" w:rsidRPr="006323BF">
        <w:rPr>
          <w:color w:val="000000" w:themeColor="text1"/>
          <w:sz w:val="22"/>
          <w:szCs w:val="22"/>
        </w:rPr>
        <w:fldChar w:fldCharType="separate"/>
      </w:r>
      <w:r w:rsidR="00B50BCE" w:rsidRPr="006323BF">
        <w:rPr>
          <w:rFonts w:ascii="Aptos" w:cs="Times New Roman"/>
          <w:color w:val="000000"/>
          <w:sz w:val="22"/>
          <w:vertAlign w:val="superscript"/>
        </w:rPr>
        <w:t>65</w:t>
      </w:r>
      <w:r w:rsidR="00456715" w:rsidRPr="006323BF">
        <w:rPr>
          <w:color w:val="000000" w:themeColor="text1"/>
          <w:sz w:val="22"/>
          <w:szCs w:val="22"/>
        </w:rPr>
        <w:fldChar w:fldCharType="end"/>
      </w:r>
      <w:r w:rsidR="00172688" w:rsidRPr="006323BF">
        <w:rPr>
          <w:color w:val="000000" w:themeColor="text1"/>
          <w:sz w:val="22"/>
          <w:szCs w:val="22"/>
        </w:rPr>
        <w:t>,</w:t>
      </w:r>
      <w:r w:rsidR="00456715" w:rsidRPr="006323BF">
        <w:rPr>
          <w:color w:val="000000" w:themeColor="text1"/>
          <w:sz w:val="22"/>
          <w:szCs w:val="22"/>
        </w:rPr>
        <w:t xml:space="preserve"> playing an analogous role to its family member RASGRP1 (rank = 75) which enables positive selection of thymocytes and activation of T cells </w:t>
      </w:r>
      <w:r w:rsidR="00456715"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{"citationID":"IaKaBSx5","properties":{"formattedCitation":"\\super 66\\nosupersub{}","plainCitation":"66","noteIndex":0},"citationItems":[{"id":2496,"uris":["http://zotero.org/users/14418362/items/LTJUA7IP"],"itemData":{"id":2496,"type":"article-journal","container-title":"PLoS ONE","DOI":"10.1371/journal.pone.0038796","ISSN":"1932-6203","issue":"6","journalAbbreviation":"PLoS ONE","language":"en","page":"e38796","source":"DOI.org (Crossref)","title":"Regulation of RasGRP1 Function in T Cell Development and Activation by Its Unique Tail Domain","URL":"https://dx.plos.org/10.1371/journal.pone.0038796","volume":"7","author":[{"family":"Fuller","given":"Deirdre M."},{"family":"Zhu","given":"Minghua"},{"family":"Song","given":"Xiaohua"},{"family":"Ou-Yang","given":"Chih-wen"},{"family":"Sullivan","given":"Sarah A."},{"family":"Stone","given":"James C."},{"family":"Zhang","given":"Weiguo"}],"editor":[{"family":"Boussiotis","given":"Vassiliki A."}],"accessed":{"date-parts":[["2025",9,8]]},"issued":{"date-parts":[["2012",6,12]]}}}],"schema":"https://github.com/citation-style-language/schema/raw/master/csl-citation.json"} </w:instrText>
      </w:r>
      <w:r w:rsidR="00456715" w:rsidRPr="006323BF">
        <w:rPr>
          <w:color w:val="000000" w:themeColor="text1"/>
          <w:sz w:val="22"/>
          <w:szCs w:val="22"/>
        </w:rPr>
        <w:fldChar w:fldCharType="separate"/>
      </w:r>
      <w:r w:rsidR="00B50BCE" w:rsidRPr="006323BF">
        <w:rPr>
          <w:rFonts w:ascii="Aptos" w:cs="Times New Roman"/>
          <w:color w:val="000000"/>
          <w:sz w:val="22"/>
          <w:vertAlign w:val="superscript"/>
        </w:rPr>
        <w:t>66</w:t>
      </w:r>
      <w:r w:rsidR="00456715" w:rsidRPr="006323BF">
        <w:rPr>
          <w:color w:val="000000" w:themeColor="text1"/>
          <w:sz w:val="22"/>
          <w:szCs w:val="22"/>
        </w:rPr>
        <w:fldChar w:fldCharType="end"/>
      </w:r>
      <w:r w:rsidR="00172688" w:rsidRPr="006323BF">
        <w:rPr>
          <w:color w:val="000000" w:themeColor="text1"/>
          <w:sz w:val="22"/>
          <w:szCs w:val="22"/>
        </w:rPr>
        <w:t>.</w:t>
      </w:r>
    </w:p>
    <w:p w14:paraId="0CBE6806" w14:textId="77777777" w:rsidR="00C817ED" w:rsidRPr="006323BF" w:rsidRDefault="00C817ED" w:rsidP="00172688">
      <w:pPr>
        <w:spacing w:line="480" w:lineRule="auto"/>
        <w:jc w:val="both"/>
        <w:rPr>
          <w:color w:val="000000" w:themeColor="text1"/>
          <w:sz w:val="22"/>
          <w:szCs w:val="22"/>
        </w:rPr>
      </w:pPr>
    </w:p>
    <w:p w14:paraId="33A382F5" w14:textId="6149E579" w:rsidR="007816AD" w:rsidRPr="006323BF" w:rsidRDefault="007816AD" w:rsidP="00172688">
      <w:pPr>
        <w:spacing w:line="480" w:lineRule="auto"/>
        <w:jc w:val="both"/>
        <w:rPr>
          <w:color w:val="000000" w:themeColor="text1"/>
          <w:sz w:val="22"/>
          <w:szCs w:val="22"/>
        </w:rPr>
      </w:pPr>
      <w:r w:rsidRPr="006323BF">
        <w:rPr>
          <w:color w:val="000000" w:themeColor="text1"/>
          <w:sz w:val="22"/>
          <w:szCs w:val="22"/>
        </w:rPr>
        <w:t>ARDS results</w:t>
      </w:r>
    </w:p>
    <w:p w14:paraId="7681286D" w14:textId="7BF404BC" w:rsidR="00D76E64" w:rsidRPr="006323BF" w:rsidRDefault="00D76E64" w:rsidP="00172688">
      <w:pPr>
        <w:spacing w:line="480" w:lineRule="auto"/>
        <w:ind w:left="720"/>
        <w:jc w:val="both"/>
        <w:rPr>
          <w:color w:val="000000" w:themeColor="text1"/>
          <w:sz w:val="22"/>
          <w:szCs w:val="22"/>
        </w:rPr>
      </w:pPr>
      <w:r w:rsidRPr="006323BF">
        <w:rPr>
          <w:color w:val="000000" w:themeColor="text1"/>
          <w:sz w:val="22"/>
          <w:szCs w:val="22"/>
        </w:rPr>
        <w:t>IL8 signalling</w:t>
      </w:r>
    </w:p>
    <w:p w14:paraId="160DD46B" w14:textId="6860D770" w:rsidR="00D76E64" w:rsidRPr="006323BF" w:rsidRDefault="00D76E64" w:rsidP="00172688">
      <w:pPr>
        <w:spacing w:line="480" w:lineRule="auto"/>
        <w:ind w:left="720"/>
        <w:jc w:val="both"/>
        <w:rPr>
          <w:color w:val="000000" w:themeColor="text1"/>
          <w:sz w:val="22"/>
          <w:szCs w:val="22"/>
        </w:rPr>
      </w:pPr>
      <w:r w:rsidRPr="006323BF">
        <w:rPr>
          <w:color w:val="000000" w:themeColor="text1"/>
          <w:sz w:val="22"/>
          <w:szCs w:val="22"/>
        </w:rPr>
        <w:t>Lymphocytes</w:t>
      </w:r>
    </w:p>
    <w:p w14:paraId="2E1426A7" w14:textId="494BFFAD" w:rsidR="007816AD" w:rsidRPr="006323BF" w:rsidRDefault="00B67F7B" w:rsidP="00172688">
      <w:pPr>
        <w:spacing w:line="480" w:lineRule="auto"/>
        <w:ind w:left="720"/>
        <w:jc w:val="both"/>
        <w:rPr>
          <w:color w:val="000000" w:themeColor="text1"/>
          <w:sz w:val="22"/>
          <w:szCs w:val="22"/>
        </w:rPr>
      </w:pPr>
      <w:r w:rsidRPr="006323BF">
        <w:rPr>
          <w:color w:val="000000" w:themeColor="text1"/>
          <w:sz w:val="22"/>
          <w:szCs w:val="22"/>
        </w:rPr>
        <w:t>We don’t see the cholesterol pathways.</w:t>
      </w:r>
    </w:p>
    <w:p w14:paraId="0049361A" w14:textId="77777777" w:rsidR="009A3070" w:rsidRPr="006323BF" w:rsidRDefault="009A3070" w:rsidP="00172688">
      <w:pPr>
        <w:spacing w:line="480" w:lineRule="auto"/>
        <w:ind w:left="720"/>
        <w:jc w:val="both"/>
        <w:rPr>
          <w:color w:val="000000" w:themeColor="text1"/>
          <w:sz w:val="22"/>
          <w:szCs w:val="22"/>
        </w:rPr>
      </w:pPr>
    </w:p>
    <w:p w14:paraId="135568CB" w14:textId="2B6696A3" w:rsidR="001E5E56" w:rsidRPr="006323BF" w:rsidRDefault="001E5E56" w:rsidP="00172688">
      <w:pPr>
        <w:spacing w:line="480" w:lineRule="auto"/>
        <w:jc w:val="both"/>
        <w:rPr>
          <w:i/>
          <w:iCs/>
          <w:color w:val="000000" w:themeColor="text1"/>
          <w:sz w:val="22"/>
          <w:szCs w:val="22"/>
        </w:rPr>
      </w:pPr>
      <w:r w:rsidRPr="006323BF">
        <w:rPr>
          <w:i/>
          <w:iCs/>
          <w:color w:val="000000" w:themeColor="text1"/>
          <w:sz w:val="22"/>
          <w:szCs w:val="22"/>
        </w:rPr>
        <w:t>Comparison of the Human and Rodent MAIC Results</w:t>
      </w:r>
    </w:p>
    <w:p w14:paraId="46B7BA33" w14:textId="77777777" w:rsidR="001E5E56" w:rsidRPr="006323BF" w:rsidRDefault="001E5E56" w:rsidP="00172688">
      <w:pPr>
        <w:spacing w:line="480" w:lineRule="auto"/>
        <w:jc w:val="both"/>
        <w:rPr>
          <w:color w:val="000000" w:themeColor="text1"/>
          <w:sz w:val="22"/>
          <w:szCs w:val="22"/>
        </w:rPr>
      </w:pPr>
    </w:p>
    <w:p w14:paraId="09741762" w14:textId="25DAC174" w:rsidR="001E5E56" w:rsidRPr="006323BF" w:rsidRDefault="001E5E56" w:rsidP="00172688">
      <w:pPr>
        <w:spacing w:line="480" w:lineRule="auto"/>
        <w:jc w:val="both"/>
        <w:rPr>
          <w:color w:val="000000" w:themeColor="text1"/>
          <w:sz w:val="22"/>
          <w:szCs w:val="22"/>
        </w:rPr>
      </w:pPr>
      <w:r w:rsidRPr="006323BF">
        <w:rPr>
          <w:color w:val="000000" w:themeColor="text1"/>
          <w:sz w:val="22"/>
          <w:szCs w:val="22"/>
        </w:rPr>
        <w:t xml:space="preserve">The primary goal of carrying out parallel MAIC analyses between human and </w:t>
      </w:r>
      <w:r w:rsidR="00667DC3" w:rsidRPr="006323BF">
        <w:rPr>
          <w:color w:val="000000" w:themeColor="text1"/>
          <w:sz w:val="22"/>
          <w:szCs w:val="22"/>
        </w:rPr>
        <w:t>animal model</w:t>
      </w:r>
      <w:r w:rsidRPr="006323BF">
        <w:rPr>
          <w:color w:val="000000" w:themeColor="text1"/>
          <w:sz w:val="22"/>
          <w:szCs w:val="22"/>
        </w:rPr>
        <w:t xml:space="preserve"> BPD studies was to differentiate species-specific responses to injury, from core conserved disease mechanisms.</w:t>
      </w:r>
      <w:r w:rsidR="009A3070" w:rsidRPr="006323BF">
        <w:rPr>
          <w:color w:val="000000" w:themeColor="text1"/>
          <w:sz w:val="22"/>
          <w:szCs w:val="22"/>
        </w:rPr>
        <w:t xml:space="preserve"> </w:t>
      </w:r>
      <w:r w:rsidRPr="006323BF">
        <w:rPr>
          <w:color w:val="000000" w:themeColor="text1"/>
          <w:sz w:val="22"/>
          <w:szCs w:val="22"/>
        </w:rPr>
        <w:t>The most notable divergence in the results from this is the functional profile of the respective datasets. While the human data strongly emphasised the role of the adaptive immune system, the rodent analysis showed a more pronounced focus on pathways associated with extracellular matrix (ECM) remodelling, and wound healing (Figure 4A). Th</w:t>
      </w:r>
      <w:r w:rsidR="009A3070" w:rsidRPr="006323BF">
        <w:rPr>
          <w:color w:val="000000" w:themeColor="text1"/>
          <w:sz w:val="22"/>
          <w:szCs w:val="22"/>
        </w:rPr>
        <w:t xml:space="preserve">e cause of this </w:t>
      </w:r>
      <w:r w:rsidRPr="006323BF">
        <w:rPr>
          <w:color w:val="000000" w:themeColor="text1"/>
          <w:sz w:val="22"/>
          <w:szCs w:val="22"/>
        </w:rPr>
        <w:t>di</w:t>
      </w:r>
      <w:r w:rsidR="009A3070" w:rsidRPr="006323BF">
        <w:rPr>
          <w:color w:val="000000" w:themeColor="text1"/>
          <w:sz w:val="22"/>
          <w:szCs w:val="22"/>
        </w:rPr>
        <w:t>vergence</w:t>
      </w:r>
      <w:r w:rsidRPr="006323BF">
        <w:rPr>
          <w:color w:val="000000" w:themeColor="text1"/>
          <w:sz w:val="22"/>
          <w:szCs w:val="22"/>
        </w:rPr>
        <w:t xml:space="preserve"> is </w:t>
      </w:r>
      <w:r w:rsidR="00172688" w:rsidRPr="006323BF">
        <w:rPr>
          <w:color w:val="000000" w:themeColor="text1"/>
          <w:sz w:val="22"/>
          <w:szCs w:val="22"/>
        </w:rPr>
        <w:t>multifactorial but</w:t>
      </w:r>
      <w:r w:rsidRPr="006323BF">
        <w:rPr>
          <w:color w:val="000000" w:themeColor="text1"/>
          <w:sz w:val="22"/>
          <w:szCs w:val="22"/>
        </w:rPr>
        <w:t xml:space="preserve"> </w:t>
      </w:r>
      <w:r w:rsidR="009A3070" w:rsidRPr="006323BF">
        <w:rPr>
          <w:color w:val="000000" w:themeColor="text1"/>
          <w:sz w:val="22"/>
          <w:szCs w:val="22"/>
        </w:rPr>
        <w:t>may be driven partly</w:t>
      </w:r>
      <w:r w:rsidRPr="006323BF">
        <w:rPr>
          <w:color w:val="000000" w:themeColor="text1"/>
          <w:sz w:val="22"/>
          <w:szCs w:val="22"/>
        </w:rPr>
        <w:t xml:space="preserve"> </w:t>
      </w:r>
      <w:r w:rsidR="009A3070" w:rsidRPr="006323BF">
        <w:rPr>
          <w:color w:val="000000" w:themeColor="text1"/>
          <w:sz w:val="22"/>
          <w:szCs w:val="22"/>
        </w:rPr>
        <w:t>by</w:t>
      </w:r>
      <w:r w:rsidR="00172688" w:rsidRPr="006323BF">
        <w:rPr>
          <w:color w:val="000000" w:themeColor="text1"/>
          <w:sz w:val="22"/>
          <w:szCs w:val="22"/>
        </w:rPr>
        <w:t xml:space="preserve"> </w:t>
      </w:r>
      <w:r w:rsidRPr="006323BF">
        <w:rPr>
          <w:color w:val="000000" w:themeColor="text1"/>
          <w:sz w:val="22"/>
          <w:szCs w:val="22"/>
        </w:rPr>
        <w:t xml:space="preserve">the sample source bias inherent in the existing literature. Over half of the human studies used circulating blood samples (52.4%), which is ideal for capturing systemic immune and biomarker signals. Conversely, </w:t>
      </w:r>
      <w:r w:rsidR="00A87B66" w:rsidRPr="006323BF">
        <w:rPr>
          <w:color w:val="000000" w:themeColor="text1"/>
          <w:sz w:val="22"/>
          <w:szCs w:val="22"/>
        </w:rPr>
        <w:t>most of</w:t>
      </w:r>
      <w:r w:rsidRPr="006323BF">
        <w:rPr>
          <w:color w:val="000000" w:themeColor="text1"/>
          <w:sz w:val="22"/>
          <w:szCs w:val="22"/>
        </w:rPr>
        <w:t xml:space="preserve"> the rodent studies (19/20) used whole lung tissue, directly capturing the local pathology and the extensive tissue remodelling inherent to the structural component of BPD. Gene regulation and expression are highly context and tissue specific. Consequently, these differences in sample type likely contribute to the divergent gene signatures observed between the two analyses.</w:t>
      </w:r>
    </w:p>
    <w:p w14:paraId="45B1B769" w14:textId="77777777" w:rsidR="001E5E56" w:rsidRPr="006323BF" w:rsidRDefault="001E5E56" w:rsidP="00172688">
      <w:pPr>
        <w:spacing w:line="480" w:lineRule="auto"/>
        <w:jc w:val="both"/>
        <w:rPr>
          <w:color w:val="000000" w:themeColor="text1"/>
          <w:sz w:val="22"/>
          <w:szCs w:val="22"/>
        </w:rPr>
      </w:pPr>
    </w:p>
    <w:p w14:paraId="4DD60272" w14:textId="366E778B" w:rsidR="001E5E56" w:rsidRPr="006323BF" w:rsidRDefault="001E5E56" w:rsidP="00172688">
      <w:pPr>
        <w:spacing w:line="480" w:lineRule="auto"/>
        <w:jc w:val="both"/>
        <w:rPr>
          <w:color w:val="000000" w:themeColor="text1"/>
          <w:sz w:val="22"/>
          <w:szCs w:val="22"/>
        </w:rPr>
      </w:pPr>
      <w:r w:rsidRPr="006323BF">
        <w:rPr>
          <w:color w:val="000000" w:themeColor="text1"/>
          <w:sz w:val="22"/>
          <w:szCs w:val="22"/>
        </w:rPr>
        <w:t xml:space="preserve">The differential immune signal (myeloid-cell-related immunity in rodents versus lymphoid-cell-related immunity in humans) may represent a genuine biological difference between the species or models. Myeloid cells are the primary effectors of the innate immune system, which is responsible for the immediate inflammatory response to insults like oxidative and physical lung injury. Conversely, lymphoid cells drive the slower developing, highly specific adaptive immune system. Rodent models primarily capture the acute, innate driven injury phase of BPD. The human disease, with its prolonged course, involves a broader and more protracted inflammatory process where the </w:t>
      </w:r>
      <w:r w:rsidR="00667DC3" w:rsidRPr="006323BF">
        <w:rPr>
          <w:color w:val="000000" w:themeColor="text1"/>
          <w:sz w:val="22"/>
          <w:szCs w:val="22"/>
        </w:rPr>
        <w:t>cells of the lymphoid lineage</w:t>
      </w:r>
      <w:r w:rsidRPr="006323BF">
        <w:rPr>
          <w:color w:val="000000" w:themeColor="text1"/>
          <w:sz w:val="22"/>
          <w:szCs w:val="22"/>
        </w:rPr>
        <w:t xml:space="preserve"> play a more influential, and potentially damaging role.</w:t>
      </w:r>
    </w:p>
    <w:p w14:paraId="2628BE4F" w14:textId="77777777" w:rsidR="001E5E56" w:rsidRPr="006323BF" w:rsidRDefault="001E5E56" w:rsidP="00172688">
      <w:pPr>
        <w:spacing w:line="480" w:lineRule="auto"/>
        <w:jc w:val="both"/>
        <w:rPr>
          <w:color w:val="000000" w:themeColor="text1"/>
          <w:sz w:val="22"/>
          <w:szCs w:val="22"/>
        </w:rPr>
      </w:pPr>
    </w:p>
    <w:p w14:paraId="687FA92F" w14:textId="36E09530" w:rsidR="001E5E56" w:rsidRPr="006323BF" w:rsidRDefault="001E5E56" w:rsidP="00172688">
      <w:pPr>
        <w:spacing w:line="480" w:lineRule="auto"/>
        <w:jc w:val="both"/>
        <w:rPr>
          <w:color w:val="000000" w:themeColor="text1"/>
          <w:sz w:val="22"/>
          <w:szCs w:val="22"/>
        </w:rPr>
      </w:pPr>
      <w:r w:rsidRPr="006323BF">
        <w:rPr>
          <w:color w:val="000000" w:themeColor="text1"/>
          <w:sz w:val="22"/>
          <w:szCs w:val="22"/>
        </w:rPr>
        <w:t>Despite the difference in their systemic and local pathologies, the significant overlap between the prioritised human and rodent lists (163 genes) points towards a conserved set of critical mechanisms. This convergence is most clearly demonstrated by the shared presence of Interleukin-1 Receptor Type 2 (IL1R2) in the top ranked genes of the human (rank = 3) and rodent (rank = 3) datasets. This finding anchors the disease in the context of the perinatal hypoxic-inflammatory environment. IL1R2 is upregulated in acute hypoxia.</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{"citationID":"8Cr45T4i","properties":{"formattedCitation":"\\super 67\\nosupersub{}","plainCitation":"67","noteIndex":0},"citationItems":[{"id":2453,"uris":["http://zotero.org/users/14418362/items/BBNNCKGM"],"itemData":{"id":2453,"type":"article-journal","abstract":"Acute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67</w:t>
      </w:r>
      <w:r w:rsidRPr="006323BF">
        <w:rPr>
          <w:color w:val="000000" w:themeColor="text1"/>
          <w:sz w:val="22"/>
          <w:szCs w:val="22"/>
        </w:rPr>
        <w:fldChar w:fldCharType="end"/>
      </w:r>
      <w:r w:rsidRPr="006323BF">
        <w:rPr>
          <w:color w:val="000000" w:themeColor="text1"/>
          <w:sz w:val="22"/>
          <w:szCs w:val="22"/>
        </w:rPr>
        <w:t xml:space="preserve">  and functions as a decoy receptor, acting as a crucial endogenous brake on the potent pro-inflammatory signalling cascade initiated by Interleukin-1 (IL-1) </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{"citationID":"LXWmnGnp","properties":{"formattedCitation":"\\super 68\\nosupersub{}","plainCitation":"68","noteIndex":0},"citationItems":[{"id":2488,"uris":["http://zotero.org/users/14418362/items/TSD7RPJ5"],"itemData":{"id":2488,"type":"article-journal","abstract":"The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68</w:t>
      </w:r>
      <w:r w:rsidRPr="006323BF">
        <w:rPr>
          <w:color w:val="000000" w:themeColor="text1"/>
          <w:sz w:val="22"/>
          <w:szCs w:val="22"/>
        </w:rPr>
        <w:fldChar w:fldCharType="end"/>
      </w:r>
      <w:r w:rsidRPr="006323BF">
        <w:rPr>
          <w:color w:val="000000" w:themeColor="text1"/>
          <w:sz w:val="22"/>
          <w:szCs w:val="22"/>
        </w:rPr>
        <w:t>. The preterm lung is uniquely vulnerable to hypoxia, which can trigger a dangerous, self-amplifying cycle of injury and inflammation</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{"citationID":"oNmHuXWk","properties":{"formattedCitation":"\\super 69\\nosupersub{}","plainCitation":"69","noteIndex":0},"citationItems":[{"id":2491,"uris":["http://zotero.org/users/14418362/items/C37FAQ8G"],"itemData":{"id":2491,"type":"article-journal","container-title":"The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69</w:t>
      </w:r>
      <w:r w:rsidRPr="006323BF">
        <w:rPr>
          <w:color w:val="000000" w:themeColor="text1"/>
          <w:sz w:val="22"/>
          <w:szCs w:val="22"/>
        </w:rPr>
        <w:fldChar w:fldCharType="end"/>
      </w:r>
      <w:r w:rsidR="00172688" w:rsidRPr="006323BF">
        <w:rPr>
          <w:color w:val="000000" w:themeColor="text1"/>
          <w:sz w:val="22"/>
          <w:szCs w:val="22"/>
        </w:rPr>
        <w:t>.</w:t>
      </w:r>
      <w:r w:rsidRPr="006323BF">
        <w:rPr>
          <w:color w:val="000000" w:themeColor="text1"/>
          <w:sz w:val="22"/>
          <w:szCs w:val="22"/>
        </w:rPr>
        <w:t xml:space="preserve"> IL-1 antagonism has been shown to confer protection in rodent models of BPD (Bui et al., 2019; Nold et al., 2013), suggesting that IL1R2 may exert a protective role as an anti-inflammatory ‘brake’ protein. </w:t>
      </w:r>
      <w:commentRangeStart w:id="3"/>
      <w:r w:rsidRPr="006323BF">
        <w:rPr>
          <w:color w:val="000000" w:themeColor="text1"/>
          <w:sz w:val="22"/>
          <w:szCs w:val="22"/>
        </w:rPr>
        <w:t>Insufficient upregulation of this gene would leave the preterm lung defenceless against unchecked IL-1-driven inflammation, leading to the severe and progressive lung damage that defines BPD.</w:t>
      </w:r>
      <w:commentRangeEnd w:id="3"/>
      <w:r w:rsidR="00667DC3" w:rsidRPr="006323BF">
        <w:rPr>
          <w:rStyle w:val="CommentReference"/>
          <w:color w:val="000000" w:themeColor="text1"/>
        </w:rPr>
        <w:commentReference w:id="3"/>
      </w:r>
    </w:p>
    <w:p w14:paraId="42DE8B1C" w14:textId="77777777" w:rsidR="001E5E56" w:rsidRPr="006323BF" w:rsidRDefault="001E5E56" w:rsidP="00172688">
      <w:pPr>
        <w:spacing w:line="480" w:lineRule="auto"/>
        <w:jc w:val="both"/>
        <w:rPr>
          <w:color w:val="000000" w:themeColor="text1"/>
          <w:sz w:val="22"/>
          <w:szCs w:val="22"/>
        </w:rPr>
      </w:pPr>
    </w:p>
    <w:p w14:paraId="08D02D5A" w14:textId="55AE80C9" w:rsidR="005D240B" w:rsidRPr="006323BF" w:rsidRDefault="001E5E56" w:rsidP="00172688">
      <w:pPr>
        <w:spacing w:line="480" w:lineRule="auto"/>
        <w:jc w:val="both"/>
        <w:rPr>
          <w:color w:val="000000" w:themeColor="text1"/>
          <w:sz w:val="22"/>
          <w:szCs w:val="22"/>
        </w:rPr>
      </w:pPr>
      <w:r w:rsidRPr="006323BF">
        <w:rPr>
          <w:color w:val="000000" w:themeColor="text1"/>
          <w:sz w:val="22"/>
          <w:szCs w:val="22"/>
        </w:rPr>
        <w:t>This study is based on the published literature and is intended to capture the current state of genome-wide BPD research. It is subject to several limitations</w:t>
      </w:r>
      <w:commentRangeStart w:id="4"/>
      <w:commentRangeStart w:id="5"/>
      <w:r w:rsidRPr="006323BF">
        <w:rPr>
          <w:color w:val="000000" w:themeColor="text1"/>
          <w:sz w:val="22"/>
          <w:szCs w:val="22"/>
        </w:rPr>
        <w:t xml:space="preserve">. Firstly, blood is among the least invasive and most practical biological samples to collect in the NICU setting. </w:t>
      </w:r>
      <w:commentRangeEnd w:id="4"/>
      <w:r w:rsidR="00667DC3" w:rsidRPr="006323BF">
        <w:rPr>
          <w:rStyle w:val="CommentReference"/>
          <w:color w:val="000000" w:themeColor="text1"/>
        </w:rPr>
        <w:commentReference w:id="4"/>
      </w:r>
      <w:commentRangeEnd w:id="5"/>
      <w:r w:rsidR="00D75528" w:rsidRPr="006323BF">
        <w:rPr>
          <w:rStyle w:val="CommentReference"/>
          <w:color w:val="000000" w:themeColor="text1"/>
        </w:rPr>
        <w:commentReference w:id="5"/>
      </w:r>
      <w:r w:rsidRPr="006323BF">
        <w:rPr>
          <w:color w:val="000000" w:themeColor="text1"/>
          <w:sz w:val="22"/>
          <w:szCs w:val="22"/>
        </w:rPr>
        <w:t xml:space="preserve">As detailed above, </w:t>
      </w:r>
      <w:commentRangeStart w:id="6"/>
      <w:r w:rsidRPr="006323BF">
        <w:rPr>
          <w:color w:val="000000" w:themeColor="text1"/>
          <w:sz w:val="22"/>
          <w:szCs w:val="22"/>
        </w:rPr>
        <w:t xml:space="preserve">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w:t>
      </w:r>
      <w:r w:rsidR="007117FA" w:rsidRPr="006323BF">
        <w:rPr>
          <w:color w:val="000000" w:themeColor="text1"/>
          <w:sz w:val="22"/>
          <w:szCs w:val="22"/>
        </w:rPr>
        <w:t>but</w:t>
      </w:r>
      <w:r w:rsidRPr="006323BF">
        <w:rPr>
          <w:color w:val="000000" w:themeColor="text1"/>
          <w:sz w:val="22"/>
          <w:szCs w:val="22"/>
        </w:rPr>
        <w:t xml:space="preserve"> summarise the effects of hyp</w:t>
      </w:r>
      <w:r w:rsidR="00A87B66" w:rsidRPr="006323BF">
        <w:rPr>
          <w:color w:val="000000" w:themeColor="text1"/>
          <w:sz w:val="22"/>
          <w:szCs w:val="22"/>
        </w:rPr>
        <w:t>er</w:t>
      </w:r>
      <w:r w:rsidRPr="006323BF">
        <w:rPr>
          <w:color w:val="000000" w:themeColor="text1"/>
          <w:sz w:val="22"/>
          <w:szCs w:val="22"/>
        </w:rPr>
        <w:t xml:space="preserve">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w:t>
      </w:r>
      <w:r w:rsidRPr="006323BF">
        <w:rPr>
          <w:color w:val="000000" w:themeColor="text1"/>
          <w:sz w:val="22"/>
          <w:szCs w:val="22"/>
        </w:rPr>
        <w:lastRenderedPageBreak/>
        <w:t xml:space="preserve">to experimental injury rather than universally conserved disease mechanisms. Finally, MAIC does not </w:t>
      </w:r>
      <w:r w:rsidR="00A87B66" w:rsidRPr="006323BF">
        <w:rPr>
          <w:color w:val="000000" w:themeColor="text1"/>
          <w:sz w:val="22"/>
          <w:szCs w:val="22"/>
        </w:rPr>
        <w:t>account for</w:t>
      </w:r>
      <w:r w:rsidRPr="006323BF">
        <w:rPr>
          <w:color w:val="000000" w:themeColor="text1"/>
          <w:sz w:val="22"/>
          <w:szCs w:val="22"/>
        </w:rPr>
        <w:t xml:space="preserve"> direction of effect.</w:t>
      </w:r>
      <w:commentRangeEnd w:id="6"/>
      <w:r w:rsidR="00667DC3" w:rsidRPr="006323BF">
        <w:rPr>
          <w:rStyle w:val="CommentReference"/>
          <w:color w:val="000000" w:themeColor="text1"/>
        </w:rPr>
        <w:commentReference w:id="6"/>
      </w:r>
    </w:p>
    <w:p w14:paraId="05607A4D" w14:textId="77777777" w:rsidR="005D240B" w:rsidRPr="006323BF" w:rsidRDefault="005D240B" w:rsidP="00172688">
      <w:pPr>
        <w:spacing w:line="480" w:lineRule="auto"/>
        <w:jc w:val="both"/>
        <w:rPr>
          <w:color w:val="000000" w:themeColor="text1"/>
          <w:sz w:val="22"/>
          <w:szCs w:val="22"/>
        </w:rPr>
      </w:pPr>
    </w:p>
    <w:p w14:paraId="0F63F890" w14:textId="2185C3CE" w:rsidR="007117FA" w:rsidRPr="006323BF" w:rsidRDefault="007117FA" w:rsidP="00172688">
      <w:pPr>
        <w:spacing w:line="480" w:lineRule="auto"/>
        <w:jc w:val="both"/>
        <w:rPr>
          <w:color w:val="000000" w:themeColor="text1"/>
          <w:sz w:val="22"/>
          <w:szCs w:val="22"/>
        </w:rPr>
      </w:pPr>
      <w:r w:rsidRPr="006323BF">
        <w:rPr>
          <w:color w:val="000000" w:themeColor="text1"/>
          <w:sz w:val="22"/>
          <w:szCs w:val="22"/>
        </w:rPr>
        <w:t>In conclusion, MAIC has provided a validated, integrative method to potentially overcome the clinical and molecular heterogeneity of BPD. Our approach has identified consensus genes across a diverse range of genome-scale studies</w:t>
      </w:r>
      <w:commentRangeStart w:id="7"/>
      <w:r w:rsidRPr="006323BF">
        <w:rPr>
          <w:color w:val="000000" w:themeColor="text1"/>
          <w:sz w:val="22"/>
          <w:szCs w:val="22"/>
        </w:rPr>
        <w:t>.</w:t>
      </w:r>
      <w:commentRangeEnd w:id="7"/>
      <w:r w:rsidR="00667DC3" w:rsidRPr="006323BF">
        <w:rPr>
          <w:rStyle w:val="CommentReference"/>
          <w:color w:val="000000" w:themeColor="text1"/>
        </w:rPr>
        <w:commentReference w:id="7"/>
      </w:r>
      <w:r w:rsidRPr="006323BF">
        <w:rPr>
          <w:color w:val="000000" w:themeColor="text1"/>
          <w:sz w:val="22"/>
          <w:szCs w:val="22"/>
        </w:rPr>
        <w:t xml:space="preserve"> </w:t>
      </w:r>
    </w:p>
    <w:p w14:paraId="61408242" w14:textId="77777777" w:rsidR="005D240B" w:rsidRPr="006323BF" w:rsidRDefault="005D240B" w:rsidP="00172688">
      <w:pPr>
        <w:spacing w:line="480" w:lineRule="auto"/>
        <w:jc w:val="both"/>
        <w:rPr>
          <w:b/>
          <w:bCs/>
          <w:color w:val="000000" w:themeColor="text1"/>
          <w:sz w:val="22"/>
          <w:szCs w:val="22"/>
        </w:rPr>
      </w:pPr>
    </w:p>
    <w:p w14:paraId="02D21737" w14:textId="77777777" w:rsidR="005D240B" w:rsidRPr="006323BF" w:rsidRDefault="005D240B" w:rsidP="00172688">
      <w:pPr>
        <w:spacing w:line="480" w:lineRule="auto"/>
        <w:jc w:val="both"/>
        <w:rPr>
          <w:b/>
          <w:bCs/>
          <w:color w:val="000000" w:themeColor="text1"/>
          <w:sz w:val="22"/>
          <w:szCs w:val="22"/>
        </w:rPr>
      </w:pPr>
      <w:r w:rsidRPr="006323BF">
        <w:rPr>
          <w:b/>
          <w:bCs/>
          <w:color w:val="000000" w:themeColor="text1"/>
          <w:sz w:val="22"/>
          <w:szCs w:val="22"/>
        </w:rPr>
        <w:br w:type="column"/>
      </w:r>
      <w:r w:rsidRPr="006323BF">
        <w:rPr>
          <w:b/>
          <w:bCs/>
          <w:color w:val="000000" w:themeColor="text1"/>
          <w:sz w:val="22"/>
          <w:szCs w:val="22"/>
        </w:rPr>
        <w:lastRenderedPageBreak/>
        <w:t>Methods</w:t>
      </w:r>
    </w:p>
    <w:p w14:paraId="50D14869" w14:textId="77777777" w:rsidR="005D240B" w:rsidRPr="006323BF" w:rsidRDefault="005D240B" w:rsidP="00172688">
      <w:pPr>
        <w:spacing w:line="480" w:lineRule="auto"/>
        <w:jc w:val="both"/>
        <w:rPr>
          <w:b/>
          <w:bCs/>
          <w:color w:val="000000" w:themeColor="text1"/>
          <w:sz w:val="22"/>
          <w:szCs w:val="22"/>
        </w:rPr>
      </w:pPr>
    </w:p>
    <w:p w14:paraId="07D3BD2A" w14:textId="77777777" w:rsidR="005D240B" w:rsidRPr="006323BF" w:rsidRDefault="005D240B" w:rsidP="00172688">
      <w:pPr>
        <w:spacing w:line="480" w:lineRule="auto"/>
        <w:jc w:val="both"/>
        <w:rPr>
          <w:b/>
          <w:bCs/>
          <w:i/>
          <w:iCs/>
          <w:color w:val="000000" w:themeColor="text1"/>
          <w:sz w:val="22"/>
          <w:szCs w:val="22"/>
        </w:rPr>
      </w:pPr>
      <w:r w:rsidRPr="006323BF">
        <w:rPr>
          <w:b/>
          <w:bCs/>
          <w:i/>
          <w:iCs/>
          <w:color w:val="000000" w:themeColor="text1"/>
          <w:sz w:val="22"/>
          <w:szCs w:val="22"/>
        </w:rPr>
        <w:t>Systematic review</w:t>
      </w:r>
    </w:p>
    <w:p w14:paraId="610CB6A5" w14:textId="30AE4BA3"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 xml:space="preserve">The systematic review and meta-analysis protocol was registered with the International Prospective Register of Systematic Reviews (PROSPERO; CRD42022306270, </w:t>
      </w:r>
      <w:r w:rsidRPr="006323BF">
        <w:rPr>
          <w:rFonts w:cs="Arial"/>
          <w:color w:val="000000" w:themeColor="text1"/>
          <w:sz w:val="22"/>
          <w:szCs w:val="22"/>
          <w:shd w:val="clear" w:color="auto" w:fill="F7F7F7"/>
        </w:rPr>
        <w:t>CRD42024550229</w:t>
      </w:r>
      <w:r w:rsidRPr="006323BF">
        <w:rPr>
          <w:color w:val="000000" w:themeColor="text1"/>
          <w:sz w:val="22"/>
          <w:szCs w:val="22"/>
        </w:rPr>
        <w:t>). The review is reported in compliance with the Preferred Reporting Items for Systematic Reviews and Meta-Analyses (PRISMA) guidelines.</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{"citationID":"UjS9MYCn","properties":{"formattedCitation":"\\super 70\\nosupersub{}","plainCitation":"70","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70</w:t>
      </w:r>
      <w:r w:rsidRPr="006323BF">
        <w:rPr>
          <w:color w:val="000000" w:themeColor="text1"/>
          <w:sz w:val="22"/>
          <w:szCs w:val="22"/>
        </w:rPr>
        <w:fldChar w:fldCharType="end"/>
      </w:r>
    </w:p>
    <w:p w14:paraId="3FC7AF3C" w14:textId="77777777" w:rsidR="005D240B" w:rsidRPr="006323BF" w:rsidRDefault="005D240B" w:rsidP="00172688">
      <w:pPr>
        <w:spacing w:line="480" w:lineRule="auto"/>
        <w:jc w:val="both"/>
        <w:rPr>
          <w:i/>
          <w:iCs/>
          <w:color w:val="000000" w:themeColor="text1"/>
          <w:sz w:val="22"/>
          <w:szCs w:val="22"/>
        </w:rPr>
      </w:pPr>
    </w:p>
    <w:p w14:paraId="6A9A5BB9" w14:textId="77777777" w:rsidR="005D240B" w:rsidRPr="006323BF" w:rsidRDefault="005D240B" w:rsidP="00172688">
      <w:pPr>
        <w:spacing w:line="480" w:lineRule="auto"/>
        <w:jc w:val="both"/>
        <w:rPr>
          <w:b/>
          <w:bCs/>
          <w:i/>
          <w:iCs/>
          <w:color w:val="000000" w:themeColor="text1"/>
          <w:sz w:val="22"/>
          <w:szCs w:val="22"/>
        </w:rPr>
      </w:pPr>
      <w:r w:rsidRPr="006323BF">
        <w:rPr>
          <w:b/>
          <w:bCs/>
          <w:i/>
          <w:iCs/>
          <w:color w:val="000000" w:themeColor="text1"/>
          <w:sz w:val="22"/>
          <w:szCs w:val="22"/>
        </w:rPr>
        <w:t>Search strategy and selection criteria</w:t>
      </w:r>
    </w:p>
    <w:p w14:paraId="3EBDBA9F" w14:textId="40C1120E"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6323BF">
        <w:rPr>
          <w:color w:val="000000" w:themeColor="text1"/>
          <w:sz w:val="22"/>
          <w:szCs w:val="22"/>
        </w:rPr>
        <w:t>hyperoxic</w:t>
      </w:r>
      <w:proofErr w:type="spellEnd"/>
      <w:r w:rsidRPr="006323BF">
        <w:rPr>
          <w:color w:val="000000" w:themeColor="text1"/>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{"citationID":"9WLeeDPb","properties":{"formattedCitation":"\\super 71\\nosupersub{}","plainCitation":"71","noteIndex":0},"citationItems":[{"id":2434,"uris":["http://zotero.org/users/14418362/items/M47TXJKF"],"itemData":{"id":2434,"type":"article-journal","container-title":"Journal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71</w:t>
      </w:r>
      <w:r w:rsidRPr="006323BF">
        <w:rPr>
          <w:color w:val="000000" w:themeColor="text1"/>
          <w:sz w:val="22"/>
          <w:szCs w:val="22"/>
        </w:rPr>
        <w:fldChar w:fldCharType="end"/>
      </w:r>
      <w:r w:rsidRPr="006323BF">
        <w:rPr>
          <w:color w:val="000000" w:themeColor="text1"/>
          <w:sz w:val="22"/>
          <w:szCs w:val="22"/>
        </w:rPr>
        <w:t xml:space="preserve"> </w:t>
      </w:r>
    </w:p>
    <w:p w14:paraId="0FAD4D9E" w14:textId="77777777" w:rsidR="005D240B" w:rsidRPr="006323BF" w:rsidRDefault="005D240B" w:rsidP="00172688">
      <w:pPr>
        <w:spacing w:line="480" w:lineRule="auto"/>
        <w:jc w:val="both"/>
        <w:rPr>
          <w:color w:val="000000" w:themeColor="text1"/>
          <w:sz w:val="22"/>
          <w:szCs w:val="22"/>
        </w:rPr>
      </w:pPr>
    </w:p>
    <w:p w14:paraId="06875070" w14:textId="2D2DEA73"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{"citationID":"fx9aLOge","properties":{"formattedCitation":"\\super 20,22,72\\nosupersub{}","plainCitation":"20,22,72","noteIndex":0},"citationItems":[{"id":2377,"uris":["http://zotero.org/users/14418362/items/WBGNVTKH"],"itemData":{"id":2377,"type":"article-journal","abstract":"OR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20,22,72</w:t>
      </w:r>
      <w:r w:rsidRPr="006323BF">
        <w:rPr>
          <w:color w:val="000000" w:themeColor="text1"/>
          <w:sz w:val="22"/>
          <w:szCs w:val="22"/>
        </w:rPr>
        <w:fldChar w:fldCharType="end"/>
      </w:r>
      <w:r w:rsidRPr="006323BF">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6323BF">
        <w:rPr>
          <w:color w:val="000000" w:themeColor="text1"/>
          <w:sz w:val="22"/>
          <w:szCs w:val="22"/>
        </w:rPr>
        <w:t>Ensembl</w:t>
      </w:r>
      <w:proofErr w:type="spellEnd"/>
      <w:r w:rsidRPr="006323BF">
        <w:rPr>
          <w:color w:val="000000" w:themeColor="text1"/>
          <w:sz w:val="22"/>
          <w:szCs w:val="22"/>
        </w:rPr>
        <w:t>/</w:t>
      </w:r>
      <w:proofErr w:type="spellStart"/>
      <w:r w:rsidRPr="006323BF">
        <w:rPr>
          <w:color w:val="000000" w:themeColor="text1"/>
          <w:sz w:val="22"/>
          <w:szCs w:val="22"/>
        </w:rPr>
        <w:t>Refseq</w:t>
      </w:r>
      <w:proofErr w:type="spellEnd"/>
      <w:r w:rsidRPr="006323BF">
        <w:rPr>
          <w:color w:val="000000" w:themeColor="text1"/>
          <w:sz w:val="22"/>
          <w:szCs w:val="22"/>
        </w:rPr>
        <w:t xml:space="preserve"> symbols if no HGNC symbol). Rodent data was </w:t>
      </w:r>
      <w:r w:rsidRPr="006323BF">
        <w:rPr>
          <w:color w:val="000000" w:themeColor="text1"/>
          <w:sz w:val="22"/>
          <w:szCs w:val="22"/>
        </w:rPr>
        <w:lastRenderedPageBreak/>
        <w:t>mapped to human ortholog symbols using custom scripts to allow for comparison with the human MAIC results.</w:t>
      </w:r>
    </w:p>
    <w:p w14:paraId="10258858" w14:textId="77777777" w:rsidR="005D240B" w:rsidRPr="006323BF" w:rsidRDefault="005D240B" w:rsidP="00172688">
      <w:pPr>
        <w:spacing w:line="480" w:lineRule="auto"/>
        <w:jc w:val="both"/>
        <w:rPr>
          <w:color w:val="000000" w:themeColor="text1"/>
          <w:sz w:val="22"/>
          <w:szCs w:val="22"/>
        </w:rPr>
      </w:pPr>
    </w:p>
    <w:p w14:paraId="0AEC5F87" w14:textId="77777777" w:rsidR="005D240B" w:rsidRPr="006323BF" w:rsidRDefault="005D240B" w:rsidP="00172688">
      <w:pPr>
        <w:spacing w:line="480" w:lineRule="auto"/>
        <w:jc w:val="both"/>
        <w:rPr>
          <w:b/>
          <w:bCs/>
          <w:i/>
          <w:iCs/>
          <w:color w:val="000000" w:themeColor="text1"/>
          <w:sz w:val="22"/>
          <w:szCs w:val="22"/>
        </w:rPr>
      </w:pPr>
      <w:r w:rsidRPr="006323BF">
        <w:rPr>
          <w:b/>
          <w:bCs/>
          <w:i/>
          <w:iCs/>
          <w:color w:val="000000" w:themeColor="text1"/>
          <w:sz w:val="22"/>
          <w:szCs w:val="22"/>
        </w:rPr>
        <w:t>MAIC</w:t>
      </w:r>
    </w:p>
    <w:p w14:paraId="2919836E" w14:textId="05B92A86"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The MAIC algorithm has previously been described in detail.</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{"citationID":"nqlEemm5","properties":{"formattedCitation":"\\super 19\\uc0\\u8211{}22,72\\nosupersub{}","plainCitation":"19–22,72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19–22,72</w:t>
      </w:r>
      <w:r w:rsidRPr="006323BF">
        <w:rPr>
          <w:color w:val="000000" w:themeColor="text1"/>
          <w:sz w:val="22"/>
          <w:szCs w:val="22"/>
        </w:rPr>
        <w:fldChar w:fldCharType="end"/>
      </w:r>
      <w:r w:rsidRPr="006323BF">
        <w:rPr>
          <w:color w:val="000000" w:themeColor="text1"/>
          <w:sz w:val="22"/>
          <w:szCs w:val="22"/>
        </w:rPr>
        <w:t xml:space="preserve"> A full description and the source code is available at https://baillielab.net/maic. We implemented </w:t>
      </w:r>
      <w:proofErr w:type="spellStart"/>
      <w:r w:rsidRPr="006323BF">
        <w:rPr>
          <w:color w:val="000000" w:themeColor="text1"/>
          <w:sz w:val="22"/>
          <w:szCs w:val="22"/>
        </w:rPr>
        <w:t>pymaic</w:t>
      </w:r>
      <w:proofErr w:type="spellEnd"/>
      <w:r w:rsidRPr="006323BF">
        <w:rPr>
          <w:color w:val="000000" w:themeColor="text1"/>
          <w:sz w:val="22"/>
          <w:szCs w:val="22"/>
        </w:rPr>
        <w:t xml:space="preserve">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6323BF" w:rsidRDefault="005D240B" w:rsidP="00172688">
      <w:pPr>
        <w:spacing w:line="480" w:lineRule="auto"/>
        <w:jc w:val="both"/>
        <w:rPr>
          <w:color w:val="000000" w:themeColor="text1"/>
          <w:sz w:val="22"/>
          <w:szCs w:val="22"/>
        </w:rPr>
      </w:pPr>
    </w:p>
    <w:p w14:paraId="2295BB2C" w14:textId="323E2A89" w:rsidR="005D240B" w:rsidRPr="006323BF" w:rsidRDefault="005D240B" w:rsidP="00172688">
      <w:pPr>
        <w:spacing w:line="480" w:lineRule="auto"/>
        <w:jc w:val="both"/>
        <w:rPr>
          <w:rFonts w:cs="Calibri"/>
          <w:b/>
          <w:bCs/>
          <w:i/>
          <w:iCs/>
          <w:color w:val="000000" w:themeColor="text1"/>
          <w:szCs w:val="22"/>
        </w:rPr>
      </w:pPr>
      <w:r w:rsidRPr="006323BF">
        <w:rPr>
          <w:rFonts w:cs="Calibri"/>
          <w:b/>
          <w:bCs/>
          <w:i/>
          <w:iCs/>
          <w:color w:val="000000" w:themeColor="text1"/>
          <w:szCs w:val="22"/>
        </w:rPr>
        <w:t>Functional analyses</w:t>
      </w:r>
      <w:r w:rsidR="001045AD" w:rsidRPr="006323BF">
        <w:rPr>
          <w:rFonts w:cs="Calibri"/>
          <w:b/>
          <w:bCs/>
          <w:i/>
          <w:iCs/>
          <w:color w:val="000000" w:themeColor="text1"/>
          <w:szCs w:val="22"/>
        </w:rPr>
        <w:t xml:space="preserve"> and tissue expression</w:t>
      </w:r>
    </w:p>
    <w:p w14:paraId="653A3BA8" w14:textId="4C8803A7"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 xml:space="preserve">All enrichment and over representation analyses were implemented using </w:t>
      </w:r>
      <w:proofErr w:type="spellStart"/>
      <w:r w:rsidRPr="006323BF">
        <w:rPr>
          <w:rFonts w:ascii="Courier New" w:hAnsi="Courier New" w:cs="Courier New"/>
          <w:color w:val="000000" w:themeColor="text1"/>
          <w:sz w:val="22"/>
          <w:szCs w:val="22"/>
        </w:rPr>
        <w:t>clusterProfiler</w:t>
      </w:r>
      <w:proofErr w:type="spellEnd"/>
      <w:r w:rsidRPr="006323BF">
        <w:rPr>
          <w:color w:val="000000" w:themeColor="text1"/>
          <w:sz w:val="22"/>
          <w:szCs w:val="22"/>
        </w:rPr>
        <w:t xml:space="preserve"> (v4.0)</w:t>
      </w:r>
      <w:r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{"citationID":"fSOrMzl3","properties":{"formattedCitation":"\\super 43\\nosupersub{}","plainCitation":"43","noteIndex":0},"citationItems":[{"id":2436,"uris":["http://zotero.org/users/14418362/items/M6WCLZNJ"],"itemData":{"id":2436,"type":"article-journal","container-title":"The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6323BF">
        <w:rPr>
          <w:color w:val="000000" w:themeColor="text1"/>
          <w:sz w:val="22"/>
          <w:szCs w:val="22"/>
        </w:rPr>
        <w:fldChar w:fldCharType="separate"/>
      </w:r>
      <w:r w:rsidR="00B50BCE" w:rsidRPr="006323BF">
        <w:rPr>
          <w:rFonts w:ascii="Aptos" w:cs="Times New Roman"/>
          <w:color w:val="000000"/>
          <w:sz w:val="22"/>
          <w:vertAlign w:val="superscript"/>
        </w:rPr>
        <w:t>43</w:t>
      </w:r>
      <w:r w:rsidRPr="006323BF">
        <w:rPr>
          <w:color w:val="000000" w:themeColor="text1"/>
          <w:sz w:val="22"/>
          <w:szCs w:val="22"/>
        </w:rPr>
        <w:fldChar w:fldCharType="end"/>
      </w:r>
      <w:r w:rsidRPr="006323BF">
        <w:rPr>
          <w:color w:val="000000" w:themeColor="text1"/>
          <w:sz w:val="22"/>
          <w:szCs w:val="22"/>
        </w:rPr>
        <w:t xml:space="preserve"> in R (v4.</w:t>
      </w:r>
      <w:r w:rsidR="00B50BCE" w:rsidRPr="006323BF">
        <w:rPr>
          <w:color w:val="000000" w:themeColor="text1"/>
          <w:sz w:val="22"/>
          <w:szCs w:val="22"/>
        </w:rPr>
        <w:t>5</w:t>
      </w:r>
      <w:r w:rsidRPr="006323BF">
        <w:rPr>
          <w:color w:val="000000" w:themeColor="text1"/>
          <w:sz w:val="22"/>
          <w:szCs w:val="22"/>
        </w:rPr>
        <w:t>.</w:t>
      </w:r>
      <w:r w:rsidR="00B50BCE" w:rsidRPr="006323BF">
        <w:rPr>
          <w:color w:val="000000" w:themeColor="text1"/>
          <w:sz w:val="22"/>
          <w:szCs w:val="22"/>
        </w:rPr>
        <w:t>1</w:t>
      </w:r>
      <w:r w:rsidRPr="006323BF">
        <w:rPr>
          <w:color w:val="000000" w:themeColor="text1"/>
          <w:sz w:val="22"/>
          <w:szCs w:val="22"/>
        </w:rPr>
        <w:t xml:space="preserve">) and </w:t>
      </w:r>
      <w:r w:rsidRPr="006323BF">
        <w:rPr>
          <w:rFonts w:ascii="Aptos" w:hAnsi="Aptos"/>
          <w:color w:val="000000" w:themeColor="text1"/>
          <w:sz w:val="22"/>
          <w:szCs w:val="22"/>
        </w:rPr>
        <w:t xml:space="preserve">visualised using functions in that package. </w:t>
      </w:r>
      <w:r w:rsidRPr="006323BF">
        <w:rPr>
          <w:rFonts w:ascii="Aptos" w:hAnsi="Aptos"/>
          <w:color w:val="000000" w:themeColor="text1"/>
          <w:sz w:val="22"/>
          <w:szCs w:val="22"/>
          <w:shd w:val="clear" w:color="auto" w:fill="FFFFFF"/>
        </w:rPr>
        <w:t>Redundancy of enriched GO terms</w:t>
      </w:r>
      <w:r w:rsidRPr="006323BF">
        <w:rPr>
          <w:rFonts w:ascii="Aptos" w:hAnsi="Aptos"/>
          <w:color w:val="000000" w:themeColor="text1"/>
          <w:sz w:val="22"/>
          <w:szCs w:val="22"/>
        </w:rPr>
        <w:t xml:space="preserve"> was removed</w:t>
      </w:r>
      <w:r w:rsidRPr="006323BF">
        <w:rPr>
          <w:color w:val="000000" w:themeColor="text1"/>
          <w:sz w:val="22"/>
          <w:szCs w:val="22"/>
        </w:rPr>
        <w:t xml:space="preserve"> using the </w:t>
      </w:r>
      <w:r w:rsidRPr="006323BF">
        <w:rPr>
          <w:rFonts w:ascii="Courier New" w:hAnsi="Courier New" w:cs="Courier New"/>
          <w:color w:val="000000" w:themeColor="text1"/>
          <w:sz w:val="22"/>
          <w:szCs w:val="22"/>
        </w:rPr>
        <w:t>simplify</w:t>
      </w:r>
      <w:r w:rsidRPr="006323BF">
        <w:rPr>
          <w:color w:val="000000" w:themeColor="text1"/>
          <w:sz w:val="22"/>
          <w:szCs w:val="22"/>
        </w:rPr>
        <w:t xml:space="preserve"> function. Hypergeometric tests were implemented with the </w:t>
      </w:r>
      <w:r w:rsidRPr="006323BF">
        <w:rPr>
          <w:rFonts w:ascii="Courier New" w:hAnsi="Courier New" w:cs="Courier New"/>
          <w:color w:val="000000" w:themeColor="text1"/>
          <w:sz w:val="22"/>
          <w:szCs w:val="22"/>
        </w:rPr>
        <w:t>1-phyper</w:t>
      </w:r>
      <w:r w:rsidRPr="006323BF">
        <w:rPr>
          <w:i/>
          <w:iCs/>
          <w:color w:val="000000" w:themeColor="text1"/>
          <w:sz w:val="22"/>
          <w:szCs w:val="22"/>
        </w:rPr>
        <w:t xml:space="preserve"> </w:t>
      </w:r>
      <w:r w:rsidRPr="006323BF">
        <w:rPr>
          <w:color w:val="000000" w:themeColor="text1"/>
          <w:sz w:val="22"/>
          <w:szCs w:val="22"/>
        </w:rPr>
        <w:t xml:space="preserve">function in R. Gene overlaps were visualised using </w:t>
      </w:r>
      <w:proofErr w:type="spellStart"/>
      <w:r w:rsidRPr="006323BF">
        <w:rPr>
          <w:rFonts w:ascii="Courier New" w:hAnsi="Courier New" w:cs="Courier New"/>
          <w:color w:val="000000" w:themeColor="text1"/>
          <w:sz w:val="22"/>
          <w:szCs w:val="22"/>
        </w:rPr>
        <w:t>ggvenn</w:t>
      </w:r>
      <w:proofErr w:type="spellEnd"/>
      <w:r w:rsidRPr="006323BF">
        <w:rPr>
          <w:color w:val="000000" w:themeColor="text1"/>
          <w:sz w:val="22"/>
          <w:szCs w:val="22"/>
        </w:rPr>
        <w:t>.</w:t>
      </w:r>
      <w:r w:rsidR="001045AD" w:rsidRPr="006323BF">
        <w:rPr>
          <w:color w:val="000000" w:themeColor="text1"/>
          <w:sz w:val="22"/>
          <w:szCs w:val="22"/>
        </w:rPr>
        <w:t xml:space="preserve"> We conducted cell-type specific enrichment analysis using </w:t>
      </w:r>
      <w:proofErr w:type="spellStart"/>
      <w:r w:rsidR="001045AD" w:rsidRPr="006323BF">
        <w:rPr>
          <w:color w:val="000000" w:themeColor="text1"/>
          <w:sz w:val="22"/>
          <w:szCs w:val="22"/>
        </w:rPr>
        <w:t>WebCSEA</w:t>
      </w:r>
      <w:proofErr w:type="spellEnd"/>
      <w:r w:rsidR="001045AD" w:rsidRPr="006323BF">
        <w:rPr>
          <w:color w:val="000000" w:themeColor="text1"/>
          <w:sz w:val="22"/>
          <w:szCs w:val="22"/>
        </w:rPr>
        <w:fldChar w:fldCharType="begin"/>
      </w:r>
      <w:r w:rsidR="001045AD" w:rsidRPr="006323BF">
        <w:rPr>
          <w:color w:val="000000" w:themeColor="text1"/>
          <w:sz w:val="22"/>
          <w:szCs w:val="22"/>
        </w:rPr>
        <w:instrText xml:space="preserve"> ADDIN ZOTERO_TEMP </w:instrText>
      </w:r>
      <w:r w:rsidR="001045AD" w:rsidRPr="006323BF">
        <w:rPr>
          <w:color w:val="000000" w:themeColor="text1"/>
          <w:sz w:val="22"/>
          <w:szCs w:val="22"/>
        </w:rPr>
        <w:fldChar w:fldCharType="separate"/>
      </w:r>
      <w:r w:rsidR="001045AD" w:rsidRPr="006323BF">
        <w:rPr>
          <w:noProof/>
          <w:color w:val="000000" w:themeColor="text1"/>
          <w:sz w:val="22"/>
          <w:szCs w:val="22"/>
        </w:rPr>
        <w:t>{Dai}</w:t>
      </w:r>
      <w:r w:rsidR="001045AD" w:rsidRPr="006323BF">
        <w:rPr>
          <w:color w:val="000000" w:themeColor="text1"/>
          <w:sz w:val="22"/>
          <w:szCs w:val="22"/>
        </w:rPr>
        <w:fldChar w:fldCharType="end"/>
      </w:r>
      <w:r w:rsidR="001045AD" w:rsidRPr="006323BF">
        <w:rPr>
          <w:color w:val="000000" w:themeColor="text1"/>
          <w:sz w:val="22"/>
          <w:szCs w:val="22"/>
        </w:rPr>
        <w:t xml:space="preserve"> and extracted the top 20 general cell types for each query.</w:t>
      </w:r>
      <w:r w:rsidR="004A2A48" w:rsidRPr="006323BF">
        <w:rPr>
          <w:color w:val="000000" w:themeColor="text1"/>
          <w:sz w:val="22"/>
          <w:szCs w:val="22"/>
        </w:rPr>
        <w:t xml:space="preserve"> The Drug Gene Interaction Database (</w:t>
      </w:r>
      <w:proofErr w:type="spellStart"/>
      <w:r w:rsidR="004A2A48" w:rsidRPr="006323BF">
        <w:rPr>
          <w:color w:val="000000" w:themeColor="text1"/>
          <w:sz w:val="22"/>
          <w:szCs w:val="22"/>
        </w:rPr>
        <w:t>DGIdb</w:t>
      </w:r>
      <w:proofErr w:type="spellEnd"/>
      <w:r w:rsidR="004A2A48" w:rsidRPr="006323BF">
        <w:rPr>
          <w:color w:val="000000" w:themeColor="text1"/>
          <w:sz w:val="22"/>
          <w:szCs w:val="22"/>
        </w:rPr>
        <w:t xml:space="preserve">)  was queried for each ranked gene. </w:t>
      </w:r>
      <w:r w:rsidR="004A2A48" w:rsidRPr="006323BF">
        <w:rPr>
          <w:color w:val="000000" w:themeColor="text1"/>
          <w:sz w:val="22"/>
          <w:szCs w:val="22"/>
        </w:rPr>
        <w:fldChar w:fldCharType="begin"/>
      </w:r>
      <w:r w:rsidR="00B50BCE" w:rsidRPr="006323BF">
        <w:rPr>
          <w:color w:val="000000" w:themeColor="text1"/>
          <w:sz w:val="22"/>
          <w:szCs w:val="22"/>
        </w:rPr>
        <w:instrText xml:space="preserve"> ADDIN ZOTERO_ITEM CSL_CITATION {"citationID":"paKuPfKo","properties":{"formattedCitation":"\\super 26\\nosupersub{}","plainCitation":"26","noteIndex":0},"citationItems":[{"id":2517,"uris":["http://zotero.org/users/14418362/items/2RAFLB25"],"itemData":{"id":2517,"type":"article-journal","abstract":"The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6323BF">
        <w:rPr>
          <w:color w:val="000000" w:themeColor="text1"/>
          <w:sz w:val="22"/>
          <w:szCs w:val="22"/>
        </w:rPr>
        <w:fldChar w:fldCharType="separate"/>
      </w:r>
      <w:r w:rsidR="00B50BCE" w:rsidRPr="006323BF">
        <w:rPr>
          <w:rFonts w:ascii="Aptos" w:cs="Times New Roman"/>
          <w:color w:val="000000"/>
          <w:sz w:val="22"/>
          <w:vertAlign w:val="superscript"/>
        </w:rPr>
        <w:t>26</w:t>
      </w:r>
      <w:r w:rsidR="004A2A48" w:rsidRPr="006323BF">
        <w:rPr>
          <w:color w:val="000000" w:themeColor="text1"/>
          <w:sz w:val="22"/>
          <w:szCs w:val="22"/>
        </w:rPr>
        <w:fldChar w:fldCharType="end"/>
      </w:r>
    </w:p>
    <w:p w14:paraId="060F9079" w14:textId="77777777" w:rsidR="005D240B" w:rsidRPr="006323BF" w:rsidRDefault="005D240B" w:rsidP="00172688">
      <w:pPr>
        <w:spacing w:line="480" w:lineRule="auto"/>
        <w:jc w:val="both"/>
        <w:rPr>
          <w:color w:val="000000" w:themeColor="text1"/>
          <w:sz w:val="22"/>
          <w:szCs w:val="22"/>
        </w:rPr>
      </w:pPr>
    </w:p>
    <w:p w14:paraId="1E262FC6" w14:textId="77777777" w:rsidR="005D240B" w:rsidRPr="006323BF" w:rsidRDefault="005D240B" w:rsidP="00172688">
      <w:pPr>
        <w:spacing w:line="480" w:lineRule="auto"/>
        <w:jc w:val="both"/>
        <w:rPr>
          <w:b/>
          <w:bCs/>
          <w:i/>
          <w:iCs/>
          <w:color w:val="000000" w:themeColor="text1"/>
          <w:sz w:val="22"/>
          <w:szCs w:val="22"/>
        </w:rPr>
      </w:pPr>
      <w:r w:rsidRPr="006323BF">
        <w:rPr>
          <w:b/>
          <w:bCs/>
          <w:i/>
          <w:iCs/>
          <w:color w:val="000000" w:themeColor="text1"/>
          <w:sz w:val="22"/>
          <w:szCs w:val="22"/>
        </w:rPr>
        <w:t>Protein Interaction Network</w:t>
      </w:r>
    </w:p>
    <w:p w14:paraId="3A039326" w14:textId="137B5C61" w:rsidR="005D240B" w:rsidRPr="006323BF" w:rsidRDefault="005D240B" w:rsidP="00172688">
      <w:pPr>
        <w:spacing w:line="480" w:lineRule="auto"/>
        <w:jc w:val="both"/>
        <w:rPr>
          <w:color w:val="000000" w:themeColor="text1"/>
          <w:sz w:val="22"/>
          <w:szCs w:val="22"/>
        </w:rPr>
      </w:pPr>
      <w:r w:rsidRPr="006323BF">
        <w:rPr>
          <w:color w:val="000000" w:themeColor="text1"/>
          <w:sz w:val="22"/>
          <w:szCs w:val="22"/>
        </w:rPr>
        <w:t xml:space="preserve">Prioritised genes were analysed using the online tool STRING (https:// string-db.org) to determine potential protein-protein interactions. For humans 919 genes were mapped, for rodents 1726.  A </w:t>
      </w:r>
      <w:r w:rsidRPr="006323BF">
        <w:rPr>
          <w:color w:val="000000" w:themeColor="text1"/>
          <w:sz w:val="22"/>
          <w:szCs w:val="22"/>
        </w:rPr>
        <w:lastRenderedPageBreak/>
        <w:t xml:space="preserve">PPI network was constructed using the MCL (Markov Clustering) algorithm, with an inflation parameter of 3 and focused on high confidence (interaction score of &gt;= 0.7) interactions. The network was exported and hub genes subsequently identified using </w:t>
      </w:r>
      <w:proofErr w:type="spellStart"/>
      <w:r w:rsidRPr="006323BF">
        <w:rPr>
          <w:color w:val="000000" w:themeColor="text1"/>
          <w:sz w:val="22"/>
          <w:szCs w:val="22"/>
        </w:rPr>
        <w:t>CytoHubba</w:t>
      </w:r>
      <w:proofErr w:type="spellEnd"/>
      <w:r w:rsidRPr="006323BF">
        <w:rPr>
          <w:color w:val="000000" w:themeColor="text1"/>
          <w:sz w:val="22"/>
          <w:szCs w:val="22"/>
        </w:rPr>
        <w:t xml:space="preserve"> 0.1 implemented in </w:t>
      </w:r>
      <w:proofErr w:type="spellStart"/>
      <w:r w:rsidRPr="006323BF">
        <w:rPr>
          <w:color w:val="000000" w:themeColor="text1"/>
          <w:sz w:val="22"/>
          <w:szCs w:val="22"/>
        </w:rPr>
        <w:t>CytoScape</w:t>
      </w:r>
      <w:proofErr w:type="spellEnd"/>
      <w:r w:rsidRPr="006323BF">
        <w:rPr>
          <w:color w:val="000000" w:themeColor="text1"/>
          <w:sz w:val="22"/>
          <w:szCs w:val="22"/>
        </w:rPr>
        <w:t xml:space="preserve"> 3.10.3. The overlap of the top 100 ranked genes, ranked using 5 common algorithms (MCC, MNC, Degree, EPC and DMNC), was used to evaluate hub genes, apart from overlaps</w:t>
      </w:r>
      <w:r w:rsidR="009F3C8A" w:rsidRPr="006323BF">
        <w:rPr>
          <w:color w:val="000000" w:themeColor="text1"/>
          <w:sz w:val="22"/>
          <w:szCs w:val="22"/>
        </w:rPr>
        <w:t xml:space="preserve"> between MAIC analyses</w:t>
      </w:r>
      <w:r w:rsidRPr="006323BF">
        <w:rPr>
          <w:color w:val="000000" w:themeColor="text1"/>
          <w:sz w:val="22"/>
          <w:szCs w:val="22"/>
        </w:rPr>
        <w:t xml:space="preserve"> where </w:t>
      </w:r>
      <w:r w:rsidR="009F3C8A" w:rsidRPr="006323BF">
        <w:rPr>
          <w:color w:val="000000" w:themeColor="text1"/>
          <w:sz w:val="22"/>
          <w:szCs w:val="22"/>
        </w:rPr>
        <w:t xml:space="preserve">the top 10 ranked genes </w:t>
      </w:r>
      <w:r w:rsidRPr="006323BF">
        <w:rPr>
          <w:color w:val="000000" w:themeColor="text1"/>
          <w:sz w:val="22"/>
          <w:szCs w:val="22"/>
        </w:rPr>
        <w:t>were used.</w:t>
      </w:r>
      <w:r w:rsidRPr="006323BF">
        <w:rPr>
          <w:color w:val="000000" w:themeColor="text1"/>
          <w:sz w:val="22"/>
          <w:szCs w:val="22"/>
        </w:rPr>
        <w:fldChar w:fldCharType="begin"/>
      </w:r>
      <w:r w:rsidRPr="006323BF">
        <w:rPr>
          <w:color w:val="000000" w:themeColor="text1"/>
          <w:sz w:val="22"/>
          <w:szCs w:val="22"/>
        </w:rPr>
        <w:instrText xml:space="preserve"> ADDIN ZOTERO_TEMP </w:instrText>
      </w:r>
      <w:r w:rsidRPr="006323BF">
        <w:rPr>
          <w:color w:val="000000" w:themeColor="text1"/>
          <w:sz w:val="22"/>
          <w:szCs w:val="22"/>
        </w:rPr>
        <w:fldChar w:fldCharType="separate"/>
      </w:r>
      <w:r w:rsidRPr="006323BF">
        <w:rPr>
          <w:color w:val="000000" w:themeColor="text1"/>
          <w:sz w:val="22"/>
          <w:szCs w:val="22"/>
        </w:rPr>
        <w:fldChar w:fldCharType="end"/>
      </w:r>
      <w:r w:rsidRPr="006323BF">
        <w:rPr>
          <w:color w:val="000000" w:themeColor="text1"/>
          <w:sz w:val="22"/>
          <w:szCs w:val="22"/>
        </w:rPr>
        <w:t xml:space="preserve"> </w:t>
      </w:r>
    </w:p>
    <w:p w14:paraId="3630F8F0" w14:textId="77777777" w:rsidR="005D240B" w:rsidRPr="006323BF" w:rsidRDefault="005D240B" w:rsidP="00172688">
      <w:pPr>
        <w:spacing w:line="480" w:lineRule="auto"/>
        <w:jc w:val="both"/>
        <w:rPr>
          <w:color w:val="000000" w:themeColor="text1"/>
          <w:sz w:val="22"/>
          <w:szCs w:val="22"/>
        </w:rPr>
      </w:pPr>
    </w:p>
    <w:p w14:paraId="483B6AFA" w14:textId="77777777" w:rsidR="0077789B" w:rsidRPr="006323BF" w:rsidRDefault="0077789B" w:rsidP="00172688">
      <w:pPr>
        <w:spacing w:line="480" w:lineRule="auto"/>
        <w:jc w:val="both"/>
        <w:rPr>
          <w:b/>
          <w:bCs/>
          <w:color w:val="000000" w:themeColor="text1"/>
          <w:sz w:val="22"/>
          <w:szCs w:val="22"/>
        </w:rPr>
      </w:pPr>
      <w:r w:rsidRPr="006323BF">
        <w:rPr>
          <w:b/>
          <w:bCs/>
          <w:color w:val="000000" w:themeColor="text1"/>
          <w:sz w:val="22"/>
          <w:szCs w:val="22"/>
        </w:rPr>
        <w:t>Overlap Analysis of Ranked Gene Lists</w:t>
      </w:r>
    </w:p>
    <w:p w14:paraId="0FCAEAC1" w14:textId="2A83D582" w:rsidR="005D240B" w:rsidRPr="006323BF" w:rsidRDefault="0077789B" w:rsidP="00172688">
      <w:pPr>
        <w:spacing w:line="480" w:lineRule="auto"/>
        <w:jc w:val="both"/>
        <w:rPr>
          <w:color w:val="000000" w:themeColor="text1"/>
          <w:sz w:val="22"/>
          <w:szCs w:val="22"/>
        </w:rPr>
      </w:pPr>
      <w:r w:rsidRPr="006323BF">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6323BF" w:rsidRDefault="005D240B" w:rsidP="00172688">
      <w:pPr>
        <w:spacing w:line="480" w:lineRule="auto"/>
        <w:jc w:val="both"/>
        <w:rPr>
          <w:color w:val="000000" w:themeColor="text1"/>
          <w:sz w:val="22"/>
          <w:szCs w:val="22"/>
        </w:rPr>
      </w:pPr>
    </w:p>
    <w:p w14:paraId="71BC31DA" w14:textId="77777777" w:rsidR="005D240B" w:rsidRPr="006323BF" w:rsidRDefault="005D240B" w:rsidP="00172688">
      <w:pPr>
        <w:spacing w:line="480" w:lineRule="auto"/>
        <w:jc w:val="both"/>
        <w:rPr>
          <w:b/>
          <w:bCs/>
          <w:color w:val="000000" w:themeColor="text1"/>
          <w:sz w:val="22"/>
          <w:szCs w:val="22"/>
        </w:rPr>
      </w:pPr>
      <w:r w:rsidRPr="006323BF">
        <w:rPr>
          <w:b/>
          <w:bCs/>
          <w:color w:val="000000" w:themeColor="text1"/>
          <w:sz w:val="22"/>
          <w:szCs w:val="22"/>
        </w:rPr>
        <w:br w:type="page"/>
      </w:r>
    </w:p>
    <w:p w14:paraId="5BD17566" w14:textId="77777777" w:rsidR="005D240B" w:rsidRPr="006323BF" w:rsidRDefault="005D240B" w:rsidP="00172688">
      <w:pPr>
        <w:spacing w:line="480" w:lineRule="auto"/>
        <w:jc w:val="both"/>
        <w:rPr>
          <w:b/>
          <w:bCs/>
          <w:color w:val="000000" w:themeColor="text1"/>
          <w:sz w:val="22"/>
          <w:szCs w:val="22"/>
        </w:rPr>
      </w:pPr>
      <w:r w:rsidRPr="006323BF">
        <w:rPr>
          <w:b/>
          <w:bCs/>
          <w:color w:val="000000" w:themeColor="text1"/>
          <w:sz w:val="22"/>
          <w:szCs w:val="22"/>
        </w:rPr>
        <w:lastRenderedPageBreak/>
        <w:t>References</w:t>
      </w:r>
    </w:p>
    <w:p w14:paraId="723D5FD2" w14:textId="77777777" w:rsidR="00B50BCE" w:rsidRPr="006323BF" w:rsidRDefault="00983820" w:rsidP="00B50BCE">
      <w:pPr>
        <w:pStyle w:val="Bibliography"/>
      </w:pPr>
      <w:r w:rsidRPr="006323BF">
        <w:rPr>
          <w:b/>
          <w:bCs/>
          <w:color w:val="000000" w:themeColor="text1"/>
          <w:sz w:val="22"/>
          <w:szCs w:val="22"/>
        </w:rPr>
        <w:fldChar w:fldCharType="begin"/>
      </w:r>
      <w:r w:rsidR="00246187" w:rsidRPr="006323BF">
        <w:rPr>
          <w:b/>
          <w:bCs/>
          <w:color w:val="000000" w:themeColor="text1"/>
          <w:sz w:val="22"/>
          <w:szCs w:val="22"/>
        </w:rPr>
        <w:instrText xml:space="preserve"> ADDIN ZOTERO_BIBL {"uncited":[],"omitted":[],"custom":[]} CSL_BIBLIOGRAPHY </w:instrText>
      </w:r>
      <w:r w:rsidRPr="006323BF">
        <w:rPr>
          <w:b/>
          <w:bCs/>
          <w:color w:val="000000" w:themeColor="text1"/>
          <w:sz w:val="22"/>
          <w:szCs w:val="22"/>
        </w:rPr>
        <w:fldChar w:fldCharType="separate"/>
      </w:r>
      <w:r w:rsidR="00B50BCE" w:rsidRPr="006323BF">
        <w:t>1.</w:t>
      </w:r>
      <w:r w:rsidR="00B50BCE" w:rsidRPr="006323BF">
        <w:tab/>
        <w:t>Neonatal Data Analysis Unit (NDAU). Neonatal Health Intelligence Tool. 2021. Available: https://www.imperial.ac.uk/neonatal-data-analysis-unit/neonatal-data-analysis-unit/neonatal-data-visualisations/.</w:t>
      </w:r>
    </w:p>
    <w:p w14:paraId="379201B6" w14:textId="77777777" w:rsidR="00B50BCE" w:rsidRPr="006323BF" w:rsidRDefault="00B50BCE" w:rsidP="00B50BCE">
      <w:pPr>
        <w:pStyle w:val="Bibliography"/>
      </w:pPr>
      <w:r w:rsidRPr="006323BF">
        <w:t>2.</w:t>
      </w:r>
      <w:r w:rsidRPr="006323BF">
        <w:tab/>
        <w:t xml:space="preserve">Isayama, T. </w:t>
      </w:r>
      <w:r w:rsidRPr="006323BF">
        <w:rPr>
          <w:i/>
          <w:iCs/>
        </w:rPr>
        <w:t>et al.</w:t>
      </w:r>
      <w:r w:rsidRPr="006323BF">
        <w:t xml:space="preserve"> Revisiting the Definition of Bronchopulmonary Dysplasia: Effect of Changing Panoply of Respiratory Support for Preterm Neonates. </w:t>
      </w:r>
      <w:r w:rsidRPr="006323BF">
        <w:rPr>
          <w:i/>
          <w:iCs/>
        </w:rPr>
        <w:t>JAMA Pediatr.</w:t>
      </w:r>
      <w:r w:rsidRPr="006323BF">
        <w:t xml:space="preserve"> </w:t>
      </w:r>
      <w:r w:rsidRPr="006323BF">
        <w:rPr>
          <w:b/>
          <w:bCs/>
        </w:rPr>
        <w:t>171</w:t>
      </w:r>
      <w:r w:rsidRPr="006323BF">
        <w:t>, 271 (2017).</w:t>
      </w:r>
    </w:p>
    <w:p w14:paraId="775877DC" w14:textId="77777777" w:rsidR="00B50BCE" w:rsidRPr="006323BF" w:rsidRDefault="00B50BCE" w:rsidP="00B50BCE">
      <w:pPr>
        <w:pStyle w:val="Bibliography"/>
      </w:pPr>
      <w:r w:rsidRPr="006323BF">
        <w:t>3.</w:t>
      </w:r>
      <w:r w:rsidRPr="006323BF">
        <w:tab/>
        <w:t xml:space="preserve">Jensen, E. A. </w:t>
      </w:r>
      <w:r w:rsidRPr="006323BF">
        <w:rPr>
          <w:i/>
          <w:iCs/>
        </w:rPr>
        <w:t>et al.</w:t>
      </w:r>
      <w:r w:rsidRPr="006323BF">
        <w:t xml:space="preserve"> The Diagnosis of Bronchopulmonary Dysplasia in Very Preterm Infants. An Evidence-based Approach. </w:t>
      </w:r>
      <w:r w:rsidRPr="006323BF">
        <w:rPr>
          <w:i/>
          <w:iCs/>
        </w:rPr>
        <w:t>Am. J. Respir. Crit. Care Med.</w:t>
      </w:r>
      <w:r w:rsidRPr="006323BF">
        <w:t xml:space="preserve"> </w:t>
      </w:r>
      <w:r w:rsidRPr="006323BF">
        <w:rPr>
          <w:b/>
          <w:bCs/>
        </w:rPr>
        <w:t>200</w:t>
      </w:r>
      <w:r w:rsidRPr="006323BF">
        <w:t>, 751–759 (2019).</w:t>
      </w:r>
    </w:p>
    <w:p w14:paraId="17FB1D79" w14:textId="77777777" w:rsidR="00B50BCE" w:rsidRPr="006323BF" w:rsidRDefault="00B50BCE" w:rsidP="00B50BCE">
      <w:pPr>
        <w:pStyle w:val="Bibliography"/>
      </w:pPr>
      <w:r w:rsidRPr="006323BF">
        <w:t>4.</w:t>
      </w:r>
      <w:r w:rsidRPr="006323BF">
        <w:tab/>
        <w:t xml:space="preserve">Gilfillan, M., Bhandari, A. &amp; Bhandari, V. Diagnosis and management of bronchopulmonary dysplasia. </w:t>
      </w:r>
      <w:r w:rsidRPr="006323BF">
        <w:rPr>
          <w:i/>
          <w:iCs/>
        </w:rPr>
        <w:t>BMJ</w:t>
      </w:r>
      <w:r w:rsidRPr="006323BF">
        <w:t xml:space="preserve"> n1974 (2021) doi:10.1136/bmj.n1974.</w:t>
      </w:r>
    </w:p>
    <w:p w14:paraId="17A669D3" w14:textId="77777777" w:rsidR="00B50BCE" w:rsidRPr="006323BF" w:rsidRDefault="00B50BCE" w:rsidP="00B50BCE">
      <w:pPr>
        <w:pStyle w:val="Bibliography"/>
      </w:pPr>
      <w:r w:rsidRPr="006323BF">
        <w:t>5.</w:t>
      </w:r>
      <w:r w:rsidRPr="006323BF">
        <w:tab/>
        <w:t xml:space="preserve">Thébaud, B. </w:t>
      </w:r>
      <w:r w:rsidRPr="006323BF">
        <w:rPr>
          <w:i/>
          <w:iCs/>
        </w:rPr>
        <w:t>et al.</w:t>
      </w:r>
      <w:r w:rsidRPr="006323BF">
        <w:t xml:space="preserve"> Bronchopulmonary dysplasia. </w:t>
      </w:r>
      <w:r w:rsidRPr="006323BF">
        <w:rPr>
          <w:i/>
          <w:iCs/>
        </w:rPr>
        <w:t>Nat. Rev. Dis. Primer</w:t>
      </w:r>
      <w:r w:rsidRPr="006323BF">
        <w:t xml:space="preserve"> </w:t>
      </w:r>
      <w:r w:rsidRPr="006323BF">
        <w:rPr>
          <w:b/>
          <w:bCs/>
        </w:rPr>
        <w:t>5</w:t>
      </w:r>
      <w:r w:rsidRPr="006323BF">
        <w:t>, 78 (2019).</w:t>
      </w:r>
    </w:p>
    <w:p w14:paraId="66368656" w14:textId="77777777" w:rsidR="00B50BCE" w:rsidRPr="006323BF" w:rsidRDefault="00B50BCE" w:rsidP="00B50BCE">
      <w:pPr>
        <w:pStyle w:val="Bibliography"/>
      </w:pPr>
      <w:r w:rsidRPr="006323BF">
        <w:t>6.</w:t>
      </w:r>
      <w:r w:rsidRPr="006323BF">
        <w:tab/>
        <w:t xml:space="preserve">Greenough, A. Measuring respiratory outcome. </w:t>
      </w:r>
      <w:r w:rsidRPr="006323BF">
        <w:rPr>
          <w:i/>
          <w:iCs/>
        </w:rPr>
        <w:t>Semin. Neonatol.</w:t>
      </w:r>
      <w:r w:rsidRPr="006323BF">
        <w:t xml:space="preserve"> </w:t>
      </w:r>
      <w:r w:rsidRPr="006323BF">
        <w:rPr>
          <w:b/>
          <w:bCs/>
        </w:rPr>
        <w:t>5</w:t>
      </w:r>
      <w:r w:rsidRPr="006323BF">
        <w:t>, 119–126 (2000).</w:t>
      </w:r>
    </w:p>
    <w:p w14:paraId="54CC8468" w14:textId="77777777" w:rsidR="00B50BCE" w:rsidRPr="006323BF" w:rsidRDefault="00B50BCE" w:rsidP="00B50BCE">
      <w:pPr>
        <w:pStyle w:val="Bibliography"/>
      </w:pPr>
      <w:r w:rsidRPr="006323BF">
        <w:t>7.</w:t>
      </w:r>
      <w:r w:rsidRPr="006323BF">
        <w:tab/>
        <w:t xml:space="preserve">Greenough, A. Bronchopulmonary dysplasia – Long term follow up. </w:t>
      </w:r>
      <w:r w:rsidRPr="006323BF">
        <w:rPr>
          <w:i/>
          <w:iCs/>
        </w:rPr>
        <w:t>Paediatr. Respir. Rev.</w:t>
      </w:r>
      <w:r w:rsidRPr="006323BF">
        <w:t xml:space="preserve"> </w:t>
      </w:r>
      <w:r w:rsidRPr="006323BF">
        <w:rPr>
          <w:b/>
          <w:bCs/>
        </w:rPr>
        <w:t>7</w:t>
      </w:r>
      <w:r w:rsidRPr="006323BF">
        <w:t>, S189–S191 (2006).</w:t>
      </w:r>
    </w:p>
    <w:p w14:paraId="45006A97" w14:textId="77777777" w:rsidR="00B50BCE" w:rsidRPr="006323BF" w:rsidRDefault="00B50BCE" w:rsidP="00B50BCE">
      <w:pPr>
        <w:pStyle w:val="Bibliography"/>
      </w:pPr>
      <w:r w:rsidRPr="006323BF">
        <w:t>8.</w:t>
      </w:r>
      <w:r w:rsidRPr="006323BF">
        <w:tab/>
        <w:t xml:space="preserve">Dassios, T. &amp; Greenough, A. Long-term sequelae of bronchopulmonary dysplasia. in </w:t>
      </w:r>
      <w:r w:rsidRPr="006323BF">
        <w:rPr>
          <w:i/>
          <w:iCs/>
        </w:rPr>
        <w:t>Respiratory Diseases of the Newborn Infant</w:t>
      </w:r>
      <w:r w:rsidRPr="006323BF">
        <w:t xml:space="preserve"> (eds Sinha, I. P., Bhatt, J. M., Cleator, A. &amp; Wallace, H.) 68–78 (European Respiratory Society, Sheffield, United Kingdom, 2021). doi:10.1183/2312508X.10013720.</w:t>
      </w:r>
    </w:p>
    <w:p w14:paraId="3C05F068" w14:textId="77777777" w:rsidR="00B50BCE" w:rsidRPr="006323BF" w:rsidRDefault="00B50BCE" w:rsidP="00B50BCE">
      <w:pPr>
        <w:pStyle w:val="Bibliography"/>
      </w:pPr>
      <w:r w:rsidRPr="006323BF">
        <w:t>9.</w:t>
      </w:r>
      <w:r w:rsidRPr="006323BF">
        <w:tab/>
        <w:t xml:space="preserve">Sun, T., Yu, H.-Y., Yang, M., Song, Y.-F. &amp; Fu, J.-H. Risk of asthma in preterm infants with bronchopulmonary dysplasia: a systematic review and meta-analysis. </w:t>
      </w:r>
      <w:r w:rsidRPr="006323BF">
        <w:rPr>
          <w:i/>
          <w:iCs/>
        </w:rPr>
        <w:t>World J. Pediatr.</w:t>
      </w:r>
      <w:r w:rsidRPr="006323BF">
        <w:t xml:space="preserve"> </w:t>
      </w:r>
      <w:r w:rsidRPr="006323BF">
        <w:rPr>
          <w:b/>
          <w:bCs/>
        </w:rPr>
        <w:t>19</w:t>
      </w:r>
      <w:r w:rsidRPr="006323BF">
        <w:t>, 549–556 (2023).</w:t>
      </w:r>
    </w:p>
    <w:p w14:paraId="4AE49F8C" w14:textId="77777777" w:rsidR="00B50BCE" w:rsidRPr="006323BF" w:rsidRDefault="00B50BCE" w:rsidP="00B50BCE">
      <w:pPr>
        <w:pStyle w:val="Bibliography"/>
      </w:pPr>
      <w:r w:rsidRPr="006323BF">
        <w:lastRenderedPageBreak/>
        <w:t>10.</w:t>
      </w:r>
      <w:r w:rsidRPr="006323BF">
        <w:tab/>
        <w:t xml:space="preserve">Lavoie, P. M., Pham, C. &amp; Jang, K. L. Heritability of Bronchopulmonary Dysplasia, Defined According to the Consensus Statement of the National Institutes of Health. </w:t>
      </w:r>
      <w:r w:rsidRPr="006323BF">
        <w:rPr>
          <w:i/>
          <w:iCs/>
        </w:rPr>
        <w:t>Pediatrics</w:t>
      </w:r>
      <w:r w:rsidRPr="006323BF">
        <w:t xml:space="preserve"> </w:t>
      </w:r>
      <w:r w:rsidRPr="006323BF">
        <w:rPr>
          <w:b/>
          <w:bCs/>
        </w:rPr>
        <w:t>122</w:t>
      </w:r>
      <w:r w:rsidRPr="006323BF">
        <w:t>, 479–485 (2008).</w:t>
      </w:r>
    </w:p>
    <w:p w14:paraId="3FC98890" w14:textId="77777777" w:rsidR="00B50BCE" w:rsidRPr="006323BF" w:rsidRDefault="00B50BCE" w:rsidP="00B50BCE">
      <w:pPr>
        <w:pStyle w:val="Bibliography"/>
      </w:pPr>
      <w:r w:rsidRPr="006323BF">
        <w:t>11.</w:t>
      </w:r>
      <w:r w:rsidRPr="006323BF">
        <w:tab/>
        <w:t xml:space="preserve">Bhandari, V. </w:t>
      </w:r>
      <w:r w:rsidRPr="006323BF">
        <w:rPr>
          <w:i/>
          <w:iCs/>
        </w:rPr>
        <w:t>et al.</w:t>
      </w:r>
      <w:r w:rsidRPr="006323BF">
        <w:t xml:space="preserve"> Familial and Genetic Susceptibility to Major Neonatal Morbidities in Preterm Twins. </w:t>
      </w:r>
      <w:r w:rsidRPr="006323BF">
        <w:rPr>
          <w:i/>
          <w:iCs/>
        </w:rPr>
        <w:t>Pediatrics</w:t>
      </w:r>
      <w:r w:rsidRPr="006323BF">
        <w:t xml:space="preserve"> </w:t>
      </w:r>
      <w:r w:rsidRPr="006323BF">
        <w:rPr>
          <w:b/>
          <w:bCs/>
        </w:rPr>
        <w:t>117</w:t>
      </w:r>
      <w:r w:rsidRPr="006323BF">
        <w:t>, 1901–1906 (2006).</w:t>
      </w:r>
    </w:p>
    <w:p w14:paraId="3188D9D3" w14:textId="77777777" w:rsidR="00B50BCE" w:rsidRPr="006323BF" w:rsidRDefault="00B50BCE" w:rsidP="00B50BCE">
      <w:pPr>
        <w:pStyle w:val="Bibliography"/>
      </w:pPr>
      <w:r w:rsidRPr="006323BF">
        <w:t>12.</w:t>
      </w:r>
      <w:r w:rsidRPr="006323BF">
        <w:tab/>
        <w:t xml:space="preserve">Hadchouel, A. </w:t>
      </w:r>
      <w:r w:rsidRPr="006323BF">
        <w:rPr>
          <w:i/>
          <w:iCs/>
        </w:rPr>
        <w:t>et al.</w:t>
      </w:r>
      <w:r w:rsidRPr="006323BF">
        <w:t xml:space="preserve"> Identification of </w:t>
      </w:r>
      <w:r w:rsidRPr="006323BF">
        <w:rPr>
          <w:i/>
          <w:iCs/>
        </w:rPr>
        <w:t>SPOCK2</w:t>
      </w:r>
      <w:r w:rsidRPr="006323BF">
        <w:t xml:space="preserve"> As a Susceptibility Gene for Bronchopulmonary Dysplasia. </w:t>
      </w:r>
      <w:r w:rsidRPr="006323BF">
        <w:rPr>
          <w:i/>
          <w:iCs/>
        </w:rPr>
        <w:t>Am. J. Respir. Crit. Care Med.</w:t>
      </w:r>
      <w:r w:rsidRPr="006323BF">
        <w:t xml:space="preserve"> </w:t>
      </w:r>
      <w:r w:rsidRPr="006323BF">
        <w:rPr>
          <w:b/>
          <w:bCs/>
        </w:rPr>
        <w:t>184</w:t>
      </w:r>
      <w:r w:rsidRPr="006323BF">
        <w:t>, 1164–1170 (2011).</w:t>
      </w:r>
    </w:p>
    <w:p w14:paraId="6A194180" w14:textId="77777777" w:rsidR="00B50BCE" w:rsidRPr="006323BF" w:rsidRDefault="00B50BCE" w:rsidP="00B50BCE">
      <w:pPr>
        <w:pStyle w:val="Bibliography"/>
      </w:pPr>
      <w:r w:rsidRPr="006323BF">
        <w:t>13.</w:t>
      </w:r>
      <w:r w:rsidRPr="006323BF">
        <w:tab/>
        <w:t xml:space="preserve">Mahlman, M. </w:t>
      </w:r>
      <w:r w:rsidRPr="006323BF">
        <w:rPr>
          <w:i/>
          <w:iCs/>
        </w:rPr>
        <w:t>et al.</w:t>
      </w:r>
      <w:r w:rsidRPr="006323BF">
        <w:t xml:space="preserve"> Genome-wide association study of bronchopulmonary dysplasia: a potential role for variants near the CRP gene. </w:t>
      </w:r>
      <w:r w:rsidRPr="006323BF">
        <w:rPr>
          <w:i/>
          <w:iCs/>
        </w:rPr>
        <w:t>Sci. Rep.</w:t>
      </w:r>
      <w:r w:rsidRPr="006323BF">
        <w:t xml:space="preserve"> </w:t>
      </w:r>
      <w:r w:rsidRPr="006323BF">
        <w:rPr>
          <w:b/>
          <w:bCs/>
        </w:rPr>
        <w:t>7</w:t>
      </w:r>
      <w:r w:rsidRPr="006323BF">
        <w:t>, 9271 (2017).</w:t>
      </w:r>
    </w:p>
    <w:p w14:paraId="65F2C123" w14:textId="77777777" w:rsidR="00B50BCE" w:rsidRPr="006323BF" w:rsidRDefault="00B50BCE" w:rsidP="00B50BCE">
      <w:pPr>
        <w:pStyle w:val="Bibliography"/>
      </w:pPr>
      <w:r w:rsidRPr="006323BF">
        <w:t>14.</w:t>
      </w:r>
      <w:r w:rsidRPr="006323BF">
        <w:tab/>
        <w:t xml:space="preserve">Wang, H. </w:t>
      </w:r>
      <w:r w:rsidRPr="006323BF">
        <w:rPr>
          <w:i/>
          <w:iCs/>
        </w:rPr>
        <w:t>et al.</w:t>
      </w:r>
      <w:r w:rsidRPr="006323BF">
        <w:t xml:space="preserve"> A Genome-Wide Association Study (GWAS) for Bronchopulmonary Dysplasia. </w:t>
      </w:r>
      <w:r w:rsidRPr="006323BF">
        <w:rPr>
          <w:i/>
          <w:iCs/>
        </w:rPr>
        <w:t>Pediatrics</w:t>
      </w:r>
      <w:r w:rsidRPr="006323BF">
        <w:t xml:space="preserve"> </w:t>
      </w:r>
      <w:r w:rsidRPr="006323BF">
        <w:rPr>
          <w:b/>
          <w:bCs/>
        </w:rPr>
        <w:t>132</w:t>
      </w:r>
      <w:r w:rsidRPr="006323BF">
        <w:t>, 290–297 (2013).</w:t>
      </w:r>
    </w:p>
    <w:p w14:paraId="2CE83C4D" w14:textId="77777777" w:rsidR="00B50BCE" w:rsidRPr="006323BF" w:rsidRDefault="00B50BCE" w:rsidP="00B50BCE">
      <w:pPr>
        <w:pStyle w:val="Bibliography"/>
      </w:pPr>
      <w:r w:rsidRPr="006323BF">
        <w:t>15.</w:t>
      </w:r>
      <w:r w:rsidRPr="006323BF">
        <w:tab/>
        <w:t xml:space="preserve">Ambalavanan, N. </w:t>
      </w:r>
      <w:r w:rsidRPr="006323BF">
        <w:rPr>
          <w:i/>
          <w:iCs/>
        </w:rPr>
        <w:t>et al.</w:t>
      </w:r>
      <w:r w:rsidRPr="006323BF">
        <w:t xml:space="preserve"> Integrated Genomic Analyses in Bronchopulmonary Dysplasia. </w:t>
      </w:r>
      <w:r w:rsidRPr="006323BF">
        <w:rPr>
          <w:i/>
          <w:iCs/>
        </w:rPr>
        <w:t>J. Pediatr.</w:t>
      </w:r>
      <w:r w:rsidRPr="006323BF">
        <w:t xml:space="preserve"> </w:t>
      </w:r>
      <w:r w:rsidRPr="006323BF">
        <w:rPr>
          <w:b/>
          <w:bCs/>
        </w:rPr>
        <w:t>166</w:t>
      </w:r>
      <w:r w:rsidRPr="006323BF">
        <w:t>, 531-537.e13 (2015).</w:t>
      </w:r>
    </w:p>
    <w:p w14:paraId="645E0E9E" w14:textId="77777777" w:rsidR="00B50BCE" w:rsidRPr="006323BF" w:rsidRDefault="00B50BCE" w:rsidP="00B50BCE">
      <w:pPr>
        <w:pStyle w:val="Bibliography"/>
      </w:pPr>
      <w:r w:rsidRPr="006323BF">
        <w:t>16.</w:t>
      </w:r>
      <w:r w:rsidRPr="006323BF">
        <w:tab/>
        <w:t xml:space="preserve">Torgerson, D. G. </w:t>
      </w:r>
      <w:r w:rsidRPr="006323BF">
        <w:rPr>
          <w:i/>
          <w:iCs/>
        </w:rPr>
        <w:t>et al.</w:t>
      </w:r>
      <w:r w:rsidRPr="006323BF">
        <w:t xml:space="preserve"> Ancestry and genetic associations with bronchopulmonary dysplasia in preterm infants. </w:t>
      </w:r>
      <w:r w:rsidRPr="006323BF">
        <w:rPr>
          <w:i/>
          <w:iCs/>
        </w:rPr>
        <w:t>Am. J. Physiol.-Lung Cell. Mol. Physiol.</w:t>
      </w:r>
      <w:r w:rsidRPr="006323BF">
        <w:t xml:space="preserve"> </w:t>
      </w:r>
      <w:r w:rsidRPr="006323BF">
        <w:rPr>
          <w:b/>
          <w:bCs/>
        </w:rPr>
        <w:t>315</w:t>
      </w:r>
      <w:r w:rsidRPr="006323BF">
        <w:t>, L858–L869 (2018).</w:t>
      </w:r>
    </w:p>
    <w:p w14:paraId="0763A988" w14:textId="77777777" w:rsidR="00B50BCE" w:rsidRPr="006323BF" w:rsidRDefault="00B50BCE" w:rsidP="00B50BCE">
      <w:pPr>
        <w:pStyle w:val="Bibliography"/>
      </w:pPr>
      <w:r w:rsidRPr="006323BF">
        <w:t>17.</w:t>
      </w:r>
      <w:r w:rsidRPr="006323BF">
        <w:tab/>
        <w:t xml:space="preserve">Moreira, A. G. </w:t>
      </w:r>
      <w:r w:rsidRPr="006323BF">
        <w:rPr>
          <w:i/>
          <w:iCs/>
        </w:rPr>
        <w:t>et al.</w:t>
      </w:r>
      <w:r w:rsidRPr="006323BF">
        <w:t xml:space="preserve"> Leveraging transcriptomics to develop bronchopulmonary dysplasia endotypes: a concept paper. </w:t>
      </w:r>
      <w:r w:rsidRPr="006323BF">
        <w:rPr>
          <w:i/>
          <w:iCs/>
        </w:rPr>
        <w:t>Respir. Res.</w:t>
      </w:r>
      <w:r w:rsidRPr="006323BF">
        <w:t xml:space="preserve"> </w:t>
      </w:r>
      <w:r w:rsidRPr="006323BF">
        <w:rPr>
          <w:b/>
          <w:bCs/>
        </w:rPr>
        <w:t>24</w:t>
      </w:r>
      <w:r w:rsidRPr="006323BF">
        <w:t>, (2023).</w:t>
      </w:r>
    </w:p>
    <w:p w14:paraId="156B69A0" w14:textId="77777777" w:rsidR="00B50BCE" w:rsidRPr="006323BF" w:rsidRDefault="00B50BCE" w:rsidP="00B50BCE">
      <w:pPr>
        <w:pStyle w:val="Bibliography"/>
      </w:pPr>
      <w:r w:rsidRPr="006323BF">
        <w:t>18.</w:t>
      </w:r>
      <w:r w:rsidRPr="006323BF">
        <w:tab/>
        <w:t xml:space="preserve">Hurskainen, M. </w:t>
      </w:r>
      <w:r w:rsidRPr="006323BF">
        <w:rPr>
          <w:i/>
          <w:iCs/>
        </w:rPr>
        <w:t>et al.</w:t>
      </w:r>
      <w:r w:rsidRPr="006323BF">
        <w:t xml:space="preserve"> Single cell transcriptomic analysis of murine lung development on hyperoxia-induced damage. </w:t>
      </w:r>
      <w:r w:rsidRPr="006323BF">
        <w:rPr>
          <w:i/>
          <w:iCs/>
        </w:rPr>
        <w:t>Nat. Commun.</w:t>
      </w:r>
      <w:r w:rsidRPr="006323BF">
        <w:t xml:space="preserve"> </w:t>
      </w:r>
      <w:r w:rsidRPr="006323BF">
        <w:rPr>
          <w:b/>
          <w:bCs/>
        </w:rPr>
        <w:t>12</w:t>
      </w:r>
      <w:r w:rsidRPr="006323BF">
        <w:t>, (2021).</w:t>
      </w:r>
    </w:p>
    <w:p w14:paraId="54BFE0D6" w14:textId="77777777" w:rsidR="00B50BCE" w:rsidRPr="006323BF" w:rsidRDefault="00B50BCE" w:rsidP="00B50BCE">
      <w:pPr>
        <w:pStyle w:val="Bibliography"/>
      </w:pPr>
      <w:r w:rsidRPr="006323BF">
        <w:t>19.</w:t>
      </w:r>
      <w:r w:rsidRPr="006323BF">
        <w:tab/>
        <w:t xml:space="preserve">The GenOMICC Investigators </w:t>
      </w:r>
      <w:r w:rsidRPr="006323BF">
        <w:rPr>
          <w:i/>
          <w:iCs/>
        </w:rPr>
        <w:t>et al.</w:t>
      </w:r>
      <w:r w:rsidRPr="006323BF">
        <w:t xml:space="preserve"> Genetic mechanisms of critical illness in COVID-19. </w:t>
      </w:r>
      <w:r w:rsidRPr="006323BF">
        <w:rPr>
          <w:i/>
          <w:iCs/>
        </w:rPr>
        <w:t>Nature</w:t>
      </w:r>
      <w:r w:rsidRPr="006323BF">
        <w:t xml:space="preserve"> </w:t>
      </w:r>
      <w:r w:rsidRPr="006323BF">
        <w:rPr>
          <w:b/>
          <w:bCs/>
        </w:rPr>
        <w:t>591</w:t>
      </w:r>
      <w:r w:rsidRPr="006323BF">
        <w:t>, 92–98 (2021).</w:t>
      </w:r>
    </w:p>
    <w:p w14:paraId="6021570B" w14:textId="77777777" w:rsidR="00B50BCE" w:rsidRPr="006323BF" w:rsidRDefault="00B50BCE" w:rsidP="00B50BCE">
      <w:pPr>
        <w:pStyle w:val="Bibliography"/>
      </w:pPr>
      <w:r w:rsidRPr="006323BF">
        <w:t>20.</w:t>
      </w:r>
      <w:r w:rsidRPr="006323BF">
        <w:tab/>
        <w:t xml:space="preserve">Parkinson, N. </w:t>
      </w:r>
      <w:r w:rsidRPr="006323BF">
        <w:rPr>
          <w:i/>
          <w:iCs/>
        </w:rPr>
        <w:t>et al.</w:t>
      </w:r>
      <w:r w:rsidRPr="006323BF">
        <w:t xml:space="preserve"> Dynamic data-driven meta-analysis for prioritisation of host genes implicated in COVID-19. </w:t>
      </w:r>
      <w:r w:rsidRPr="006323BF">
        <w:rPr>
          <w:i/>
          <w:iCs/>
        </w:rPr>
        <w:t>Sci. Rep.</w:t>
      </w:r>
      <w:r w:rsidRPr="006323BF">
        <w:t xml:space="preserve"> </w:t>
      </w:r>
      <w:r w:rsidRPr="006323BF">
        <w:rPr>
          <w:b/>
          <w:bCs/>
        </w:rPr>
        <w:t>10</w:t>
      </w:r>
      <w:r w:rsidRPr="006323BF">
        <w:t>, 22303 (2020).</w:t>
      </w:r>
    </w:p>
    <w:p w14:paraId="7A153103" w14:textId="77777777" w:rsidR="00B50BCE" w:rsidRPr="006323BF" w:rsidRDefault="00B50BCE" w:rsidP="00B50BCE">
      <w:pPr>
        <w:pStyle w:val="Bibliography"/>
      </w:pPr>
      <w:r w:rsidRPr="006323BF">
        <w:lastRenderedPageBreak/>
        <w:t>21.</w:t>
      </w:r>
      <w:r w:rsidRPr="006323BF">
        <w:tab/>
        <w:t xml:space="preserve">Wang, B. </w:t>
      </w:r>
      <w:r w:rsidRPr="006323BF">
        <w:rPr>
          <w:i/>
          <w:iCs/>
        </w:rPr>
        <w:t>et al.</w:t>
      </w:r>
      <w:r w:rsidRPr="006323BF">
        <w:t xml:space="preserve"> Systematic comparison of ranking aggregation methods for gene lists in experimental results. </w:t>
      </w:r>
      <w:r w:rsidRPr="006323BF">
        <w:rPr>
          <w:i/>
          <w:iCs/>
        </w:rPr>
        <w:t>Bioinformatics</w:t>
      </w:r>
      <w:r w:rsidRPr="006323BF">
        <w:t xml:space="preserve"> </w:t>
      </w:r>
      <w:r w:rsidRPr="006323BF">
        <w:rPr>
          <w:b/>
          <w:bCs/>
        </w:rPr>
        <w:t>38</w:t>
      </w:r>
      <w:r w:rsidRPr="006323BF">
        <w:t>, 4927–4933 (2022).</w:t>
      </w:r>
    </w:p>
    <w:p w14:paraId="1A062F23" w14:textId="77777777" w:rsidR="00B50BCE" w:rsidRPr="006323BF" w:rsidRDefault="00B50BCE" w:rsidP="00B50BCE">
      <w:pPr>
        <w:pStyle w:val="Bibliography"/>
      </w:pPr>
      <w:r w:rsidRPr="006323BF">
        <w:t>22.</w:t>
      </w:r>
      <w:r w:rsidRPr="006323BF">
        <w:tab/>
        <w:t xml:space="preserve">Millar, J. E. </w:t>
      </w:r>
      <w:r w:rsidRPr="006323BF">
        <w:rPr>
          <w:i/>
          <w:iCs/>
        </w:rPr>
        <w:t>et al.</w:t>
      </w:r>
      <w:r w:rsidRPr="006323BF">
        <w:t xml:space="preserve"> The genomic landscape of Acute Respiratory Distress Syndrome: a meta-analysis by information content of genome-wide studies of the host response. Preprint at https://doi.org/10.1101/2024.02.13.24301089 (2024).</w:t>
      </w:r>
    </w:p>
    <w:p w14:paraId="7A4B0CAE" w14:textId="77777777" w:rsidR="00B50BCE" w:rsidRPr="006323BF" w:rsidRDefault="00B50BCE" w:rsidP="00B50BCE">
      <w:pPr>
        <w:pStyle w:val="Bibliography"/>
      </w:pPr>
      <w:r w:rsidRPr="006323BF">
        <w:t>23.</w:t>
      </w:r>
      <w:r w:rsidRPr="006323BF">
        <w:tab/>
        <w:t xml:space="preserve">Eiby, Y. A. </w:t>
      </w:r>
      <w:r w:rsidRPr="006323BF">
        <w:rPr>
          <w:i/>
          <w:iCs/>
        </w:rPr>
        <w:t>et al.</w:t>
      </w:r>
      <w:r w:rsidRPr="006323BF">
        <w:t xml:space="preserve"> A Pig Model of the Preterm Neonate: Anthropometric and Physiological Characteristics. </w:t>
      </w:r>
      <w:r w:rsidRPr="006323BF">
        <w:rPr>
          <w:i/>
          <w:iCs/>
        </w:rPr>
        <w:t>PLoS ONE</w:t>
      </w:r>
      <w:r w:rsidRPr="006323BF">
        <w:t xml:space="preserve"> </w:t>
      </w:r>
      <w:r w:rsidRPr="006323BF">
        <w:rPr>
          <w:b/>
          <w:bCs/>
        </w:rPr>
        <w:t>8</w:t>
      </w:r>
      <w:r w:rsidRPr="006323BF">
        <w:t>, e68763 (2013).</w:t>
      </w:r>
    </w:p>
    <w:p w14:paraId="2C326D8B" w14:textId="77777777" w:rsidR="00B50BCE" w:rsidRPr="006323BF" w:rsidRDefault="00B50BCE" w:rsidP="00B50BCE">
      <w:pPr>
        <w:pStyle w:val="Bibliography"/>
      </w:pPr>
      <w:r w:rsidRPr="006323BF">
        <w:t>24.</w:t>
      </w:r>
      <w:r w:rsidRPr="006323BF">
        <w:tab/>
        <w:t xml:space="preserve">Rozance, P. J. </w:t>
      </w:r>
      <w:r w:rsidRPr="006323BF">
        <w:rPr>
          <w:i/>
          <w:iCs/>
        </w:rPr>
        <w:t>et al.</w:t>
      </w:r>
      <w:r w:rsidRPr="006323BF">
        <w:t xml:space="preserve"> Intrauterine growth restriction decreases pulmonary alveolar and vessel growth and causes pulmonary artery endothelial cell dysfunction in vitro in fetal sheep. </w:t>
      </w:r>
      <w:r w:rsidRPr="006323BF">
        <w:rPr>
          <w:i/>
          <w:iCs/>
        </w:rPr>
        <w:t>Am. J. Physiol.-Lung Cell. Mol. Physiol.</w:t>
      </w:r>
      <w:r w:rsidRPr="006323BF">
        <w:t xml:space="preserve"> </w:t>
      </w:r>
      <w:r w:rsidRPr="006323BF">
        <w:rPr>
          <w:b/>
          <w:bCs/>
        </w:rPr>
        <w:t>301</w:t>
      </w:r>
      <w:r w:rsidRPr="006323BF">
        <w:t>, L860–L871 (2011).</w:t>
      </w:r>
    </w:p>
    <w:p w14:paraId="25A12A91" w14:textId="77777777" w:rsidR="00B50BCE" w:rsidRPr="006323BF" w:rsidRDefault="00B50BCE" w:rsidP="00B50BCE">
      <w:pPr>
        <w:pStyle w:val="Bibliography"/>
      </w:pPr>
      <w:r w:rsidRPr="006323BF">
        <w:t>25.</w:t>
      </w:r>
      <w:r w:rsidRPr="006323BF">
        <w:tab/>
        <w:t xml:space="preserve">Tsotakos, N. </w:t>
      </w:r>
      <w:r w:rsidRPr="006323BF">
        <w:rPr>
          <w:i/>
          <w:iCs/>
        </w:rPr>
        <w:t>et al.</w:t>
      </w:r>
      <w:r w:rsidRPr="006323BF">
        <w:t xml:space="preserve"> All trans-retinoic acid modulates hyperoxia-induced suppression of NF-kB-dependent Wnt signaling in alveolar A549 epithelial cells. </w:t>
      </w:r>
      <w:r w:rsidRPr="006323BF">
        <w:rPr>
          <w:i/>
          <w:iCs/>
        </w:rPr>
        <w:t>PloS One</w:t>
      </w:r>
      <w:r w:rsidRPr="006323BF">
        <w:t xml:space="preserve"> </w:t>
      </w:r>
      <w:r w:rsidRPr="006323BF">
        <w:rPr>
          <w:b/>
          <w:bCs/>
        </w:rPr>
        <w:t>17</w:t>
      </w:r>
      <w:r w:rsidRPr="006323BF">
        <w:t>, (2022).</w:t>
      </w:r>
    </w:p>
    <w:p w14:paraId="32EAB194" w14:textId="77777777" w:rsidR="00B50BCE" w:rsidRPr="006323BF" w:rsidRDefault="00B50BCE" w:rsidP="00B50BCE">
      <w:pPr>
        <w:pStyle w:val="Bibliography"/>
      </w:pPr>
      <w:r w:rsidRPr="006323BF">
        <w:t>26.</w:t>
      </w:r>
      <w:r w:rsidRPr="006323BF">
        <w:tab/>
        <w:t xml:space="preserve">Freshour, S. L. </w:t>
      </w:r>
      <w:r w:rsidRPr="006323BF">
        <w:rPr>
          <w:i/>
          <w:iCs/>
        </w:rPr>
        <w:t>et al.</w:t>
      </w:r>
      <w:r w:rsidRPr="006323BF">
        <w:t xml:space="preserve"> Integration of the Drug–Gene Interaction Database (DGIdb 4.0) with open crowdsource efforts. </w:t>
      </w:r>
      <w:r w:rsidRPr="006323BF">
        <w:rPr>
          <w:i/>
          <w:iCs/>
        </w:rPr>
        <w:t>Nucleic Acids Res.</w:t>
      </w:r>
      <w:r w:rsidRPr="006323BF">
        <w:t xml:space="preserve"> </w:t>
      </w:r>
      <w:r w:rsidRPr="006323BF">
        <w:rPr>
          <w:b/>
          <w:bCs/>
        </w:rPr>
        <w:t>49</w:t>
      </w:r>
      <w:r w:rsidRPr="006323BF">
        <w:t>, D1144–D1151 (2021).</w:t>
      </w:r>
    </w:p>
    <w:p w14:paraId="70AB3761" w14:textId="77777777" w:rsidR="00B50BCE" w:rsidRPr="006323BF" w:rsidRDefault="00B50BCE" w:rsidP="00B50BCE">
      <w:pPr>
        <w:pStyle w:val="Bibliography"/>
      </w:pPr>
      <w:r w:rsidRPr="006323BF">
        <w:t>27.</w:t>
      </w:r>
      <w:r w:rsidRPr="006323BF">
        <w:tab/>
        <w:t xml:space="preserve">Dai, Y. </w:t>
      </w:r>
      <w:r w:rsidRPr="006323BF">
        <w:rPr>
          <w:i/>
          <w:iCs/>
        </w:rPr>
        <w:t>et al.</w:t>
      </w:r>
      <w:r w:rsidRPr="006323BF">
        <w:t xml:space="preserve"> WebCSEA: web-based cell-type-specific enrichment analysis of genes. </w:t>
      </w:r>
      <w:r w:rsidRPr="006323BF">
        <w:rPr>
          <w:i/>
          <w:iCs/>
        </w:rPr>
        <w:t>Nucleic Acids Res.</w:t>
      </w:r>
      <w:r w:rsidRPr="006323BF">
        <w:t xml:space="preserve"> </w:t>
      </w:r>
      <w:r w:rsidRPr="006323BF">
        <w:rPr>
          <w:b/>
          <w:bCs/>
        </w:rPr>
        <w:t>50</w:t>
      </w:r>
      <w:r w:rsidRPr="006323BF">
        <w:t>, W782–W790 (2022).</w:t>
      </w:r>
    </w:p>
    <w:p w14:paraId="7378826A" w14:textId="77777777" w:rsidR="00B50BCE" w:rsidRPr="006323BF" w:rsidRDefault="00B50BCE" w:rsidP="00B50BCE">
      <w:pPr>
        <w:pStyle w:val="Bibliography"/>
      </w:pPr>
      <w:r w:rsidRPr="006323BF">
        <w:t>28.</w:t>
      </w:r>
      <w:r w:rsidRPr="006323BF">
        <w:tab/>
        <w:t xml:space="preserve">Ahmed, S. </w:t>
      </w:r>
      <w:r w:rsidRPr="006323BF">
        <w:rPr>
          <w:i/>
          <w:iCs/>
        </w:rPr>
        <w:t>et al.</w:t>
      </w:r>
      <w:r w:rsidRPr="006323BF">
        <w:t xml:space="preserve"> Proteomics-Based Mapping of Bronchopulmonary Dysplasia-Associated Changes in Noninvasively Accessible Oral Secretions. </w:t>
      </w:r>
      <w:r w:rsidRPr="006323BF">
        <w:rPr>
          <w:i/>
          <w:iCs/>
        </w:rPr>
        <w:t>J. Pediatr.</w:t>
      </w:r>
      <w:r w:rsidRPr="006323BF">
        <w:t xml:space="preserve"> </w:t>
      </w:r>
      <w:r w:rsidRPr="006323BF">
        <w:rPr>
          <w:b/>
          <w:bCs/>
        </w:rPr>
        <w:t>270</w:t>
      </w:r>
      <w:r w:rsidRPr="006323BF">
        <w:t>, (2023).</w:t>
      </w:r>
    </w:p>
    <w:p w14:paraId="71301836" w14:textId="77777777" w:rsidR="00B50BCE" w:rsidRPr="006323BF" w:rsidRDefault="00B50BCE" w:rsidP="00B50BCE">
      <w:pPr>
        <w:pStyle w:val="Bibliography"/>
      </w:pPr>
      <w:r w:rsidRPr="006323BF">
        <w:t>29.</w:t>
      </w:r>
      <w:r w:rsidRPr="006323BF">
        <w:tab/>
        <w:t xml:space="preserve">Bhattacharya, S. </w:t>
      </w:r>
      <w:r w:rsidRPr="006323BF">
        <w:rPr>
          <w:i/>
          <w:iCs/>
        </w:rPr>
        <w:t>et al.</w:t>
      </w:r>
      <w:r w:rsidRPr="006323BF">
        <w:t xml:space="preserve"> Genome-wide transcriptional profiling reveals connective tissue mast cell accumulation in bronchopulmonary dysplasia. </w:t>
      </w:r>
      <w:r w:rsidRPr="006323BF">
        <w:rPr>
          <w:i/>
          <w:iCs/>
        </w:rPr>
        <w:t>Am. J. Respir. Crit. Care Med.</w:t>
      </w:r>
      <w:r w:rsidRPr="006323BF">
        <w:t xml:space="preserve"> </w:t>
      </w:r>
      <w:r w:rsidRPr="006323BF">
        <w:rPr>
          <w:b/>
          <w:bCs/>
        </w:rPr>
        <w:t>186</w:t>
      </w:r>
      <w:r w:rsidRPr="006323BF">
        <w:t>, (2012).</w:t>
      </w:r>
    </w:p>
    <w:p w14:paraId="5D1DCB9F" w14:textId="77777777" w:rsidR="00B50BCE" w:rsidRPr="006323BF" w:rsidRDefault="00B50BCE" w:rsidP="00B50BCE">
      <w:pPr>
        <w:pStyle w:val="Bibliography"/>
      </w:pPr>
      <w:r w:rsidRPr="006323BF">
        <w:lastRenderedPageBreak/>
        <w:t>30.</w:t>
      </w:r>
      <w:r w:rsidRPr="006323BF">
        <w:tab/>
        <w:t xml:space="preserve">Bhattacharya, S. </w:t>
      </w:r>
      <w:r w:rsidRPr="006323BF">
        <w:rPr>
          <w:i/>
          <w:iCs/>
        </w:rPr>
        <w:t>et al.</w:t>
      </w:r>
      <w:r w:rsidRPr="006323BF">
        <w:t xml:space="preserve"> Lymphocyte-Specific Biomarkers Associated With Preterm Birth and Bronchopulmonary Dysplasia. </w:t>
      </w:r>
      <w:r w:rsidRPr="006323BF">
        <w:rPr>
          <w:i/>
          <w:iCs/>
        </w:rPr>
        <w:t>Front. Immunol.</w:t>
      </w:r>
      <w:r w:rsidRPr="006323BF">
        <w:t xml:space="preserve"> </w:t>
      </w:r>
      <w:r w:rsidRPr="006323BF">
        <w:rPr>
          <w:b/>
          <w:bCs/>
        </w:rPr>
        <w:t>11</w:t>
      </w:r>
      <w:r w:rsidRPr="006323BF">
        <w:t>, (2020).</w:t>
      </w:r>
    </w:p>
    <w:p w14:paraId="5B198447" w14:textId="77777777" w:rsidR="00B50BCE" w:rsidRPr="006323BF" w:rsidRDefault="00B50BCE" w:rsidP="00B50BCE">
      <w:pPr>
        <w:pStyle w:val="Bibliography"/>
      </w:pPr>
      <w:r w:rsidRPr="006323BF">
        <w:t>31.</w:t>
      </w:r>
      <w:r w:rsidRPr="006323BF">
        <w:tab/>
        <w:t xml:space="preserve">De Paepe, M. E., Greco, D. &amp; Mao, Q. Angiogenesis-related gene expression profiling in ventilated preterm human lungs. </w:t>
      </w:r>
      <w:r w:rsidRPr="006323BF">
        <w:rPr>
          <w:i/>
          <w:iCs/>
        </w:rPr>
        <w:t>Exp. Lung Res.</w:t>
      </w:r>
      <w:r w:rsidRPr="006323BF">
        <w:t xml:space="preserve"> </w:t>
      </w:r>
      <w:r w:rsidRPr="006323BF">
        <w:rPr>
          <w:b/>
          <w:bCs/>
        </w:rPr>
        <w:t>36</w:t>
      </w:r>
      <w:r w:rsidRPr="006323BF">
        <w:t>, (2010).</w:t>
      </w:r>
    </w:p>
    <w:p w14:paraId="7CF478BF" w14:textId="77777777" w:rsidR="00B50BCE" w:rsidRPr="006323BF" w:rsidRDefault="00B50BCE" w:rsidP="00B50BCE">
      <w:pPr>
        <w:pStyle w:val="Bibliography"/>
      </w:pPr>
      <w:r w:rsidRPr="006323BF">
        <w:t>32.</w:t>
      </w:r>
      <w:r w:rsidRPr="006323BF">
        <w:tab/>
        <w:t xml:space="preserve">Dai, D. </w:t>
      </w:r>
      <w:r w:rsidRPr="006323BF">
        <w:rPr>
          <w:i/>
          <w:iCs/>
        </w:rPr>
        <w:t>et al.</w:t>
      </w:r>
      <w:r w:rsidRPr="006323BF">
        <w:t xml:space="preserve"> Bronchopulmonary Dysplasia Predicted by Developing a Machine Learning Model of Genetic and Clinical Information. </w:t>
      </w:r>
      <w:r w:rsidRPr="006323BF">
        <w:rPr>
          <w:i/>
          <w:iCs/>
        </w:rPr>
        <w:t>Front. Genet.</w:t>
      </w:r>
      <w:r w:rsidRPr="006323BF">
        <w:t xml:space="preserve"> </w:t>
      </w:r>
      <w:r w:rsidRPr="006323BF">
        <w:rPr>
          <w:b/>
          <w:bCs/>
        </w:rPr>
        <w:t>12</w:t>
      </w:r>
      <w:r w:rsidRPr="006323BF">
        <w:t>, (2021).</w:t>
      </w:r>
    </w:p>
    <w:p w14:paraId="49C9393D" w14:textId="77777777" w:rsidR="00B50BCE" w:rsidRPr="006323BF" w:rsidRDefault="00B50BCE" w:rsidP="00B50BCE">
      <w:pPr>
        <w:pStyle w:val="Bibliography"/>
      </w:pPr>
      <w:r w:rsidRPr="006323BF">
        <w:t>33.</w:t>
      </w:r>
      <w:r w:rsidRPr="006323BF">
        <w:tab/>
        <w:t xml:space="preserve">Fulton, C. T., Cui, T. X., Goldsmith, A. M., Bermick, J. &amp; Popova, A. P. Gene Expression Signatures Point to a Male Sex-Specific Lung Mesenchymal Cell PDGF Receptor Signaling Defect in Infants Developing Bronchopulmonary Dysplasia. </w:t>
      </w:r>
      <w:r w:rsidRPr="006323BF">
        <w:rPr>
          <w:i/>
          <w:iCs/>
        </w:rPr>
        <w:t>Sci. Rep.</w:t>
      </w:r>
      <w:r w:rsidRPr="006323BF">
        <w:t xml:space="preserve"> </w:t>
      </w:r>
      <w:r w:rsidRPr="006323BF">
        <w:rPr>
          <w:b/>
          <w:bCs/>
        </w:rPr>
        <w:t>8</w:t>
      </w:r>
      <w:r w:rsidRPr="006323BF">
        <w:t>, (2018).</w:t>
      </w:r>
    </w:p>
    <w:p w14:paraId="47A5AAC2" w14:textId="77777777" w:rsidR="00B50BCE" w:rsidRPr="006323BF" w:rsidRDefault="00B50BCE" w:rsidP="00B50BCE">
      <w:pPr>
        <w:pStyle w:val="Bibliography"/>
      </w:pPr>
      <w:r w:rsidRPr="006323BF">
        <w:t>34.</w:t>
      </w:r>
      <w:r w:rsidRPr="006323BF">
        <w:tab/>
        <w:t xml:space="preserve">Gong, X., Qiu, J., Qiu, G. &amp; Cai, C. Adrenomedullin regulated by miRNA-574-3p protects premature infants with bronchopulmonary dysplasia. </w:t>
      </w:r>
      <w:r w:rsidRPr="006323BF">
        <w:rPr>
          <w:i/>
          <w:iCs/>
        </w:rPr>
        <w:t>Biosci. Rep.</w:t>
      </w:r>
      <w:r w:rsidRPr="006323BF">
        <w:t xml:space="preserve"> </w:t>
      </w:r>
      <w:r w:rsidRPr="006323BF">
        <w:rPr>
          <w:b/>
          <w:bCs/>
        </w:rPr>
        <w:t>40</w:t>
      </w:r>
      <w:r w:rsidRPr="006323BF">
        <w:t>, (2020).</w:t>
      </w:r>
    </w:p>
    <w:p w14:paraId="3994A6E6" w14:textId="77777777" w:rsidR="00B50BCE" w:rsidRPr="006323BF" w:rsidRDefault="00B50BCE" w:rsidP="00B50BCE">
      <w:pPr>
        <w:pStyle w:val="Bibliography"/>
      </w:pPr>
      <w:r w:rsidRPr="006323BF">
        <w:t>35.</w:t>
      </w:r>
      <w:r w:rsidRPr="006323BF">
        <w:tab/>
        <w:t xml:space="preserve">Hamvas, A. </w:t>
      </w:r>
      <w:r w:rsidRPr="006323BF">
        <w:rPr>
          <w:i/>
          <w:iCs/>
        </w:rPr>
        <w:t>et al.</w:t>
      </w:r>
      <w:r w:rsidRPr="006323BF">
        <w:t xml:space="preserve"> Exome sequencing identifies gene variants and networks associated with extreme respiratory outcomes following preterm birth. </w:t>
      </w:r>
      <w:r w:rsidRPr="006323BF">
        <w:rPr>
          <w:i/>
          <w:iCs/>
        </w:rPr>
        <w:t>BMC Genet.</w:t>
      </w:r>
      <w:r w:rsidRPr="006323BF">
        <w:t xml:space="preserve"> </w:t>
      </w:r>
      <w:r w:rsidRPr="006323BF">
        <w:rPr>
          <w:b/>
          <w:bCs/>
        </w:rPr>
        <w:t>19</w:t>
      </w:r>
      <w:r w:rsidRPr="006323BF">
        <w:t>, (2018).</w:t>
      </w:r>
    </w:p>
    <w:p w14:paraId="16D397E7" w14:textId="77777777" w:rsidR="00B50BCE" w:rsidRPr="006323BF" w:rsidRDefault="00B50BCE" w:rsidP="00B50BCE">
      <w:pPr>
        <w:pStyle w:val="Bibliography"/>
      </w:pPr>
      <w:r w:rsidRPr="006323BF">
        <w:t>36.</w:t>
      </w:r>
      <w:r w:rsidRPr="006323BF">
        <w:tab/>
        <w:t xml:space="preserve">Li A. </w:t>
      </w:r>
      <w:r w:rsidRPr="006323BF">
        <w:rPr>
          <w:i/>
          <w:iCs/>
        </w:rPr>
        <w:t>et al.</w:t>
      </w:r>
      <w:r w:rsidRPr="006323BF">
        <w:t xml:space="preserve"> Investigating the early mechanisms leading from ventilation-induced lung injury to bronchopulmonary dysplasia using in vitro lung cell over-distension. </w:t>
      </w:r>
      <w:r w:rsidRPr="006323BF">
        <w:rPr>
          <w:i/>
          <w:iCs/>
        </w:rPr>
        <w:t>J. Paediatr. Child Health</w:t>
      </w:r>
      <w:r w:rsidRPr="006323BF">
        <w:t xml:space="preserve"> </w:t>
      </w:r>
      <w:r w:rsidRPr="006323BF">
        <w:rPr>
          <w:b/>
          <w:bCs/>
        </w:rPr>
        <w:t>51</w:t>
      </w:r>
      <w:r w:rsidRPr="006323BF">
        <w:t>, (2015).</w:t>
      </w:r>
    </w:p>
    <w:p w14:paraId="4E77444C" w14:textId="77777777" w:rsidR="00B50BCE" w:rsidRPr="006323BF" w:rsidRDefault="00B50BCE" w:rsidP="00B50BCE">
      <w:pPr>
        <w:pStyle w:val="Bibliography"/>
      </w:pPr>
      <w:r w:rsidRPr="006323BF">
        <w:t>37.</w:t>
      </w:r>
      <w:r w:rsidRPr="006323BF">
        <w:tab/>
        <w:t xml:space="preserve">Luo, X. </w:t>
      </w:r>
      <w:r w:rsidRPr="006323BF">
        <w:rPr>
          <w:i/>
          <w:iCs/>
        </w:rPr>
        <w:t>et al.</w:t>
      </w:r>
      <w:r w:rsidRPr="006323BF">
        <w:t xml:space="preserve"> Identification of genetic susceptibility in preterm newborns with bronchopulmonary dysplasia by whole-exome sequencing: BIVM gene may play a role. </w:t>
      </w:r>
      <w:r w:rsidRPr="006323BF">
        <w:rPr>
          <w:i/>
          <w:iCs/>
        </w:rPr>
        <w:t>Eur. J. Pediatr.</w:t>
      </w:r>
      <w:r w:rsidRPr="006323BF">
        <w:t xml:space="preserve"> </w:t>
      </w:r>
      <w:r w:rsidRPr="006323BF">
        <w:rPr>
          <w:b/>
          <w:bCs/>
        </w:rPr>
        <w:t>182</w:t>
      </w:r>
      <w:r w:rsidRPr="006323BF">
        <w:t>, (2023).</w:t>
      </w:r>
    </w:p>
    <w:p w14:paraId="5083E71C" w14:textId="77777777" w:rsidR="00B50BCE" w:rsidRPr="006323BF" w:rsidRDefault="00B50BCE" w:rsidP="00B50BCE">
      <w:pPr>
        <w:pStyle w:val="Bibliography"/>
      </w:pPr>
      <w:r w:rsidRPr="006323BF">
        <w:lastRenderedPageBreak/>
        <w:t>38.</w:t>
      </w:r>
      <w:r w:rsidRPr="006323BF">
        <w:tab/>
        <w:t xml:space="preserve">Oji-Mmuo, C. N. </w:t>
      </w:r>
      <w:r w:rsidRPr="006323BF">
        <w:rPr>
          <w:i/>
          <w:iCs/>
        </w:rPr>
        <w:t>et al.</w:t>
      </w:r>
      <w:r w:rsidRPr="006323BF">
        <w:t xml:space="preserve"> Tracheal aspirate transcriptomic and miRNA signatures of extreme premature birth with bronchopulmonary dysplasia. </w:t>
      </w:r>
      <w:r w:rsidRPr="006323BF">
        <w:rPr>
          <w:i/>
          <w:iCs/>
        </w:rPr>
        <w:t>J. Perinatol. Off. J. Calif. Perinat. Assoc.</w:t>
      </w:r>
      <w:r w:rsidRPr="006323BF">
        <w:t xml:space="preserve"> </w:t>
      </w:r>
      <w:r w:rsidRPr="006323BF">
        <w:rPr>
          <w:b/>
          <w:bCs/>
        </w:rPr>
        <w:t>41</w:t>
      </w:r>
      <w:r w:rsidRPr="006323BF">
        <w:t>, (2021).</w:t>
      </w:r>
    </w:p>
    <w:p w14:paraId="6F45EC4B" w14:textId="77777777" w:rsidR="00B50BCE" w:rsidRPr="006323BF" w:rsidRDefault="00B50BCE" w:rsidP="00B50BCE">
      <w:pPr>
        <w:pStyle w:val="Bibliography"/>
      </w:pPr>
      <w:r w:rsidRPr="006323BF">
        <w:t>39.</w:t>
      </w:r>
      <w:r w:rsidRPr="006323BF">
        <w:tab/>
        <w:t xml:space="preserve">Pietrzyk, J. J. </w:t>
      </w:r>
      <w:r w:rsidRPr="006323BF">
        <w:rPr>
          <w:i/>
          <w:iCs/>
        </w:rPr>
        <w:t>et al.</w:t>
      </w:r>
      <w:r w:rsidRPr="006323BF">
        <w:t xml:space="preserve"> Gene expression profiling in preterm infants: new aspects of bronchopulmonary dysplasia development. </w:t>
      </w:r>
      <w:r w:rsidRPr="006323BF">
        <w:rPr>
          <w:i/>
          <w:iCs/>
        </w:rPr>
        <w:t>PloS One</w:t>
      </w:r>
      <w:r w:rsidRPr="006323BF">
        <w:t xml:space="preserve"> </w:t>
      </w:r>
      <w:r w:rsidRPr="006323BF">
        <w:rPr>
          <w:b/>
          <w:bCs/>
        </w:rPr>
        <w:t>8</w:t>
      </w:r>
      <w:r w:rsidRPr="006323BF">
        <w:t>, (2013).</w:t>
      </w:r>
    </w:p>
    <w:p w14:paraId="6886F241" w14:textId="77777777" w:rsidR="00B50BCE" w:rsidRPr="006323BF" w:rsidRDefault="00B50BCE" w:rsidP="00B50BCE">
      <w:pPr>
        <w:pStyle w:val="Bibliography"/>
      </w:pPr>
      <w:r w:rsidRPr="006323BF">
        <w:t>40.</w:t>
      </w:r>
      <w:r w:rsidRPr="006323BF">
        <w:tab/>
        <w:t xml:space="preserve">Siddaiah, R. </w:t>
      </w:r>
      <w:r w:rsidRPr="006323BF">
        <w:rPr>
          <w:i/>
          <w:iCs/>
        </w:rPr>
        <w:t>et al.</w:t>
      </w:r>
      <w:r w:rsidRPr="006323BF">
        <w:t xml:space="preserve"> Multiomics endotyping of preterm infants with bronchopulmonary dysplasia and pulmonary hypertension-A pilot study. </w:t>
      </w:r>
      <w:r w:rsidRPr="006323BF">
        <w:rPr>
          <w:i/>
          <w:iCs/>
        </w:rPr>
        <w:t>Pulm. Circ.</w:t>
      </w:r>
      <w:r w:rsidRPr="006323BF">
        <w:t xml:space="preserve"> </w:t>
      </w:r>
      <w:r w:rsidRPr="006323BF">
        <w:rPr>
          <w:b/>
          <w:bCs/>
        </w:rPr>
        <w:t>13</w:t>
      </w:r>
      <w:r w:rsidRPr="006323BF">
        <w:t>, (2023).</w:t>
      </w:r>
    </w:p>
    <w:p w14:paraId="1C088EF1" w14:textId="77777777" w:rsidR="00B50BCE" w:rsidRPr="006323BF" w:rsidRDefault="00B50BCE" w:rsidP="00B50BCE">
      <w:pPr>
        <w:pStyle w:val="Bibliography"/>
      </w:pPr>
      <w:r w:rsidRPr="006323BF">
        <w:t>41.</w:t>
      </w:r>
      <w:r w:rsidRPr="006323BF">
        <w:tab/>
        <w:t xml:space="preserve">Windhorst, A. C. </w:t>
      </w:r>
      <w:r w:rsidRPr="006323BF">
        <w:rPr>
          <w:i/>
          <w:iCs/>
        </w:rPr>
        <w:t>et al.</w:t>
      </w:r>
      <w:r w:rsidRPr="006323BF">
        <w:t xml:space="preserve"> Monocyte signature as a predictor of chronic lung disease in the preterm infant. </w:t>
      </w:r>
      <w:r w:rsidRPr="006323BF">
        <w:rPr>
          <w:i/>
          <w:iCs/>
        </w:rPr>
        <w:t>Front. Immunol.</w:t>
      </w:r>
      <w:r w:rsidRPr="006323BF">
        <w:t xml:space="preserve"> </w:t>
      </w:r>
      <w:r w:rsidRPr="006323BF">
        <w:rPr>
          <w:b/>
          <w:bCs/>
        </w:rPr>
        <w:t>14</w:t>
      </w:r>
      <w:r w:rsidRPr="006323BF">
        <w:t>, (2023).</w:t>
      </w:r>
    </w:p>
    <w:p w14:paraId="0F607989" w14:textId="77777777" w:rsidR="00B50BCE" w:rsidRPr="006323BF" w:rsidRDefault="00B50BCE" w:rsidP="00B50BCE">
      <w:pPr>
        <w:pStyle w:val="Bibliography"/>
      </w:pPr>
      <w:r w:rsidRPr="006323BF">
        <w:t>42.</w:t>
      </w:r>
      <w:r w:rsidRPr="006323BF">
        <w:tab/>
        <w:t xml:space="preserve">Zasada, M. </w:t>
      </w:r>
      <w:r w:rsidRPr="006323BF">
        <w:rPr>
          <w:i/>
          <w:iCs/>
        </w:rPr>
        <w:t>et al.</w:t>
      </w:r>
      <w:r w:rsidRPr="006323BF">
        <w:t xml:space="preserve"> Comparative two time-point proteome analysis of the plasma from preterm infants with and without bronchopulmonary dysplasia. </w:t>
      </w:r>
      <w:r w:rsidRPr="006323BF">
        <w:rPr>
          <w:i/>
          <w:iCs/>
        </w:rPr>
        <w:t>Ital. J. Pediatr.</w:t>
      </w:r>
      <w:r w:rsidRPr="006323BF">
        <w:t xml:space="preserve"> </w:t>
      </w:r>
      <w:r w:rsidRPr="006323BF">
        <w:rPr>
          <w:b/>
          <w:bCs/>
        </w:rPr>
        <w:t>45</w:t>
      </w:r>
      <w:r w:rsidRPr="006323BF">
        <w:t>, (2019).</w:t>
      </w:r>
    </w:p>
    <w:p w14:paraId="03234946" w14:textId="77777777" w:rsidR="00B50BCE" w:rsidRPr="006323BF" w:rsidRDefault="00B50BCE" w:rsidP="00B50BCE">
      <w:pPr>
        <w:pStyle w:val="Bibliography"/>
      </w:pPr>
      <w:r w:rsidRPr="006323BF">
        <w:t>43.</w:t>
      </w:r>
      <w:r w:rsidRPr="006323BF">
        <w:tab/>
        <w:t xml:space="preserve">Wu, T. </w:t>
      </w:r>
      <w:r w:rsidRPr="006323BF">
        <w:rPr>
          <w:i/>
          <w:iCs/>
        </w:rPr>
        <w:t>et al.</w:t>
      </w:r>
      <w:r w:rsidRPr="006323BF">
        <w:t xml:space="preserve"> clusterProfiler 4.0: A universal enrichment tool for interpreting omics data. </w:t>
      </w:r>
      <w:r w:rsidRPr="006323BF">
        <w:rPr>
          <w:i/>
          <w:iCs/>
        </w:rPr>
        <w:t>The Innovation</w:t>
      </w:r>
      <w:r w:rsidRPr="006323BF">
        <w:t xml:space="preserve"> </w:t>
      </w:r>
      <w:r w:rsidRPr="006323BF">
        <w:rPr>
          <w:b/>
          <w:bCs/>
        </w:rPr>
        <w:t>2</w:t>
      </w:r>
      <w:r w:rsidRPr="006323BF">
        <w:t>, 100141 (2021).</w:t>
      </w:r>
    </w:p>
    <w:p w14:paraId="7BBEC75C" w14:textId="77777777" w:rsidR="00B50BCE" w:rsidRPr="006323BF" w:rsidRDefault="00B50BCE" w:rsidP="00B50BCE">
      <w:pPr>
        <w:pStyle w:val="Bibliography"/>
      </w:pPr>
      <w:r w:rsidRPr="006323BF">
        <w:t>44.</w:t>
      </w:r>
      <w:r w:rsidRPr="006323BF">
        <w:tab/>
        <w:t xml:space="preserve">Al-Mudares, F. </w:t>
      </w:r>
      <w:r w:rsidRPr="006323BF">
        <w:rPr>
          <w:i/>
          <w:iCs/>
        </w:rPr>
        <w:t>et al.</w:t>
      </w:r>
      <w:r w:rsidRPr="006323BF">
        <w:t xml:space="preserve"> Loss of growth differentiation factor 15 exacerbates lung injury in neonatal mice. </w:t>
      </w:r>
      <w:r w:rsidRPr="006323BF">
        <w:rPr>
          <w:i/>
          <w:iCs/>
        </w:rPr>
        <w:t>Am. J. Physiol. Lung Cell. Mol. Physiol.</w:t>
      </w:r>
      <w:r w:rsidRPr="006323BF">
        <w:t xml:space="preserve"> </w:t>
      </w:r>
      <w:r w:rsidRPr="006323BF">
        <w:rPr>
          <w:b/>
          <w:bCs/>
        </w:rPr>
        <w:t>325</w:t>
      </w:r>
      <w:r w:rsidRPr="006323BF">
        <w:t>, (2023).</w:t>
      </w:r>
    </w:p>
    <w:p w14:paraId="60F318D2" w14:textId="77777777" w:rsidR="00B50BCE" w:rsidRPr="006323BF" w:rsidRDefault="00B50BCE" w:rsidP="00B50BCE">
      <w:pPr>
        <w:pStyle w:val="Bibliography"/>
      </w:pPr>
      <w:r w:rsidRPr="006323BF">
        <w:t>45.</w:t>
      </w:r>
      <w:r w:rsidRPr="006323BF">
        <w:tab/>
        <w:t xml:space="preserve">Bao, T.-P., Wu, R., Cheng, H.-P., Cui, X.-W. &amp; Tian, Z.-F. Differential expression of long non-coding RNAs in hyperoxia-induced bronchopulmonary dysplasia. </w:t>
      </w:r>
      <w:r w:rsidRPr="006323BF">
        <w:rPr>
          <w:i/>
          <w:iCs/>
        </w:rPr>
        <w:t>Cell Biochem. Funct.</w:t>
      </w:r>
      <w:r w:rsidRPr="006323BF">
        <w:t xml:space="preserve"> </w:t>
      </w:r>
      <w:r w:rsidRPr="006323BF">
        <w:rPr>
          <w:b/>
          <w:bCs/>
        </w:rPr>
        <w:t>34</w:t>
      </w:r>
      <w:r w:rsidRPr="006323BF">
        <w:t>, (2016).</w:t>
      </w:r>
    </w:p>
    <w:p w14:paraId="690C1F8E" w14:textId="77777777" w:rsidR="00B50BCE" w:rsidRPr="006323BF" w:rsidRDefault="00B50BCE" w:rsidP="00B50BCE">
      <w:pPr>
        <w:pStyle w:val="Bibliography"/>
      </w:pPr>
      <w:r w:rsidRPr="006323BF">
        <w:t>46.</w:t>
      </w:r>
      <w:r w:rsidRPr="006323BF">
        <w:tab/>
        <w:t xml:space="preserve">Bhaskaran, M. </w:t>
      </w:r>
      <w:r w:rsidRPr="006323BF">
        <w:rPr>
          <w:i/>
          <w:iCs/>
        </w:rPr>
        <w:t>et al.</w:t>
      </w:r>
      <w:r w:rsidRPr="006323BF">
        <w:t xml:space="preserve"> Identification of microRNAs changed in the neonatal lungs in response to hyperoxia exposure. </w:t>
      </w:r>
      <w:r w:rsidRPr="006323BF">
        <w:rPr>
          <w:i/>
          <w:iCs/>
        </w:rPr>
        <w:t>Physiol. Genomics</w:t>
      </w:r>
      <w:r w:rsidRPr="006323BF">
        <w:t xml:space="preserve"> </w:t>
      </w:r>
      <w:r w:rsidRPr="006323BF">
        <w:rPr>
          <w:b/>
          <w:bCs/>
        </w:rPr>
        <w:t>44</w:t>
      </w:r>
      <w:r w:rsidRPr="006323BF">
        <w:t>, (2012).</w:t>
      </w:r>
    </w:p>
    <w:p w14:paraId="112380AD" w14:textId="77777777" w:rsidR="00B50BCE" w:rsidRPr="006323BF" w:rsidRDefault="00B50BCE" w:rsidP="00B50BCE">
      <w:pPr>
        <w:pStyle w:val="Bibliography"/>
      </w:pPr>
      <w:r w:rsidRPr="006323BF">
        <w:t>47.</w:t>
      </w:r>
      <w:r w:rsidRPr="006323BF">
        <w:tab/>
        <w:t xml:space="preserve">Chao C.-M. </w:t>
      </w:r>
      <w:r w:rsidRPr="006323BF">
        <w:rPr>
          <w:i/>
          <w:iCs/>
        </w:rPr>
        <w:t>et al.</w:t>
      </w:r>
      <w:r w:rsidRPr="006323BF">
        <w:t xml:space="preserve"> </w:t>
      </w:r>
      <w:r w:rsidRPr="006323BF">
        <w:rPr>
          <w:i/>
          <w:iCs/>
        </w:rPr>
        <w:t>Fgf10 Deficiency Leads to Disturbed Formation of Alveolar Epithelial Cell Type II (AEC II) Which Causes Lethality in a Mouse Model of Bronchopulmonary Dysplasia</w:t>
      </w:r>
      <w:r w:rsidRPr="006323BF">
        <w:t xml:space="preserve">. vol. 4 </w:t>
      </w:r>
      <w:r w:rsidRPr="006323BF">
        <w:lastRenderedPageBreak/>
        <w:t>http://ovidsp.ovid.com/ovidweb.cgi?T=JS&amp;PAGE=reference&amp;D=emed18&amp;NEWS=N&amp;AN=616934541 (2017).</w:t>
      </w:r>
    </w:p>
    <w:p w14:paraId="1A0C2A84" w14:textId="77777777" w:rsidR="00B50BCE" w:rsidRPr="006323BF" w:rsidRDefault="00B50BCE" w:rsidP="00B50BCE">
      <w:pPr>
        <w:pStyle w:val="Bibliography"/>
      </w:pPr>
      <w:r w:rsidRPr="006323BF">
        <w:t>48.</w:t>
      </w:r>
      <w:r w:rsidRPr="006323BF">
        <w:tab/>
        <w:t xml:space="preserve">Chen, K., Jiang, P., Deng, S. &amp; Wang, N. [Expression of thyroid transcription factor-1 and vimentin in neonatal mice with bronchopulmonary dysplasia]. </w:t>
      </w:r>
      <w:r w:rsidRPr="006323BF">
        <w:rPr>
          <w:i/>
          <w:iCs/>
        </w:rPr>
        <w:t>Nan Fang Yi Ke Da Xue Xue Bao</w:t>
      </w:r>
      <w:r w:rsidRPr="006323BF">
        <w:t xml:space="preserve"> </w:t>
      </w:r>
      <w:r w:rsidRPr="006323BF">
        <w:rPr>
          <w:b/>
          <w:bCs/>
        </w:rPr>
        <w:t>32</w:t>
      </w:r>
      <w:r w:rsidRPr="006323BF">
        <w:t>, (2012).</w:t>
      </w:r>
    </w:p>
    <w:p w14:paraId="5FC7D03C" w14:textId="77777777" w:rsidR="00B50BCE" w:rsidRPr="006323BF" w:rsidRDefault="00B50BCE" w:rsidP="00B50BCE">
      <w:pPr>
        <w:pStyle w:val="Bibliography"/>
      </w:pPr>
      <w:r w:rsidRPr="006323BF">
        <w:t>49.</w:t>
      </w:r>
      <w:r w:rsidRPr="006323BF">
        <w:tab/>
        <w:t xml:space="preserve">Cheng, H.-R. </w:t>
      </w:r>
      <w:r w:rsidRPr="006323BF">
        <w:rPr>
          <w:i/>
          <w:iCs/>
        </w:rPr>
        <w:t>et al.</w:t>
      </w:r>
      <w:r w:rsidRPr="006323BF">
        <w:t xml:space="preserve"> Deep Illumina sequencing reveals differential expression of long non-coding RNAs in hyperoxia induced bronchopulmonary dysplasia in a rat model. </w:t>
      </w:r>
      <w:r w:rsidRPr="006323BF">
        <w:rPr>
          <w:i/>
          <w:iCs/>
        </w:rPr>
        <w:t>Am. J. Transl. Res.</w:t>
      </w:r>
      <w:r w:rsidRPr="006323BF">
        <w:t xml:space="preserve"> </w:t>
      </w:r>
      <w:r w:rsidRPr="006323BF">
        <w:rPr>
          <w:b/>
          <w:bCs/>
        </w:rPr>
        <w:t>9</w:t>
      </w:r>
      <w:r w:rsidRPr="006323BF">
        <w:t>, (2017).</w:t>
      </w:r>
    </w:p>
    <w:p w14:paraId="0F8C762D" w14:textId="77777777" w:rsidR="00B50BCE" w:rsidRPr="006323BF" w:rsidRDefault="00B50BCE" w:rsidP="00B50BCE">
      <w:pPr>
        <w:pStyle w:val="Bibliography"/>
      </w:pPr>
      <w:r w:rsidRPr="006323BF">
        <w:t>50.</w:t>
      </w:r>
      <w:r w:rsidRPr="006323BF">
        <w:tab/>
        <w:t xml:space="preserve">Coarfa, C. </w:t>
      </w:r>
      <w:r w:rsidRPr="006323BF">
        <w:rPr>
          <w:i/>
          <w:iCs/>
        </w:rPr>
        <w:t>et al.</w:t>
      </w:r>
      <w:r w:rsidRPr="006323BF">
        <w:t xml:space="preserve"> Sexual dimorphism of the pulmonary transcriptome in neonatal hyperoxic lung injury: identification of angiogenesis as a key pathway. </w:t>
      </w:r>
      <w:r w:rsidRPr="006323BF">
        <w:rPr>
          <w:i/>
          <w:iCs/>
        </w:rPr>
        <w:t>Am. J. Physiol. Lung Cell. Mol. Physiol.</w:t>
      </w:r>
      <w:r w:rsidRPr="006323BF">
        <w:t xml:space="preserve"> </w:t>
      </w:r>
      <w:r w:rsidRPr="006323BF">
        <w:rPr>
          <w:b/>
          <w:bCs/>
        </w:rPr>
        <w:t>313</w:t>
      </w:r>
      <w:r w:rsidRPr="006323BF">
        <w:t>, (2017).</w:t>
      </w:r>
    </w:p>
    <w:p w14:paraId="1A9E50CD" w14:textId="77777777" w:rsidR="00B50BCE" w:rsidRPr="006323BF" w:rsidRDefault="00B50BCE" w:rsidP="00B50BCE">
      <w:pPr>
        <w:pStyle w:val="Bibliography"/>
      </w:pPr>
      <w:r w:rsidRPr="006323BF">
        <w:t>51.</w:t>
      </w:r>
      <w:r w:rsidRPr="006323BF">
        <w:tab/>
        <w:t xml:space="preserve">Denervaud, V., Gremlich, S., Trummer-Menzi, E., Schittny, J. C. &amp; Roth-Kleiner, M. Gene expression profile in newborn rat lungs after two days of recovery of mechanical ventilation. </w:t>
      </w:r>
      <w:r w:rsidRPr="006323BF">
        <w:rPr>
          <w:i/>
          <w:iCs/>
        </w:rPr>
        <w:t>Pediatr. Res.</w:t>
      </w:r>
      <w:r w:rsidRPr="006323BF">
        <w:t xml:space="preserve"> </w:t>
      </w:r>
      <w:r w:rsidRPr="006323BF">
        <w:rPr>
          <w:b/>
          <w:bCs/>
        </w:rPr>
        <w:t>78</w:t>
      </w:r>
      <w:r w:rsidRPr="006323BF">
        <w:t>, (2015).</w:t>
      </w:r>
    </w:p>
    <w:p w14:paraId="468E81A5" w14:textId="77777777" w:rsidR="00B50BCE" w:rsidRPr="006323BF" w:rsidRDefault="00B50BCE" w:rsidP="00B50BCE">
      <w:pPr>
        <w:pStyle w:val="Bibliography"/>
      </w:pPr>
      <w:r w:rsidRPr="006323BF">
        <w:t>52.</w:t>
      </w:r>
      <w:r w:rsidRPr="006323BF">
        <w:tab/>
        <w:t xml:space="preserve">Dong, N. </w:t>
      </w:r>
      <w:r w:rsidRPr="006323BF">
        <w:rPr>
          <w:i/>
          <w:iCs/>
        </w:rPr>
        <w:t>et al.</w:t>
      </w:r>
      <w:r w:rsidRPr="006323BF">
        <w:t xml:space="preserve"> Intratracheal administration of umbilical cord-derived mesenchymal stem cells attenuates hyperoxia-induced multi-organ injury via heme oxygenase-1 and JAK/STAT pathways. </w:t>
      </w:r>
      <w:r w:rsidRPr="006323BF">
        <w:rPr>
          <w:i/>
          <w:iCs/>
        </w:rPr>
        <w:t>World J. Stem Cells</w:t>
      </w:r>
      <w:r w:rsidRPr="006323BF">
        <w:t xml:space="preserve"> </w:t>
      </w:r>
      <w:r w:rsidRPr="006323BF">
        <w:rPr>
          <w:b/>
          <w:bCs/>
        </w:rPr>
        <w:t>14</w:t>
      </w:r>
      <w:r w:rsidRPr="006323BF">
        <w:t>, (2022).</w:t>
      </w:r>
    </w:p>
    <w:p w14:paraId="6410611E" w14:textId="77777777" w:rsidR="00B50BCE" w:rsidRPr="006323BF" w:rsidRDefault="00B50BCE" w:rsidP="00B50BCE">
      <w:pPr>
        <w:pStyle w:val="Bibliography"/>
      </w:pPr>
      <w:r w:rsidRPr="006323BF">
        <w:t>53.</w:t>
      </w:r>
      <w:r w:rsidRPr="006323BF">
        <w:tab/>
        <w:t xml:space="preserve">Dravet-Gounot, P. </w:t>
      </w:r>
      <w:r w:rsidRPr="006323BF">
        <w:rPr>
          <w:i/>
          <w:iCs/>
        </w:rPr>
        <w:t>et al.</w:t>
      </w:r>
      <w:r w:rsidRPr="006323BF">
        <w:t xml:space="preserve"> Lung microRNA deregulation associated with impaired alveolarization in rats after intrauterine growth restriction. </w:t>
      </w:r>
      <w:r w:rsidRPr="006323BF">
        <w:rPr>
          <w:i/>
          <w:iCs/>
        </w:rPr>
        <w:t>PloS One</w:t>
      </w:r>
      <w:r w:rsidRPr="006323BF">
        <w:t xml:space="preserve"> </w:t>
      </w:r>
      <w:r w:rsidRPr="006323BF">
        <w:rPr>
          <w:b/>
          <w:bCs/>
        </w:rPr>
        <w:t>12</w:t>
      </w:r>
      <w:r w:rsidRPr="006323BF">
        <w:t>, (2017).</w:t>
      </w:r>
    </w:p>
    <w:p w14:paraId="636AB55B" w14:textId="77777777" w:rsidR="00B50BCE" w:rsidRPr="006323BF" w:rsidRDefault="00B50BCE" w:rsidP="00B50BCE">
      <w:pPr>
        <w:pStyle w:val="Bibliography"/>
      </w:pPr>
      <w:r w:rsidRPr="006323BF">
        <w:t>54.</w:t>
      </w:r>
      <w:r w:rsidRPr="006323BF">
        <w:tab/>
        <w:t xml:space="preserve">El Saie, A. </w:t>
      </w:r>
      <w:r w:rsidRPr="006323BF">
        <w:rPr>
          <w:i/>
          <w:iCs/>
        </w:rPr>
        <w:t>et al.</w:t>
      </w:r>
      <w:r w:rsidRPr="006323BF">
        <w:t xml:space="preserve"> Metabolome and microbiome multi-omics integration from a murine lung inflammation model of bronchopulmonary dysplasia. </w:t>
      </w:r>
      <w:r w:rsidRPr="006323BF">
        <w:rPr>
          <w:i/>
          <w:iCs/>
        </w:rPr>
        <w:t>Pediatr. Res.</w:t>
      </w:r>
      <w:r w:rsidRPr="006323BF">
        <w:t xml:space="preserve"> </w:t>
      </w:r>
      <w:r w:rsidRPr="006323BF">
        <w:rPr>
          <w:b/>
          <w:bCs/>
        </w:rPr>
        <w:t>92</w:t>
      </w:r>
      <w:r w:rsidRPr="006323BF">
        <w:t>, (2022).</w:t>
      </w:r>
    </w:p>
    <w:p w14:paraId="0FBC4EC2" w14:textId="77777777" w:rsidR="00B50BCE" w:rsidRPr="006323BF" w:rsidRDefault="00B50BCE" w:rsidP="00B50BCE">
      <w:pPr>
        <w:pStyle w:val="Bibliography"/>
      </w:pPr>
      <w:r w:rsidRPr="006323BF">
        <w:t>55.</w:t>
      </w:r>
      <w:r w:rsidRPr="006323BF">
        <w:tab/>
        <w:t xml:space="preserve">Natarajan, V. </w:t>
      </w:r>
      <w:r w:rsidRPr="006323BF">
        <w:rPr>
          <w:i/>
          <w:iCs/>
        </w:rPr>
        <w:t>et al.</w:t>
      </w:r>
      <w:r w:rsidRPr="006323BF">
        <w:t xml:space="preserve"> </w:t>
      </w:r>
      <w:r w:rsidRPr="006323BF">
        <w:rPr>
          <w:i/>
          <w:iCs/>
        </w:rPr>
        <w:t xml:space="preserve">Expression Profiling of Genes Regulated by Sphingosine Kinase1 Signaling in a Murine Model of Hyperoxia Induced Neonatal Bronchopulmonary </w:t>
      </w:r>
      <w:r w:rsidRPr="006323BF">
        <w:rPr>
          <w:i/>
          <w:iCs/>
        </w:rPr>
        <w:lastRenderedPageBreak/>
        <w:t>Dysplasia.</w:t>
      </w:r>
      <w:r w:rsidRPr="006323BF">
        <w:t xml:space="preserve"> vol. 18 http://ovidsp.ovid.com/ovidweb.cgi?T=JS&amp;PAGE=reference&amp;D=med14&amp;NEWS=N&amp;AN=28851267 (2017).</w:t>
      </w:r>
    </w:p>
    <w:p w14:paraId="46263521" w14:textId="77777777" w:rsidR="00B50BCE" w:rsidRPr="006323BF" w:rsidRDefault="00B50BCE" w:rsidP="00B50BCE">
      <w:pPr>
        <w:pStyle w:val="Bibliography"/>
      </w:pPr>
      <w:r w:rsidRPr="006323BF">
        <w:t>56.</w:t>
      </w:r>
      <w:r w:rsidRPr="006323BF">
        <w:tab/>
        <w:t xml:space="preserve">Nichols, J. L. </w:t>
      </w:r>
      <w:r w:rsidRPr="006323BF">
        <w:rPr>
          <w:i/>
          <w:iCs/>
        </w:rPr>
        <w:t>et al.</w:t>
      </w:r>
      <w:r w:rsidRPr="006323BF">
        <w:t xml:space="preserve"> Genome-wide association mapping of acute lung injury in neonatal inbred mice. </w:t>
      </w:r>
      <w:r w:rsidRPr="006323BF">
        <w:rPr>
          <w:i/>
          <w:iCs/>
        </w:rPr>
        <w:t>FASEB J. Off. Publ. Fed. Am. Soc. Exp. Biol.</w:t>
      </w:r>
      <w:r w:rsidRPr="006323BF">
        <w:t xml:space="preserve"> </w:t>
      </w:r>
      <w:r w:rsidRPr="006323BF">
        <w:rPr>
          <w:b/>
          <w:bCs/>
        </w:rPr>
        <w:t>28</w:t>
      </w:r>
      <w:r w:rsidRPr="006323BF">
        <w:t>, (2014).</w:t>
      </w:r>
    </w:p>
    <w:p w14:paraId="42D105DC" w14:textId="77777777" w:rsidR="00B50BCE" w:rsidRPr="006323BF" w:rsidRDefault="00B50BCE" w:rsidP="00B50BCE">
      <w:pPr>
        <w:pStyle w:val="Bibliography"/>
      </w:pPr>
      <w:r w:rsidRPr="006323BF">
        <w:t>57.</w:t>
      </w:r>
      <w:r w:rsidRPr="006323BF">
        <w:tab/>
        <w:t xml:space="preserve">Nitkin, C. R. </w:t>
      </w:r>
      <w:r w:rsidRPr="006323BF">
        <w:rPr>
          <w:i/>
          <w:iCs/>
        </w:rPr>
        <w:t>et al.</w:t>
      </w:r>
      <w:r w:rsidRPr="006323BF">
        <w:t xml:space="preserve"> FOSL1 is a novel mediator of endotoxin/lipopolysaccharide-induced pulmonary angiogenic signaling. </w:t>
      </w:r>
      <w:r w:rsidRPr="006323BF">
        <w:rPr>
          <w:i/>
          <w:iCs/>
        </w:rPr>
        <w:t>Sci. Rep.</w:t>
      </w:r>
      <w:r w:rsidRPr="006323BF">
        <w:t xml:space="preserve"> </w:t>
      </w:r>
      <w:r w:rsidRPr="006323BF">
        <w:rPr>
          <w:b/>
          <w:bCs/>
        </w:rPr>
        <w:t>10</w:t>
      </w:r>
      <w:r w:rsidRPr="006323BF">
        <w:t>, (2020).</w:t>
      </w:r>
    </w:p>
    <w:p w14:paraId="67DA9EB6" w14:textId="77777777" w:rsidR="00B50BCE" w:rsidRPr="006323BF" w:rsidRDefault="00B50BCE" w:rsidP="00B50BCE">
      <w:pPr>
        <w:pStyle w:val="Bibliography"/>
      </w:pPr>
      <w:r w:rsidRPr="006323BF">
        <w:t>58.</w:t>
      </w:r>
      <w:r w:rsidRPr="006323BF">
        <w:tab/>
        <w:t xml:space="preserve">Rao, S., Liu, M., Iosef, C., Knutsen, C. &amp; Alvira, C. M. Endothelial-specific loss of IKKbeta disrupts pulmonary endothelial angiogenesis and impairs postnatal lung growth. </w:t>
      </w:r>
      <w:r w:rsidRPr="006323BF">
        <w:rPr>
          <w:i/>
          <w:iCs/>
        </w:rPr>
        <w:t>Am. J. Physiol. Lung Cell. Mol. Physiol.</w:t>
      </w:r>
      <w:r w:rsidRPr="006323BF">
        <w:t xml:space="preserve"> </w:t>
      </w:r>
      <w:r w:rsidRPr="006323BF">
        <w:rPr>
          <w:b/>
          <w:bCs/>
        </w:rPr>
        <w:t>325</w:t>
      </w:r>
      <w:r w:rsidRPr="006323BF">
        <w:t>, (2023).</w:t>
      </w:r>
    </w:p>
    <w:p w14:paraId="4907AB7F" w14:textId="77777777" w:rsidR="00B50BCE" w:rsidRPr="006323BF" w:rsidRDefault="00B50BCE" w:rsidP="00B50BCE">
      <w:pPr>
        <w:pStyle w:val="Bibliography"/>
      </w:pPr>
      <w:r w:rsidRPr="006323BF">
        <w:t>59.</w:t>
      </w:r>
      <w:r w:rsidRPr="006323BF">
        <w:tab/>
        <w:t xml:space="preserve">Revhaug, C. </w:t>
      </w:r>
      <w:r w:rsidRPr="006323BF">
        <w:rPr>
          <w:i/>
          <w:iCs/>
        </w:rPr>
        <w:t>et al.</w:t>
      </w:r>
      <w:r w:rsidRPr="006323BF">
        <w:t xml:space="preserve"> Immune System Regulation Affected by a Murine Experimental Model of Bronchopulmonary Dysplasia: Genomic and Epigenetic Findings. </w:t>
      </w:r>
      <w:r w:rsidRPr="006323BF">
        <w:rPr>
          <w:i/>
          <w:iCs/>
        </w:rPr>
        <w:t>Neonatology</w:t>
      </w:r>
      <w:r w:rsidRPr="006323BF">
        <w:t xml:space="preserve"> </w:t>
      </w:r>
      <w:r w:rsidRPr="006323BF">
        <w:rPr>
          <w:b/>
          <w:bCs/>
        </w:rPr>
        <w:t>116</w:t>
      </w:r>
      <w:r w:rsidRPr="006323BF">
        <w:t>, (2019).</w:t>
      </w:r>
    </w:p>
    <w:p w14:paraId="464AF8E2" w14:textId="77777777" w:rsidR="00B50BCE" w:rsidRPr="006323BF" w:rsidRDefault="00B50BCE" w:rsidP="00B50BCE">
      <w:pPr>
        <w:pStyle w:val="Bibliography"/>
      </w:pPr>
      <w:r w:rsidRPr="006323BF">
        <w:t>60.</w:t>
      </w:r>
      <w:r w:rsidRPr="006323BF">
        <w:tab/>
        <w:t xml:space="preserve">Scaffa, A. </w:t>
      </w:r>
      <w:r w:rsidRPr="006323BF">
        <w:rPr>
          <w:i/>
          <w:iCs/>
        </w:rPr>
        <w:t>et al.</w:t>
      </w:r>
      <w:r w:rsidRPr="006323BF">
        <w:t xml:space="preserve"> Single-cell transcriptomics reveals lasting changes in the lung cellular landscape into adulthood after neonatal hyperoxic exposure. </w:t>
      </w:r>
      <w:r w:rsidRPr="006323BF">
        <w:rPr>
          <w:i/>
          <w:iCs/>
        </w:rPr>
        <w:t>Redox Biol.</w:t>
      </w:r>
      <w:r w:rsidRPr="006323BF">
        <w:t xml:space="preserve"> </w:t>
      </w:r>
      <w:r w:rsidRPr="006323BF">
        <w:rPr>
          <w:b/>
          <w:bCs/>
        </w:rPr>
        <w:t>48</w:t>
      </w:r>
      <w:r w:rsidRPr="006323BF">
        <w:t>, (2021).</w:t>
      </w:r>
    </w:p>
    <w:p w14:paraId="453AD676" w14:textId="77777777" w:rsidR="00B50BCE" w:rsidRPr="006323BF" w:rsidRDefault="00B50BCE" w:rsidP="00B50BCE">
      <w:pPr>
        <w:pStyle w:val="Bibliography"/>
      </w:pPr>
      <w:r w:rsidRPr="006323BF">
        <w:t>61.</w:t>
      </w:r>
      <w:r w:rsidRPr="006323BF">
        <w:tab/>
        <w:t xml:space="preserve">Shrestha, A. K. </w:t>
      </w:r>
      <w:r w:rsidRPr="006323BF">
        <w:rPr>
          <w:i/>
          <w:iCs/>
        </w:rPr>
        <w:t>et al.</w:t>
      </w:r>
      <w:r w:rsidRPr="006323BF">
        <w:t xml:space="preserve"> Interactive and independent effects of early lipopolysaccharide and hyperoxia exposure on developing murine lungs. </w:t>
      </w:r>
      <w:r w:rsidRPr="006323BF">
        <w:rPr>
          <w:i/>
          <w:iCs/>
        </w:rPr>
        <w:t>Am. J. Physiol. Lung Cell. Mol. Physiol.</w:t>
      </w:r>
      <w:r w:rsidRPr="006323BF">
        <w:t xml:space="preserve"> </w:t>
      </w:r>
      <w:r w:rsidRPr="006323BF">
        <w:rPr>
          <w:b/>
          <w:bCs/>
        </w:rPr>
        <w:t>319</w:t>
      </w:r>
      <w:r w:rsidRPr="006323BF">
        <w:t>, (2020).</w:t>
      </w:r>
    </w:p>
    <w:p w14:paraId="7D4236F8" w14:textId="77777777" w:rsidR="00B50BCE" w:rsidRPr="006323BF" w:rsidRDefault="00B50BCE" w:rsidP="00B50BCE">
      <w:pPr>
        <w:pStyle w:val="Bibliography"/>
      </w:pPr>
      <w:r w:rsidRPr="006323BF">
        <w:t>62.</w:t>
      </w:r>
      <w:r w:rsidRPr="006323BF">
        <w:tab/>
        <w:t xml:space="preserve">Hendriks, J. </w:t>
      </w:r>
      <w:r w:rsidRPr="006323BF">
        <w:rPr>
          <w:i/>
          <w:iCs/>
        </w:rPr>
        <w:t>et al.</w:t>
      </w:r>
      <w:r w:rsidRPr="006323BF">
        <w:t xml:space="preserve"> CD27 is required for generation and long-term maintenance of T cell immunity. </w:t>
      </w:r>
      <w:r w:rsidRPr="006323BF">
        <w:rPr>
          <w:i/>
          <w:iCs/>
        </w:rPr>
        <w:t>Nat. Immunol.</w:t>
      </w:r>
      <w:r w:rsidRPr="006323BF">
        <w:t xml:space="preserve"> </w:t>
      </w:r>
      <w:r w:rsidRPr="006323BF">
        <w:rPr>
          <w:b/>
          <w:bCs/>
        </w:rPr>
        <w:t>1</w:t>
      </w:r>
      <w:r w:rsidRPr="006323BF">
        <w:t>, 433–440 (2000).</w:t>
      </w:r>
    </w:p>
    <w:p w14:paraId="7043BA95" w14:textId="77777777" w:rsidR="00B50BCE" w:rsidRPr="006323BF" w:rsidRDefault="00B50BCE" w:rsidP="00B50BCE">
      <w:pPr>
        <w:pStyle w:val="Bibliography"/>
      </w:pPr>
      <w:r w:rsidRPr="006323BF">
        <w:t>63.</w:t>
      </w:r>
      <w:r w:rsidRPr="006323BF">
        <w:tab/>
        <w:t xml:space="preserve">Lymphocyte Subpopulations in Bronchopulmonary Dysplasia. </w:t>
      </w:r>
      <w:r w:rsidRPr="006323BF">
        <w:rPr>
          <w:i/>
          <w:iCs/>
        </w:rPr>
        <w:t>Am. J. Perinatol.</w:t>
      </w:r>
      <w:r w:rsidRPr="006323BF">
        <w:t xml:space="preserve"> </w:t>
      </w:r>
      <w:r w:rsidRPr="006323BF">
        <w:rPr>
          <w:b/>
          <w:bCs/>
        </w:rPr>
        <w:t>20</w:t>
      </w:r>
      <w:r w:rsidRPr="006323BF">
        <w:t>, 465–476 (2003).</w:t>
      </w:r>
    </w:p>
    <w:p w14:paraId="7159D4F2" w14:textId="77777777" w:rsidR="00B50BCE" w:rsidRPr="006323BF" w:rsidRDefault="00B50BCE" w:rsidP="00B50BCE">
      <w:pPr>
        <w:pStyle w:val="Bibliography"/>
      </w:pPr>
      <w:r w:rsidRPr="006323BF">
        <w:lastRenderedPageBreak/>
        <w:t>64.</w:t>
      </w:r>
      <w:r w:rsidRPr="006323BF">
        <w:tab/>
        <w:t xml:space="preserve">Um-Bergström, P. </w:t>
      </w:r>
      <w:r w:rsidRPr="006323BF">
        <w:rPr>
          <w:i/>
          <w:iCs/>
        </w:rPr>
        <w:t>et al.</w:t>
      </w:r>
      <w:r w:rsidRPr="006323BF">
        <w:t xml:space="preserve"> Increased cytotoxic T-cells in the airways of adults with former bronchopulmonary dysplasia. </w:t>
      </w:r>
      <w:r w:rsidRPr="006323BF">
        <w:rPr>
          <w:i/>
          <w:iCs/>
        </w:rPr>
        <w:t>Eur. Respir. J.</w:t>
      </w:r>
      <w:r w:rsidRPr="006323BF">
        <w:t xml:space="preserve"> </w:t>
      </w:r>
      <w:r w:rsidRPr="006323BF">
        <w:rPr>
          <w:b/>
          <w:bCs/>
        </w:rPr>
        <w:t>60</w:t>
      </w:r>
      <w:r w:rsidRPr="006323BF">
        <w:t>, 2102531 (2022).</w:t>
      </w:r>
    </w:p>
    <w:p w14:paraId="1E4B3AA2" w14:textId="77777777" w:rsidR="00B50BCE" w:rsidRPr="006323BF" w:rsidRDefault="00B50BCE" w:rsidP="00B50BCE">
      <w:pPr>
        <w:pStyle w:val="Bibliography"/>
      </w:pPr>
      <w:r w:rsidRPr="006323BF">
        <w:t>65.</w:t>
      </w:r>
      <w:r w:rsidRPr="006323BF">
        <w:tab/>
        <w:t xml:space="preserve">Rebhun, J. F., Castro, A. F. &amp; Quilliam, L. A. Identification of Guanine Nucleotide Exchange Factors (GEFs) for the Rap1 GTPase. </w:t>
      </w:r>
      <w:r w:rsidRPr="006323BF">
        <w:rPr>
          <w:i/>
          <w:iCs/>
        </w:rPr>
        <w:t>J. Biol. Chem.</w:t>
      </w:r>
      <w:r w:rsidRPr="006323BF">
        <w:t xml:space="preserve"> </w:t>
      </w:r>
      <w:r w:rsidRPr="006323BF">
        <w:rPr>
          <w:b/>
          <w:bCs/>
        </w:rPr>
        <w:t>275</w:t>
      </w:r>
      <w:r w:rsidRPr="006323BF">
        <w:t>, 34901–34908 (2000).</w:t>
      </w:r>
    </w:p>
    <w:p w14:paraId="47150FEC" w14:textId="77777777" w:rsidR="00B50BCE" w:rsidRPr="006323BF" w:rsidRDefault="00B50BCE" w:rsidP="00B50BCE">
      <w:pPr>
        <w:pStyle w:val="Bibliography"/>
      </w:pPr>
      <w:r w:rsidRPr="006323BF">
        <w:t>66.</w:t>
      </w:r>
      <w:r w:rsidRPr="006323BF">
        <w:tab/>
        <w:t xml:space="preserve">Fuller, D. M. </w:t>
      </w:r>
      <w:r w:rsidRPr="006323BF">
        <w:rPr>
          <w:i/>
          <w:iCs/>
        </w:rPr>
        <w:t>et al.</w:t>
      </w:r>
      <w:r w:rsidRPr="006323BF">
        <w:t xml:space="preserve"> Regulation of RasGRP1 Function in T Cell Development and Activation by Its Unique Tail Domain. </w:t>
      </w:r>
      <w:r w:rsidRPr="006323BF">
        <w:rPr>
          <w:i/>
          <w:iCs/>
        </w:rPr>
        <w:t>PLoS ONE</w:t>
      </w:r>
      <w:r w:rsidRPr="006323BF">
        <w:t xml:space="preserve"> </w:t>
      </w:r>
      <w:r w:rsidRPr="006323BF">
        <w:rPr>
          <w:b/>
          <w:bCs/>
        </w:rPr>
        <w:t>7</w:t>
      </w:r>
      <w:r w:rsidRPr="006323BF">
        <w:t>, e38796 (2012).</w:t>
      </w:r>
    </w:p>
    <w:p w14:paraId="0E10BDFC" w14:textId="77777777" w:rsidR="00B50BCE" w:rsidRPr="006323BF" w:rsidRDefault="00B50BCE" w:rsidP="00B50BCE">
      <w:pPr>
        <w:pStyle w:val="Bibliography"/>
      </w:pPr>
      <w:r w:rsidRPr="006323BF">
        <w:t>67.</w:t>
      </w:r>
      <w:r w:rsidRPr="006323BF">
        <w:tab/>
        <w:t xml:space="preserve">Johnson, D. R., O’Connor, J. C., Hartman, M. E., Tapping, R. I. &amp; Freund, G. G. Acute hypoxia activates the neuroimmune system, which diabetes exacerbates. </w:t>
      </w:r>
      <w:r w:rsidRPr="006323BF">
        <w:rPr>
          <w:i/>
          <w:iCs/>
        </w:rPr>
        <w:t>J. Neurosci. Off. J. Soc. Neurosci.</w:t>
      </w:r>
      <w:r w:rsidRPr="006323BF">
        <w:t xml:space="preserve"> </w:t>
      </w:r>
      <w:r w:rsidRPr="006323BF">
        <w:rPr>
          <w:b/>
          <w:bCs/>
        </w:rPr>
        <w:t>27</w:t>
      </w:r>
      <w:r w:rsidRPr="006323BF">
        <w:t>, 1161–1166 (2007).</w:t>
      </w:r>
    </w:p>
    <w:p w14:paraId="33551994" w14:textId="77777777" w:rsidR="00B50BCE" w:rsidRPr="006323BF" w:rsidRDefault="00B50BCE" w:rsidP="00B50BCE">
      <w:pPr>
        <w:pStyle w:val="Bibliography"/>
      </w:pPr>
      <w:r w:rsidRPr="006323BF">
        <w:t>68.</w:t>
      </w:r>
      <w:r w:rsidRPr="006323BF">
        <w:tab/>
        <w:t xml:space="preserve">Peters, V. A., Joesting, J. J. &amp; Freund, G. G. IL-1 receptor 2 (IL-1R2) and its role in immune regulation. </w:t>
      </w:r>
      <w:r w:rsidRPr="006323BF">
        <w:rPr>
          <w:i/>
          <w:iCs/>
        </w:rPr>
        <w:t>Brain. Behav. Immun.</w:t>
      </w:r>
      <w:r w:rsidRPr="006323BF">
        <w:t xml:space="preserve"> </w:t>
      </w:r>
      <w:r w:rsidRPr="006323BF">
        <w:rPr>
          <w:b/>
          <w:bCs/>
        </w:rPr>
        <w:t>32</w:t>
      </w:r>
      <w:r w:rsidRPr="006323BF">
        <w:t>, 1–8 (2013).</w:t>
      </w:r>
    </w:p>
    <w:p w14:paraId="62C322F9" w14:textId="77777777" w:rsidR="00B50BCE" w:rsidRPr="006323BF" w:rsidRDefault="00B50BCE" w:rsidP="00B50BCE">
      <w:pPr>
        <w:pStyle w:val="Bibliography"/>
      </w:pPr>
      <w:r w:rsidRPr="006323BF">
        <w:t>69.</w:t>
      </w:r>
      <w:r w:rsidRPr="006323BF">
        <w:tab/>
        <w:t xml:space="preserve">Eltzschig, H. K. &amp; Carmeliet, P. Hypoxia and inflammation. </w:t>
      </w:r>
      <w:r w:rsidRPr="006323BF">
        <w:rPr>
          <w:i/>
          <w:iCs/>
        </w:rPr>
        <w:t>N. Engl. J. Med.</w:t>
      </w:r>
      <w:r w:rsidRPr="006323BF">
        <w:t xml:space="preserve"> </w:t>
      </w:r>
      <w:r w:rsidRPr="006323BF">
        <w:rPr>
          <w:b/>
          <w:bCs/>
        </w:rPr>
        <w:t>364</w:t>
      </w:r>
      <w:r w:rsidRPr="006323BF">
        <w:t>, 656–665 (2011).</w:t>
      </w:r>
    </w:p>
    <w:p w14:paraId="73218CFC" w14:textId="77777777" w:rsidR="00B50BCE" w:rsidRPr="006323BF" w:rsidRDefault="00B50BCE" w:rsidP="00B50BCE">
      <w:pPr>
        <w:pStyle w:val="Bibliography"/>
      </w:pPr>
      <w:r w:rsidRPr="006323BF">
        <w:t>70.</w:t>
      </w:r>
      <w:r w:rsidRPr="006323BF">
        <w:tab/>
        <w:t xml:space="preserve">Page, M. J. </w:t>
      </w:r>
      <w:r w:rsidRPr="006323BF">
        <w:rPr>
          <w:i/>
          <w:iCs/>
        </w:rPr>
        <w:t>et al.</w:t>
      </w:r>
      <w:r w:rsidRPr="006323BF">
        <w:t xml:space="preserve"> The PRISMA 2020 statement: an updated guideline for reporting systematic reviews. </w:t>
      </w:r>
      <w:r w:rsidRPr="006323BF">
        <w:rPr>
          <w:i/>
          <w:iCs/>
        </w:rPr>
        <w:t>BMJ</w:t>
      </w:r>
      <w:r w:rsidRPr="006323BF">
        <w:t xml:space="preserve"> n71 (2021) doi:10.1136/bmj.n71.</w:t>
      </w:r>
    </w:p>
    <w:p w14:paraId="692A9A47" w14:textId="77777777" w:rsidR="00B50BCE" w:rsidRPr="006323BF" w:rsidRDefault="00B50BCE" w:rsidP="00B50BCE">
      <w:pPr>
        <w:pStyle w:val="Bibliography"/>
      </w:pPr>
      <w:r w:rsidRPr="006323BF">
        <w:t>71.</w:t>
      </w:r>
      <w:r w:rsidRPr="006323BF">
        <w:tab/>
        <w:t xml:space="preserve">Clark, J. </w:t>
      </w:r>
      <w:r w:rsidRPr="006323BF">
        <w:rPr>
          <w:i/>
          <w:iCs/>
        </w:rPr>
        <w:t>et al.</w:t>
      </w:r>
      <w:r w:rsidRPr="006323BF">
        <w:t xml:space="preserve"> A full systematic review was completed in 2 weeks using automation tools: a case study. </w:t>
      </w:r>
      <w:r w:rsidRPr="006323BF">
        <w:rPr>
          <w:i/>
          <w:iCs/>
        </w:rPr>
        <w:t>J. Clin. Epidemiol.</w:t>
      </w:r>
      <w:r w:rsidRPr="006323BF">
        <w:t xml:space="preserve"> </w:t>
      </w:r>
      <w:r w:rsidRPr="006323BF">
        <w:rPr>
          <w:b/>
          <w:bCs/>
        </w:rPr>
        <w:t>121</w:t>
      </w:r>
      <w:r w:rsidRPr="006323BF">
        <w:t>, 81–90 (2020).</w:t>
      </w:r>
    </w:p>
    <w:p w14:paraId="226D8404" w14:textId="77777777" w:rsidR="00B50BCE" w:rsidRPr="006323BF" w:rsidRDefault="00B50BCE" w:rsidP="00B50BCE">
      <w:pPr>
        <w:pStyle w:val="Bibliography"/>
      </w:pPr>
      <w:r w:rsidRPr="006323BF">
        <w:t>72.</w:t>
      </w:r>
      <w:r w:rsidRPr="006323BF">
        <w:tab/>
        <w:t xml:space="preserve">Li, B. </w:t>
      </w:r>
      <w:r w:rsidRPr="006323BF">
        <w:rPr>
          <w:i/>
          <w:iCs/>
        </w:rPr>
        <w:t>et al.</w:t>
      </w:r>
      <w:r w:rsidRPr="006323BF">
        <w:t xml:space="preserve"> Genome-wide CRISPR screen identifies host dependency factors for influenza A virus infection. </w:t>
      </w:r>
      <w:r w:rsidRPr="006323BF">
        <w:rPr>
          <w:i/>
          <w:iCs/>
        </w:rPr>
        <w:t>Nat. Commun.</w:t>
      </w:r>
      <w:r w:rsidRPr="006323BF">
        <w:t xml:space="preserve"> </w:t>
      </w:r>
      <w:r w:rsidRPr="006323BF">
        <w:rPr>
          <w:b/>
          <w:bCs/>
        </w:rPr>
        <w:t>11</w:t>
      </w:r>
      <w:r w:rsidRPr="006323BF">
        <w:t>, 164 (2020).</w:t>
      </w:r>
    </w:p>
    <w:p w14:paraId="27B667E2" w14:textId="5E6E4858" w:rsidR="005D240B" w:rsidRPr="006323BF" w:rsidRDefault="00983820" w:rsidP="00B50BCE">
      <w:pPr>
        <w:pStyle w:val="Bibliography"/>
        <w:rPr>
          <w:b/>
          <w:bCs/>
          <w:color w:val="000000" w:themeColor="text1"/>
          <w:sz w:val="22"/>
          <w:szCs w:val="22"/>
        </w:rPr>
      </w:pPr>
      <w:r w:rsidRPr="006323BF">
        <w:rPr>
          <w:b/>
          <w:bCs/>
          <w:color w:val="000000" w:themeColor="text1"/>
          <w:sz w:val="22"/>
          <w:szCs w:val="22"/>
        </w:rPr>
        <w:fldChar w:fldCharType="end"/>
      </w:r>
    </w:p>
    <w:p w14:paraId="5A4CAA76" w14:textId="77777777" w:rsidR="005D240B" w:rsidRPr="006323BF" w:rsidRDefault="005D240B" w:rsidP="00172688">
      <w:pPr>
        <w:spacing w:line="480" w:lineRule="auto"/>
        <w:jc w:val="both"/>
        <w:rPr>
          <w:rFonts w:cs="Calibri"/>
          <w:b/>
          <w:bCs/>
          <w:color w:val="000000" w:themeColor="text1"/>
          <w:sz w:val="22"/>
          <w:szCs w:val="22"/>
        </w:rPr>
      </w:pPr>
      <w:r w:rsidRPr="006323BF">
        <w:rPr>
          <w:b/>
          <w:bCs/>
          <w:color w:val="000000" w:themeColor="text1"/>
          <w:sz w:val="22"/>
          <w:szCs w:val="22"/>
        </w:rPr>
        <w:br w:type="column"/>
      </w:r>
      <w:r w:rsidRPr="006323BF">
        <w:rPr>
          <w:rFonts w:cs="Calibri"/>
          <w:b/>
          <w:bCs/>
          <w:color w:val="000000" w:themeColor="text1"/>
          <w:sz w:val="22"/>
          <w:szCs w:val="22"/>
        </w:rPr>
        <w:lastRenderedPageBreak/>
        <w:t>CONFLICT OF INTEREST</w:t>
      </w:r>
    </w:p>
    <w:p w14:paraId="4A34556C" w14:textId="77777777" w:rsidR="005D240B" w:rsidRPr="006323BF" w:rsidRDefault="005D240B" w:rsidP="00172688">
      <w:pPr>
        <w:spacing w:line="480" w:lineRule="auto"/>
        <w:jc w:val="both"/>
        <w:rPr>
          <w:rFonts w:cs="Calibri"/>
          <w:color w:val="000000" w:themeColor="text1"/>
          <w:sz w:val="22"/>
          <w:szCs w:val="22"/>
        </w:rPr>
      </w:pPr>
      <w:r w:rsidRPr="006323BF">
        <w:rPr>
          <w:rFonts w:cs="Calibri"/>
          <w:color w:val="000000" w:themeColor="text1"/>
          <w:sz w:val="22"/>
          <w:szCs w:val="22"/>
        </w:rPr>
        <w:t>All authors report no conflicts of interest.</w:t>
      </w:r>
    </w:p>
    <w:p w14:paraId="54BDE0EE" w14:textId="77777777" w:rsidR="005D240B" w:rsidRPr="006323BF" w:rsidRDefault="005D240B" w:rsidP="00172688">
      <w:pPr>
        <w:spacing w:line="480" w:lineRule="auto"/>
        <w:jc w:val="both"/>
        <w:rPr>
          <w:rFonts w:cs="Calibri"/>
          <w:color w:val="000000" w:themeColor="text1"/>
          <w:sz w:val="22"/>
          <w:szCs w:val="22"/>
        </w:rPr>
      </w:pPr>
    </w:p>
    <w:p w14:paraId="136AFC5B"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b/>
          <w:bCs/>
          <w:color w:val="000000" w:themeColor="text1"/>
          <w:sz w:val="22"/>
          <w:szCs w:val="22"/>
        </w:rPr>
        <w:t>FUNDING</w:t>
      </w:r>
    </w:p>
    <w:p w14:paraId="0A5FE622" w14:textId="77777777" w:rsidR="005D240B" w:rsidRPr="006323BF" w:rsidRDefault="005D240B" w:rsidP="00172688">
      <w:pPr>
        <w:spacing w:line="480" w:lineRule="auto"/>
        <w:jc w:val="both"/>
        <w:rPr>
          <w:rFonts w:cs="Calibri"/>
          <w:color w:val="000000" w:themeColor="text1"/>
          <w:sz w:val="22"/>
          <w:szCs w:val="22"/>
        </w:rPr>
      </w:pPr>
      <w:r w:rsidRPr="006323BF">
        <w:rPr>
          <w:rFonts w:cs="Calibri"/>
          <w:color w:val="000000" w:themeColor="text1"/>
          <w:sz w:val="22"/>
          <w:szCs w:val="22"/>
        </w:rPr>
        <w:t>&lt;INSERT&gt;</w:t>
      </w:r>
    </w:p>
    <w:p w14:paraId="1C0C6D3C" w14:textId="77777777" w:rsidR="005D240B" w:rsidRPr="006323BF" w:rsidRDefault="005D240B" w:rsidP="00172688">
      <w:pPr>
        <w:spacing w:line="480" w:lineRule="auto"/>
        <w:jc w:val="both"/>
        <w:rPr>
          <w:rFonts w:cs="Calibri"/>
          <w:color w:val="000000" w:themeColor="text1"/>
          <w:sz w:val="22"/>
          <w:szCs w:val="22"/>
        </w:rPr>
      </w:pPr>
    </w:p>
    <w:p w14:paraId="23C76A32"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b/>
          <w:bCs/>
          <w:color w:val="000000" w:themeColor="text1"/>
          <w:sz w:val="22"/>
          <w:szCs w:val="22"/>
        </w:rPr>
        <w:t>DATA AVAILABILITY</w:t>
      </w:r>
    </w:p>
    <w:p w14:paraId="3441BA02" w14:textId="77777777" w:rsidR="005D240B" w:rsidRPr="006323BF" w:rsidRDefault="005D240B" w:rsidP="00172688">
      <w:pPr>
        <w:spacing w:line="480" w:lineRule="auto"/>
        <w:jc w:val="both"/>
        <w:rPr>
          <w:rFonts w:cs="Calibri"/>
          <w:color w:val="000000" w:themeColor="text1"/>
          <w:sz w:val="22"/>
          <w:szCs w:val="22"/>
        </w:rPr>
      </w:pPr>
      <w:r w:rsidRPr="006323BF">
        <w:rPr>
          <w:rFonts w:cs="Calibri"/>
          <w:color w:val="000000" w:themeColor="text1"/>
          <w:sz w:val="22"/>
          <w:szCs w:val="22"/>
        </w:rPr>
        <w:t>The MAIC output is included as supplementary material. All code is available at https://github.com/baillielab/bpd_maic.</w:t>
      </w:r>
    </w:p>
    <w:p w14:paraId="5889C142" w14:textId="77777777" w:rsidR="005D240B" w:rsidRPr="006323BF" w:rsidRDefault="005D240B" w:rsidP="00172688">
      <w:pPr>
        <w:spacing w:line="480" w:lineRule="auto"/>
        <w:jc w:val="both"/>
        <w:rPr>
          <w:rFonts w:cs="Calibri"/>
          <w:b/>
          <w:bCs/>
          <w:color w:val="000000" w:themeColor="text1"/>
          <w:sz w:val="22"/>
          <w:szCs w:val="22"/>
        </w:rPr>
      </w:pPr>
    </w:p>
    <w:p w14:paraId="37C7D559" w14:textId="77777777" w:rsidR="005D240B" w:rsidRPr="006323BF" w:rsidRDefault="005D240B" w:rsidP="00172688">
      <w:pPr>
        <w:spacing w:line="480" w:lineRule="auto"/>
        <w:jc w:val="both"/>
        <w:rPr>
          <w:rFonts w:cs="Calibri"/>
          <w:b/>
          <w:bCs/>
          <w:color w:val="000000" w:themeColor="text1"/>
          <w:sz w:val="22"/>
          <w:szCs w:val="22"/>
        </w:rPr>
      </w:pPr>
      <w:r w:rsidRPr="006323BF">
        <w:rPr>
          <w:rFonts w:cs="Calibri"/>
          <w:b/>
          <w:bCs/>
          <w:color w:val="000000" w:themeColor="text1"/>
          <w:sz w:val="22"/>
          <w:szCs w:val="22"/>
        </w:rPr>
        <w:t>CONTRIBUTIONS</w:t>
      </w:r>
    </w:p>
    <w:p w14:paraId="08507F0B" w14:textId="0F739C95" w:rsidR="005D240B" w:rsidRPr="006323BF" w:rsidRDefault="005D240B" w:rsidP="00172688">
      <w:pPr>
        <w:spacing w:line="480" w:lineRule="auto"/>
        <w:jc w:val="both"/>
        <w:rPr>
          <w:rFonts w:cs="Calibri"/>
          <w:color w:val="000000" w:themeColor="text1"/>
          <w:sz w:val="22"/>
          <w:szCs w:val="22"/>
        </w:rPr>
      </w:pPr>
      <w:r w:rsidRPr="006323BF">
        <w:rPr>
          <w:rFonts w:cs="Calibri"/>
          <w:color w:val="000000" w:themeColor="text1"/>
          <w:sz w:val="22"/>
          <w:szCs w:val="22"/>
        </w:rPr>
        <w:t>SCH, JKB and JEM conceived the study. PK, CH, JAR, NM, AA, NP, EL, MP</w:t>
      </w:r>
      <w:r w:rsidR="00FC7596" w:rsidRPr="006323BF">
        <w:rPr>
          <w:rFonts w:cs="Calibri"/>
          <w:color w:val="000000" w:themeColor="text1"/>
          <w:sz w:val="22"/>
          <w:szCs w:val="22"/>
        </w:rPr>
        <w:t xml:space="preserve"> and SCH</w:t>
      </w:r>
      <w:r w:rsidRPr="006323BF">
        <w:rPr>
          <w:rFonts w:cs="Calibri"/>
          <w:color w:val="000000" w:themeColor="text1"/>
          <w:sz w:val="22"/>
          <w:szCs w:val="22"/>
        </w:rPr>
        <w:t xml:space="preserve"> manually reviewed abstracts for inclusion. PK, CH</w:t>
      </w:r>
      <w:r w:rsidR="00FC7596" w:rsidRPr="006323BF">
        <w:rPr>
          <w:rFonts w:cs="Calibri"/>
          <w:color w:val="000000" w:themeColor="text1"/>
          <w:sz w:val="22"/>
          <w:szCs w:val="22"/>
        </w:rPr>
        <w:t xml:space="preserve">, SCH, </w:t>
      </w:r>
      <w:r w:rsidRPr="006323BF">
        <w:rPr>
          <w:rFonts w:cs="Calibri"/>
          <w:color w:val="000000" w:themeColor="text1"/>
          <w:sz w:val="22"/>
          <w:szCs w:val="22"/>
        </w:rPr>
        <w:t>and CS curated the data. PK</w:t>
      </w:r>
      <w:r w:rsidR="00FC7596" w:rsidRPr="006323BF">
        <w:rPr>
          <w:rFonts w:cs="Calibri"/>
          <w:color w:val="000000" w:themeColor="text1"/>
          <w:sz w:val="22"/>
          <w:szCs w:val="22"/>
        </w:rPr>
        <w:t>,</w:t>
      </w:r>
      <w:r w:rsidRPr="006323BF">
        <w:rPr>
          <w:rFonts w:cs="Calibri"/>
          <w:color w:val="000000" w:themeColor="text1"/>
          <w:sz w:val="22"/>
          <w:szCs w:val="22"/>
        </w:rPr>
        <w:t xml:space="preserve"> CH </w:t>
      </w:r>
      <w:r w:rsidR="00FC7596" w:rsidRPr="006323BF">
        <w:rPr>
          <w:rFonts w:cs="Calibri"/>
          <w:color w:val="000000" w:themeColor="text1"/>
          <w:sz w:val="22"/>
          <w:szCs w:val="22"/>
        </w:rPr>
        <w:t xml:space="preserve">and SCH </w:t>
      </w:r>
      <w:r w:rsidRPr="006323BF">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132675F5" w14:textId="77777777" w:rsidR="005D240B" w:rsidRPr="006323BF" w:rsidRDefault="005D240B" w:rsidP="00172688">
      <w:pPr>
        <w:spacing w:line="480" w:lineRule="auto"/>
        <w:jc w:val="both"/>
        <w:rPr>
          <w:color w:val="000000" w:themeColor="text1"/>
          <w:sz w:val="22"/>
          <w:szCs w:val="22"/>
        </w:rPr>
      </w:pPr>
    </w:p>
    <w:p w14:paraId="4587EAE1" w14:textId="77777777" w:rsidR="005D240B" w:rsidRPr="006323BF" w:rsidRDefault="005D240B" w:rsidP="00172688">
      <w:pPr>
        <w:spacing w:line="480" w:lineRule="auto"/>
        <w:jc w:val="both"/>
        <w:rPr>
          <w:color w:val="000000" w:themeColor="text1"/>
          <w:sz w:val="22"/>
          <w:szCs w:val="22"/>
        </w:rPr>
      </w:pPr>
    </w:p>
    <w:p w14:paraId="0AE721B3" w14:textId="77777777" w:rsidR="006323BF" w:rsidRPr="006323BF" w:rsidRDefault="006323BF" w:rsidP="00172688">
      <w:pPr>
        <w:spacing w:line="480" w:lineRule="auto"/>
        <w:jc w:val="both"/>
        <w:rPr>
          <w:color w:val="000000" w:themeColor="text1"/>
          <w:sz w:val="22"/>
          <w:szCs w:val="22"/>
        </w:rPr>
      </w:pPr>
    </w:p>
    <w:p w14:paraId="1F6C2CFB" w14:textId="77777777" w:rsidR="006323BF" w:rsidRPr="006323BF" w:rsidRDefault="006323BF" w:rsidP="006323BF">
      <w:pPr>
        <w:tabs>
          <w:tab w:val="left" w:pos="8364"/>
        </w:tabs>
        <w:spacing w:line="480" w:lineRule="auto"/>
        <w:jc w:val="both"/>
        <w:rPr>
          <w:color w:val="000000" w:themeColor="text1"/>
          <w:sz w:val="22"/>
          <w:szCs w:val="22"/>
        </w:rPr>
      </w:pPr>
      <w:r w:rsidRPr="006323BF">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6323BF"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6323BF" w:rsidRDefault="006323BF" w:rsidP="00EB4257">
            <w:pP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Table 1</w:t>
            </w:r>
          </w:p>
        </w:tc>
      </w:tr>
      <w:tr w:rsidR="006323BF" w:rsidRPr="006323BF"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6323BF" w:rsidRDefault="006323BF" w:rsidP="00EB4257">
            <w:pPr>
              <w:jc w:val="cente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6323BF" w:rsidRDefault="006323BF" w:rsidP="00EB4257">
            <w:pPr>
              <w:jc w:val="cente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6323BF" w:rsidRDefault="006323BF" w:rsidP="00EB4257">
            <w:pPr>
              <w:jc w:val="cente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6323BF" w:rsidRDefault="006323BF" w:rsidP="00EB4257">
            <w:pPr>
              <w:jc w:val="cente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BPD Definition</w:t>
            </w:r>
          </w:p>
        </w:tc>
      </w:tr>
      <w:tr w:rsidR="006323BF" w:rsidRPr="006323BF" w14:paraId="5568FBAB" w14:textId="77777777" w:rsidTr="00EB4257">
        <w:trPr>
          <w:trHeight w:val="320"/>
        </w:trPr>
        <w:tc>
          <w:tcPr>
            <w:tcW w:w="2410" w:type="dxa"/>
            <w:noWrap/>
            <w:vAlign w:val="center"/>
            <w:hideMark/>
          </w:tcPr>
          <w:p w14:paraId="1F66382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Ahmed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28\\nosupersub{}","plainCitation":"28","noteIndex":0},"citationItems":[{"id":1777,"uris":["http://zotero.org/users/14418362/items/FSZBEJT8"],"itemData":{"id":1777,"type":"article-journal","abstract":"OBJECTIVE: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28</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33E8628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20D0AC31" w14:textId="77777777" w:rsidTr="00EB4257">
        <w:trPr>
          <w:trHeight w:val="320"/>
        </w:trPr>
        <w:tc>
          <w:tcPr>
            <w:tcW w:w="2410" w:type="dxa"/>
            <w:noWrap/>
            <w:vAlign w:val="center"/>
            <w:hideMark/>
          </w:tcPr>
          <w:p w14:paraId="378BB9BF"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Ambalavanan</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themeColor="text1"/>
                <w:sz w:val="22"/>
                <w:vertAlign w:val="superscript"/>
              </w:rPr>
              <w:t>15</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5CC00B6F" w14:textId="77777777" w:rsidTr="00EB4257">
        <w:trPr>
          <w:trHeight w:val="320"/>
        </w:trPr>
        <w:tc>
          <w:tcPr>
            <w:tcW w:w="2410" w:type="dxa"/>
            <w:noWrap/>
            <w:vAlign w:val="bottom"/>
            <w:hideMark/>
          </w:tcPr>
          <w:p w14:paraId="006A93C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Bhattacharya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29\\nosupersub{}","plainCitation":"29","noteIndex":0},"citationItems":[{"id":1770,"uris":["http://zotero.org/users/14418362/items/DTG68WSY"],"itemData":{"id":1770,"type":"article-journal","abstract":"RATIONALE: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29</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29BB4D8D" w14:textId="77777777" w:rsidTr="00EB4257">
        <w:trPr>
          <w:trHeight w:val="320"/>
        </w:trPr>
        <w:tc>
          <w:tcPr>
            <w:tcW w:w="2410" w:type="dxa"/>
            <w:noWrap/>
            <w:vAlign w:val="center"/>
            <w:hideMark/>
          </w:tcPr>
          <w:p w14:paraId="4E83795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Bhattacharya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30\\nosupersub{}","plainCitation":"30","noteIndex":0},"citationItems":[{"id":1650,"uris":["http://zotero.org/users/14418362/items/ZIF332JW"],"itemData":{"id":1650,"type":"article-journal","abstract":"Many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30</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98907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Resp</w:t>
            </w:r>
            <w:proofErr w:type="spellEnd"/>
            <w:r w:rsidRPr="006323BF">
              <w:rPr>
                <w:rFonts w:ascii="Aptos" w:eastAsia="Times New Roman" w:hAnsi="Aptos" w:cs="Times New Roman"/>
                <w:color w:val="000000" w:themeColor="text1"/>
                <w:sz w:val="22"/>
                <w:szCs w:val="22"/>
                <w:lang w:eastAsia="en-GB"/>
              </w:rPr>
              <w:t xml:space="preserve"> Supp at 3,6,9,12 months </w:t>
            </w:r>
          </w:p>
        </w:tc>
      </w:tr>
      <w:tr w:rsidR="006323BF" w:rsidRPr="006323BF" w14:paraId="776B8940" w14:textId="77777777" w:rsidTr="00EB4257">
        <w:trPr>
          <w:trHeight w:val="320"/>
        </w:trPr>
        <w:tc>
          <w:tcPr>
            <w:tcW w:w="2410" w:type="dxa"/>
            <w:noWrap/>
            <w:vAlign w:val="center"/>
            <w:hideMark/>
          </w:tcPr>
          <w:p w14:paraId="119AD75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Da </w:t>
            </w:r>
            <w:proofErr w:type="spellStart"/>
            <w:r w:rsidRPr="006323BF">
              <w:rPr>
                <w:rFonts w:ascii="Aptos" w:eastAsia="Times New Roman" w:hAnsi="Aptos" w:cs="Times New Roman"/>
                <w:color w:val="000000" w:themeColor="text1"/>
                <w:sz w:val="22"/>
                <w:szCs w:val="22"/>
                <w:lang w:eastAsia="en-GB"/>
              </w:rPr>
              <w:t>paepe</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31\\nosupersub{}","plainCitation":"31","noteIndex":0},"citationItems":[{"id":1725,"uris":["http://zotero.org/users/14418362/items/BQD3U2MW"],"itemData":{"id":1725,"type":"article-journal","abstract":"Preterm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31</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Ventilator dependent for entire lifespan</w:t>
            </w:r>
          </w:p>
        </w:tc>
      </w:tr>
      <w:tr w:rsidR="006323BF" w:rsidRPr="006323BF" w14:paraId="6DF8E411" w14:textId="77777777" w:rsidTr="00EB4257">
        <w:trPr>
          <w:trHeight w:val="320"/>
        </w:trPr>
        <w:tc>
          <w:tcPr>
            <w:tcW w:w="2410" w:type="dxa"/>
            <w:noWrap/>
            <w:vAlign w:val="center"/>
            <w:hideMark/>
          </w:tcPr>
          <w:p w14:paraId="737D424D"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Dai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32\\nosupersub{}","plainCitation":"32","noteIndex":0},"citationItems":[{"id":1787,"uris":["http://zotero.org/users/14418362/items/H3RDNG36"],"itemData":{"id":1787,"type":"article-journal","abstract":"BACKGROUND: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32</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79172BE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Rest Supp on 1st day of life, &lt;32 weeks GA</w:t>
            </w:r>
          </w:p>
        </w:tc>
      </w:tr>
      <w:tr w:rsidR="006323BF" w:rsidRPr="006323BF" w14:paraId="57E61D4E" w14:textId="77777777" w:rsidTr="00EB4257">
        <w:trPr>
          <w:trHeight w:val="320"/>
        </w:trPr>
        <w:tc>
          <w:tcPr>
            <w:tcW w:w="2410" w:type="dxa"/>
            <w:noWrap/>
            <w:vAlign w:val="center"/>
            <w:hideMark/>
          </w:tcPr>
          <w:p w14:paraId="005244B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Fulton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33\\nosupersub{}","plainCitation":"33","noteIndex":0},"citationItems":[{"id":1654,"uris":["http://zotero.org/users/14418362/items/9SX9F72K"],"itemData":{"id":1654,"type":"article-journal","abstract":"Male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33</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15F429DE" w14:textId="77777777" w:rsidTr="00EB4257">
        <w:trPr>
          <w:trHeight w:val="320"/>
        </w:trPr>
        <w:tc>
          <w:tcPr>
            <w:tcW w:w="2410" w:type="dxa"/>
            <w:noWrap/>
            <w:vAlign w:val="center"/>
            <w:hideMark/>
          </w:tcPr>
          <w:p w14:paraId="31FF141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Gong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34\\nosupersub{}","plainCitation":"34","noteIndex":0},"citationItems":[{"id":1657,"uris":["http://zotero.org/users/14418362/items/IGF86V2M"],"itemData":{"id":1657,"type":"article-journal","abstract":"Bronchopulmonary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34</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7309FF6D" w14:textId="77777777" w:rsidTr="00EB4257">
        <w:trPr>
          <w:trHeight w:val="320"/>
        </w:trPr>
        <w:tc>
          <w:tcPr>
            <w:tcW w:w="2410" w:type="dxa"/>
            <w:noWrap/>
            <w:vAlign w:val="center"/>
            <w:hideMark/>
          </w:tcPr>
          <w:p w14:paraId="52F6E48B"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Hadchouel</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themeColor="text1"/>
                <w:sz w:val="22"/>
                <w:vertAlign w:val="superscript"/>
              </w:rPr>
              <w:t>12</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695243AD" w14:textId="77777777" w:rsidTr="00EB4257">
        <w:trPr>
          <w:trHeight w:val="320"/>
        </w:trPr>
        <w:tc>
          <w:tcPr>
            <w:tcW w:w="2410" w:type="dxa"/>
            <w:noWrap/>
            <w:vAlign w:val="center"/>
            <w:hideMark/>
          </w:tcPr>
          <w:p w14:paraId="6198EB3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Hamvas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35\\nosupersub{}","plainCitation":"35","noteIndex":0},"citationItems":[{"id":1727,"uris":["http://zotero.org/users/14418362/items/CU2W4ZMD"],"itemData":{"id":1727,"type":"article-journal","abstract":"BACKGROUND: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35</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10CF205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6F6AC251" w14:textId="77777777" w:rsidTr="00EB4257">
        <w:trPr>
          <w:trHeight w:val="320"/>
        </w:trPr>
        <w:tc>
          <w:tcPr>
            <w:tcW w:w="2410" w:type="dxa"/>
            <w:noWrap/>
            <w:vAlign w:val="center"/>
            <w:hideMark/>
          </w:tcPr>
          <w:p w14:paraId="13FB377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Li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36\\nosupersub{}","plainCitation":"36","noteIndex":0},"citationItems":[{"id":1917,"uris":["http://zotero.org/users/14418362/items/EMZIRC9F"],"itemData":{"id":1917,"type":"article-journal","abstract":"Background: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36</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2FD8167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68262173" w14:textId="77777777" w:rsidTr="00EB4257">
        <w:trPr>
          <w:trHeight w:val="320"/>
        </w:trPr>
        <w:tc>
          <w:tcPr>
            <w:tcW w:w="2410" w:type="dxa"/>
            <w:noWrap/>
            <w:vAlign w:val="center"/>
            <w:hideMark/>
          </w:tcPr>
          <w:p w14:paraId="6DAD98C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Luo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37\\nosupersub{}","plainCitation":"37","noteIndex":0},"citationItems":[{"id":1783,"uris":["http://zotero.org/users/14418362/items/XZXJ2SDQ"],"itemData":{"id":1783,"type":"article-journal","abstract":"Bronchopulmonary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37</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60C90A3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Resp. Supp at 36 weeks GA </w:t>
            </w:r>
          </w:p>
        </w:tc>
      </w:tr>
      <w:tr w:rsidR="006323BF" w:rsidRPr="006323BF" w14:paraId="0A2731A7" w14:textId="77777777" w:rsidTr="00EB4257">
        <w:trPr>
          <w:trHeight w:val="320"/>
        </w:trPr>
        <w:tc>
          <w:tcPr>
            <w:tcW w:w="2410" w:type="dxa"/>
            <w:noWrap/>
            <w:vAlign w:val="center"/>
            <w:hideMark/>
          </w:tcPr>
          <w:p w14:paraId="19DE211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Oji </w:t>
            </w:r>
            <w:proofErr w:type="spellStart"/>
            <w:r w:rsidRPr="006323BF">
              <w:rPr>
                <w:rFonts w:ascii="Aptos" w:eastAsia="Times New Roman" w:hAnsi="Aptos" w:cs="Times New Roman"/>
                <w:color w:val="000000" w:themeColor="text1"/>
                <w:sz w:val="22"/>
                <w:szCs w:val="22"/>
                <w:lang w:eastAsia="en-GB"/>
              </w:rPr>
              <w:t>Mmuo</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38\\nosupersub{}","plainCitation":"38","noteIndex":0},"citationItems":[{"id":922,"uris":["http://zotero.org/users/14418362/items/DF98HVJM"],"itemData":{"id":922,"type":"article-journal","abstract":"OBJECTIVE: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38</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E7A5D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1AC3E3E4" w14:textId="77777777" w:rsidTr="00EB4257">
        <w:trPr>
          <w:trHeight w:val="320"/>
        </w:trPr>
        <w:tc>
          <w:tcPr>
            <w:tcW w:w="2410" w:type="dxa"/>
            <w:noWrap/>
            <w:vAlign w:val="center"/>
            <w:hideMark/>
          </w:tcPr>
          <w:p w14:paraId="1CA87E0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Pietrzyk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39\\nosupersub{}","plainCitation":"39","noteIndex":0},"citationItems":[{"id":1723,"uris":["http://zotero.org/users/14418362/items/4P4GWIER"],"itemData":{"id":1723,"type":"article-journal","abstract":"RATIONALE: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39</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and birth &lt;32 weeks GA</w:t>
            </w:r>
          </w:p>
        </w:tc>
      </w:tr>
      <w:tr w:rsidR="006323BF" w:rsidRPr="006323BF" w14:paraId="0D439790" w14:textId="77777777" w:rsidTr="00EB4257">
        <w:trPr>
          <w:trHeight w:val="320"/>
        </w:trPr>
        <w:tc>
          <w:tcPr>
            <w:tcW w:w="2410" w:type="dxa"/>
            <w:noWrap/>
            <w:vAlign w:val="center"/>
            <w:hideMark/>
          </w:tcPr>
          <w:p w14:paraId="680A5BAC"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Siddaiah</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40\\nosupersub{}","plainCitation":"40","noteIndex":0},"citationItems":[{"id":1779,"uris":["http://zotero.org/users/14418362/items/6MZWEIW6"],"itemData":{"id":1779,"type":"article-journal","abstract":"Pulmonary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40</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6F7F45D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Resp. Supp at 36 weeks GA </w:t>
            </w:r>
          </w:p>
        </w:tc>
      </w:tr>
      <w:tr w:rsidR="006323BF" w:rsidRPr="006323BF" w14:paraId="26E0A959" w14:textId="77777777" w:rsidTr="00EB4257">
        <w:trPr>
          <w:trHeight w:val="320"/>
        </w:trPr>
        <w:tc>
          <w:tcPr>
            <w:tcW w:w="2410" w:type="dxa"/>
            <w:noWrap/>
            <w:vAlign w:val="center"/>
            <w:hideMark/>
          </w:tcPr>
          <w:p w14:paraId="751A20E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Torgerson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6323BF">
              <w:rPr>
                <w:rFonts w:ascii="Arial" w:eastAsia="Times New Roman" w:hAnsi="Arial" w:cs="Arial"/>
                <w:i/>
                <w:iCs/>
                <w:color w:val="000000" w:themeColor="text1"/>
                <w:sz w:val="22"/>
                <w:szCs w:val="22"/>
                <w:lang w:eastAsia="en-GB"/>
              </w:rPr>
              <w:instrText> </w:instrText>
            </w:r>
            <w:r w:rsidRPr="006323BF">
              <w:rPr>
                <w:rFonts w:ascii="Aptos" w:eastAsia="Times New Roman" w:hAnsi="Aptos" w:cs="Times New Roman"/>
                <w:i/>
                <w:iCs/>
                <w:color w:val="000000" w:themeColor="text1"/>
                <w:sz w:val="22"/>
                <w:szCs w:val="22"/>
                <w:lang w:eastAsia="en-GB"/>
              </w:rPr>
              <w:instrText>=</w:instrText>
            </w:r>
            <w:r w:rsidRPr="006323BF">
              <w:rPr>
                <w:rFonts w:ascii="Arial" w:eastAsia="Times New Roman" w:hAnsi="Arial" w:cs="Arial"/>
                <w:i/>
                <w:iCs/>
                <w:color w:val="000000" w:themeColor="text1"/>
                <w:sz w:val="22"/>
                <w:szCs w:val="22"/>
                <w:lang w:eastAsia="en-GB"/>
              </w:rPr>
              <w:instrText> </w:instrText>
            </w:r>
            <w:r w:rsidRPr="006323BF">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6323BF">
              <w:rPr>
                <w:rFonts w:ascii="Arial" w:eastAsia="Times New Roman" w:hAnsi="Arial" w:cs="Arial"/>
                <w:i/>
                <w:iCs/>
                <w:color w:val="000000" w:themeColor="text1"/>
                <w:sz w:val="22"/>
                <w:szCs w:val="22"/>
                <w:lang w:eastAsia="en-GB"/>
              </w:rPr>
              <w:instrText> </w:instrText>
            </w:r>
            <w:r w:rsidRPr="006323BF">
              <w:rPr>
                <w:rFonts w:ascii="Aptos" w:eastAsia="Times New Roman" w:hAnsi="Aptos" w:cs="Times New Roman"/>
                <w:i/>
                <w:iCs/>
                <w:color w:val="000000" w:themeColor="text1"/>
                <w:sz w:val="22"/>
                <w:szCs w:val="22"/>
                <w:lang w:eastAsia="en-GB"/>
              </w:rPr>
              <w:instrText>=</w:instrText>
            </w:r>
            <w:r w:rsidRPr="006323BF">
              <w:rPr>
                <w:rFonts w:ascii="Arial" w:eastAsia="Times New Roman" w:hAnsi="Arial" w:cs="Arial"/>
                <w:i/>
                <w:iCs/>
                <w:color w:val="000000" w:themeColor="text1"/>
                <w:sz w:val="22"/>
                <w:szCs w:val="22"/>
                <w:lang w:eastAsia="en-GB"/>
              </w:rPr>
              <w:instrText> </w:instrText>
            </w:r>
            <w:r w:rsidRPr="006323BF">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themeColor="text1"/>
                <w:sz w:val="22"/>
                <w:vertAlign w:val="superscript"/>
              </w:rPr>
              <w:t>16</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432C6E25" w14:textId="77777777" w:rsidTr="00EB4257">
        <w:trPr>
          <w:trHeight w:val="320"/>
        </w:trPr>
        <w:tc>
          <w:tcPr>
            <w:tcW w:w="2410" w:type="dxa"/>
            <w:noWrap/>
            <w:vAlign w:val="center"/>
            <w:hideMark/>
          </w:tcPr>
          <w:p w14:paraId="13CD94E0"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Tsotakos</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themeColor="text1"/>
                <w:sz w:val="22"/>
                <w:vertAlign w:val="superscript"/>
              </w:rPr>
              <w:t>25</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81A80D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NA - cultured cells</w:t>
            </w:r>
          </w:p>
        </w:tc>
      </w:tr>
      <w:tr w:rsidR="006323BF" w:rsidRPr="006323BF" w14:paraId="70871942" w14:textId="77777777" w:rsidTr="00EB4257">
        <w:trPr>
          <w:trHeight w:val="320"/>
        </w:trPr>
        <w:tc>
          <w:tcPr>
            <w:tcW w:w="2410" w:type="dxa"/>
            <w:noWrap/>
            <w:vAlign w:val="center"/>
            <w:hideMark/>
          </w:tcPr>
          <w:p w14:paraId="1A8A531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Wang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themeColor="text1"/>
                <w:sz w:val="22"/>
                <w:vertAlign w:val="superscript"/>
              </w:rPr>
              <w:t>14</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148EE4F1" w14:textId="77777777" w:rsidTr="00EB4257">
        <w:trPr>
          <w:trHeight w:val="320"/>
        </w:trPr>
        <w:tc>
          <w:tcPr>
            <w:tcW w:w="2410" w:type="dxa"/>
            <w:noWrap/>
            <w:vAlign w:val="center"/>
            <w:hideMark/>
          </w:tcPr>
          <w:p w14:paraId="09E0D9DD" w14:textId="77777777" w:rsidR="006323BF" w:rsidRPr="006323BF" w:rsidRDefault="006323BF" w:rsidP="00EB4257">
            <w:pPr>
              <w:rPr>
                <w:rFonts w:ascii="Aptos" w:eastAsia="Times New Roman" w:hAnsi="Aptos" w:cs="Times New Roman"/>
                <w:i/>
                <w:iCs/>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Windhorst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41\\nosupersub{}","plainCitation":"41","noteIndex":0},"citationItems":[{"id":1780,"uris":["http://zotero.org/users/14418362/items/TDX9J3PC"],"itemData":{"id":1780,"type":"article-journal","abstract":"Introduction: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41</w:t>
            </w:r>
            <w:r w:rsidRPr="006323BF">
              <w:rPr>
                <w:rFonts w:ascii="Aptos" w:eastAsia="Times New Roman" w:hAnsi="Aptos" w:cs="Times New Roman"/>
                <w:i/>
                <w:iCs/>
                <w:color w:val="000000" w:themeColor="text1"/>
                <w:sz w:val="22"/>
                <w:szCs w:val="22"/>
                <w:lang w:eastAsia="en-GB"/>
              </w:rPr>
              <w:fldChar w:fldCharType="end"/>
            </w:r>
          </w:p>
          <w:p w14:paraId="1212A185" w14:textId="77777777" w:rsidR="006323BF" w:rsidRPr="006323BF"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O2 &gt;21% for 28 days by 36 weeks </w:t>
            </w:r>
          </w:p>
        </w:tc>
      </w:tr>
      <w:tr w:rsidR="006323BF" w:rsidRPr="006323BF" w14:paraId="761DEF5F" w14:textId="77777777" w:rsidTr="00EB4257">
        <w:trPr>
          <w:trHeight w:val="320"/>
        </w:trPr>
        <w:tc>
          <w:tcPr>
            <w:tcW w:w="2410" w:type="dxa"/>
            <w:noWrap/>
            <w:vAlign w:val="center"/>
            <w:hideMark/>
          </w:tcPr>
          <w:p w14:paraId="48F1AA1F" w14:textId="77777777" w:rsidR="006323BF" w:rsidRPr="006323BF" w:rsidRDefault="006323BF" w:rsidP="00EB4257">
            <w:pPr>
              <w:rPr>
                <w:rFonts w:ascii="Aptos" w:eastAsia="Times New Roman" w:hAnsi="Aptos" w:cs="Times New Roman"/>
                <w:i/>
                <w:iCs/>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Yuon</w:t>
            </w:r>
            <w:proofErr w:type="spellEnd"/>
            <w:r w:rsidRPr="006323BF">
              <w:rPr>
                <w:rFonts w:ascii="Aptos" w:eastAsia="Times New Roman" w:hAnsi="Aptos" w:cs="Times New Roman"/>
                <w:color w:val="000000" w:themeColor="text1"/>
                <w:sz w:val="22"/>
                <w:szCs w:val="22"/>
                <w:lang w:eastAsia="en-GB"/>
              </w:rPr>
              <w:t xml:space="preserve"> Chou </w:t>
            </w:r>
            <w:r w:rsidRPr="006323BF">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0526AF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Resp. Supp at 36 weeks GA</w:t>
            </w:r>
          </w:p>
        </w:tc>
      </w:tr>
      <w:tr w:rsidR="006323BF" w:rsidRPr="006323BF" w14:paraId="24AEDBAC" w14:textId="77777777" w:rsidTr="00EB4257">
        <w:trPr>
          <w:trHeight w:val="320"/>
        </w:trPr>
        <w:tc>
          <w:tcPr>
            <w:tcW w:w="2410" w:type="dxa"/>
            <w:noWrap/>
            <w:vAlign w:val="center"/>
            <w:hideMark/>
          </w:tcPr>
          <w:p w14:paraId="7575100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Zasada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42\\nosupersub{}","plainCitation":"42","noteIndex":0},"citationItems":[{"id":1729,"uris":["http://zotero.org/users/14418362/items/C9BAGZJM"],"itemData":{"id":1729,"type":"article-journal","abstract":"BACKGROUND: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42</w:t>
            </w:r>
            <w:r w:rsidRPr="006323BF">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00FD861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6323BF" w:rsidRDefault="006323BF" w:rsidP="006323BF">
      <w:pPr>
        <w:rPr>
          <w:color w:val="000000" w:themeColor="text1"/>
        </w:rPr>
      </w:pPr>
    </w:p>
    <w:p w14:paraId="7C2C9828" w14:textId="77777777" w:rsidR="006323BF" w:rsidRPr="006323BF" w:rsidRDefault="006323BF" w:rsidP="006323BF">
      <w:pPr>
        <w:rPr>
          <w:color w:val="000000" w:themeColor="text1"/>
          <w:sz w:val="20"/>
          <w:szCs w:val="20"/>
        </w:rPr>
      </w:pPr>
      <w:r w:rsidRPr="006323BF">
        <w:rPr>
          <w:b/>
          <w:bCs/>
          <w:color w:val="000000" w:themeColor="text1"/>
          <w:sz w:val="20"/>
          <w:szCs w:val="20"/>
        </w:rPr>
        <w:t>Table 1: Characteristics of studies included in Human BPD MAIC analysis</w:t>
      </w:r>
      <w:r w:rsidRPr="006323BF">
        <w:rPr>
          <w:color w:val="000000" w:themeColor="text1"/>
          <w:sz w:val="20"/>
          <w:szCs w:val="20"/>
        </w:rPr>
        <w:t xml:space="preserve">. UCB = Umbilical Cord Blood. GA = Gestational age. Resp. Supp = Respiratory support. Oral = Oral mucosa. </w:t>
      </w:r>
    </w:p>
    <w:p w14:paraId="55D6256D" w14:textId="77777777" w:rsidR="006323BF" w:rsidRPr="006323BF" w:rsidRDefault="006323BF" w:rsidP="006323BF">
      <w:pPr>
        <w:spacing w:line="480" w:lineRule="auto"/>
        <w:jc w:val="both"/>
        <w:rPr>
          <w:i/>
          <w:iCs/>
          <w:color w:val="000000" w:themeColor="text1"/>
          <w:sz w:val="22"/>
          <w:szCs w:val="22"/>
        </w:rPr>
      </w:pPr>
    </w:p>
    <w:p w14:paraId="0C35124A" w14:textId="136699D9" w:rsidR="006323BF" w:rsidRPr="006323BF" w:rsidRDefault="006323BF" w:rsidP="006323BF">
      <w:pPr>
        <w:spacing w:line="480" w:lineRule="auto"/>
        <w:jc w:val="both"/>
        <w:rPr>
          <w:color w:val="000000" w:themeColor="text1"/>
          <w:sz w:val="22"/>
          <w:szCs w:val="22"/>
        </w:rPr>
      </w:pPr>
      <w:r w:rsidRPr="006323BF">
        <w:rPr>
          <w:i/>
          <w:iCs/>
          <w:color w:val="000000" w:themeColor="text1"/>
          <w:sz w:val="22"/>
          <w:szCs w:val="22"/>
        </w:rPr>
        <w:br w:type="column"/>
      </w:r>
    </w:p>
    <w:p w14:paraId="4B950724" w14:textId="77777777" w:rsidR="006323BF" w:rsidRPr="006323BF" w:rsidRDefault="006323BF" w:rsidP="006323BF">
      <w:pPr>
        <w:spacing w:line="480" w:lineRule="auto"/>
        <w:jc w:val="both"/>
        <w:rPr>
          <w:color w:val="000000" w:themeColor="text1"/>
          <w:sz w:val="22"/>
          <w:szCs w:val="22"/>
        </w:rPr>
      </w:pPr>
      <w:r w:rsidRPr="006323BF">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6323BF"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6323BF" w:rsidRDefault="006323BF" w:rsidP="00EB4257">
            <w:pP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Table 2</w:t>
            </w:r>
          </w:p>
        </w:tc>
      </w:tr>
      <w:tr w:rsidR="006323BF" w:rsidRPr="006323BF"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6323BF" w:rsidRDefault="006323BF" w:rsidP="00EB4257">
            <w:pP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6323BF" w:rsidRDefault="006323BF" w:rsidP="00EB4257">
            <w:pP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6323BF" w:rsidRDefault="006323BF" w:rsidP="00EB4257">
            <w:pP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6323BF" w:rsidRDefault="006323BF" w:rsidP="00EB4257">
            <w:pP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6323BF" w:rsidRDefault="006323BF" w:rsidP="00EB4257">
            <w:pPr>
              <w:rPr>
                <w:rFonts w:ascii="Aptos" w:eastAsia="Times New Roman" w:hAnsi="Aptos" w:cs="Times New Roman"/>
                <w:b/>
                <w:bCs/>
                <w:color w:val="000000" w:themeColor="text1"/>
                <w:sz w:val="22"/>
                <w:szCs w:val="22"/>
                <w:lang w:eastAsia="en-GB"/>
              </w:rPr>
            </w:pPr>
            <w:r w:rsidRPr="006323BF">
              <w:rPr>
                <w:rFonts w:ascii="Aptos" w:eastAsia="Times New Roman" w:hAnsi="Aptos" w:cs="Times New Roman"/>
                <w:b/>
                <w:bCs/>
                <w:color w:val="000000" w:themeColor="text1"/>
                <w:sz w:val="22"/>
                <w:szCs w:val="22"/>
                <w:lang w:eastAsia="en-GB"/>
              </w:rPr>
              <w:t>Method</w:t>
            </w:r>
          </w:p>
        </w:tc>
      </w:tr>
      <w:tr w:rsidR="006323BF" w:rsidRPr="006323BF" w14:paraId="7872B0C9" w14:textId="77777777" w:rsidTr="00EB4257">
        <w:trPr>
          <w:trHeight w:val="320"/>
        </w:trPr>
        <w:tc>
          <w:tcPr>
            <w:tcW w:w="3403" w:type="dxa"/>
            <w:noWrap/>
            <w:vAlign w:val="bottom"/>
            <w:hideMark/>
          </w:tcPr>
          <w:p w14:paraId="262BD8B9"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Al </w:t>
            </w:r>
            <w:proofErr w:type="spellStart"/>
            <w:r w:rsidRPr="006323BF">
              <w:rPr>
                <w:rFonts w:ascii="Aptos" w:eastAsia="Times New Roman" w:hAnsi="Aptos" w:cs="Times New Roman"/>
                <w:color w:val="000000" w:themeColor="text1"/>
                <w:sz w:val="22"/>
                <w:szCs w:val="22"/>
                <w:lang w:eastAsia="en-GB"/>
              </w:rPr>
              <w:t>Mudares</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44\\nosupersub{}","plainCitation":"44","noteIndex":0},"citationItems":[{"id":1823,"uris":["http://zotero.org/users/14418362/items/GU4Y38RU"],"itemData":{"id":1823,"type":"article-journal","abstract":"Growth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44</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891D5E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3CDEAEDB" w14:textId="77777777" w:rsidTr="00EB4257">
        <w:trPr>
          <w:trHeight w:val="320"/>
        </w:trPr>
        <w:tc>
          <w:tcPr>
            <w:tcW w:w="3403" w:type="dxa"/>
            <w:noWrap/>
            <w:vAlign w:val="bottom"/>
            <w:hideMark/>
          </w:tcPr>
          <w:p w14:paraId="62F50AB9" w14:textId="77777777" w:rsidR="006323BF" w:rsidRPr="006323BF" w:rsidRDefault="006323BF" w:rsidP="00EB4257">
            <w:pPr>
              <w:rPr>
                <w:rFonts w:ascii="Aptos" w:eastAsia="Times New Roman" w:hAnsi="Aptos" w:cs="Times New Roman"/>
                <w:i/>
                <w:iCs/>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Bao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45\\nosupersub{}","plainCitation":"45","noteIndex":0},"citationItems":[{"id":975,"uris":["http://zotero.org/users/14418362/items/JL2C3AXR"],"itemData":{"id":975,"type":"article-journal","abstract":"Bronchopulmonary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45</w:t>
            </w:r>
            <w:r w:rsidRPr="006323BF">
              <w:rPr>
                <w:rFonts w:ascii="Aptos" w:eastAsia="Times New Roman" w:hAnsi="Aptos" w:cs="Times New Roman"/>
                <w:i/>
                <w:iCs/>
                <w:color w:val="000000" w:themeColor="text1"/>
                <w:sz w:val="22"/>
                <w:szCs w:val="22"/>
                <w:lang w:eastAsia="en-GB"/>
              </w:rPr>
              <w:fldChar w:fldCharType="end"/>
            </w:r>
          </w:p>
          <w:p w14:paraId="6DA95736" w14:textId="77777777" w:rsidR="006323BF" w:rsidRPr="006323BF"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314913B6" w14:textId="77777777" w:rsidTr="00EB4257">
        <w:trPr>
          <w:trHeight w:val="320"/>
        </w:trPr>
        <w:tc>
          <w:tcPr>
            <w:tcW w:w="3403" w:type="dxa"/>
            <w:noWrap/>
            <w:vAlign w:val="bottom"/>
            <w:hideMark/>
          </w:tcPr>
          <w:p w14:paraId="45E6EB96"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Bhaskaran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46\\nosupersub{}","plainCitation":"46","noteIndex":0},"citationItems":[{"id":1800,"uris":["http://zotero.org/users/14418362/items/7LNL3A7M"],"itemData":{"id":1800,"type":"article-journal","abstract":"Bronchopulmonary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46</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011ECC3F" w14:textId="77777777" w:rsidTr="00EB4257">
        <w:trPr>
          <w:trHeight w:val="320"/>
        </w:trPr>
        <w:tc>
          <w:tcPr>
            <w:tcW w:w="3403" w:type="dxa"/>
            <w:noWrap/>
            <w:vAlign w:val="bottom"/>
            <w:hideMark/>
          </w:tcPr>
          <w:p w14:paraId="5B860036"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Bhattacharya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30\\nosupersub{}","plainCitation":"30","noteIndex":0},"citationItems":[{"id":1650,"uris":["http://zotero.org/users/14418362/items/ZIF332JW"],"itemData":{"id":1650,"type":"article-journal","abstract":"Many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30</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5A3CAA1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54A5B45E" w14:textId="77777777" w:rsidTr="00EB4257">
        <w:trPr>
          <w:trHeight w:val="320"/>
        </w:trPr>
        <w:tc>
          <w:tcPr>
            <w:tcW w:w="3403" w:type="dxa"/>
            <w:noWrap/>
            <w:vAlign w:val="bottom"/>
            <w:hideMark/>
          </w:tcPr>
          <w:p w14:paraId="158E3846"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Chao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47\\nosupersub{}","plainCitation":"47","noteIndex":0},"citationItems":[{"id":1908,"uris":["http://zotero.org/users/14418362/items/U6TUMJ23"],"itemData":{"id":1908,"type":"report","abstract":"Background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47</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66D72452" w14:textId="77777777" w:rsidTr="00EB4257">
        <w:trPr>
          <w:trHeight w:val="320"/>
        </w:trPr>
        <w:tc>
          <w:tcPr>
            <w:tcW w:w="3403" w:type="dxa"/>
            <w:noWrap/>
            <w:vAlign w:val="bottom"/>
            <w:hideMark/>
          </w:tcPr>
          <w:p w14:paraId="740563B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Chen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48\\nosupersub{}","plainCitation":"48","noteIndex":0},"citationItems":[{"id":688,"uris":["http://zotero.org/users/14418362/items/JCNSH2N7"],"itemData":{"id":688,"type":"article-journal","abstract":"OBJECTIVE: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48</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4C067C64" w14:textId="77777777" w:rsidTr="00EB4257">
        <w:trPr>
          <w:trHeight w:val="320"/>
        </w:trPr>
        <w:tc>
          <w:tcPr>
            <w:tcW w:w="3403" w:type="dxa"/>
            <w:noWrap/>
            <w:vAlign w:val="bottom"/>
            <w:hideMark/>
          </w:tcPr>
          <w:p w14:paraId="6699402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Cheng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49\\nosupersub{}","plainCitation":"49","noteIndex":0},"citationItems":[{"id":645,"uris":["http://zotero.org/users/14418362/items/3I5JBN83"],"itemData":{"id":645,"type":"article-journal","abstract":"BACKGROUND: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49</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3AD3ED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4DE376CA" w14:textId="77777777" w:rsidTr="00EB4257">
        <w:trPr>
          <w:trHeight w:val="320"/>
        </w:trPr>
        <w:tc>
          <w:tcPr>
            <w:tcW w:w="3403" w:type="dxa"/>
            <w:noWrap/>
            <w:vAlign w:val="bottom"/>
            <w:hideMark/>
          </w:tcPr>
          <w:p w14:paraId="2FDED894"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Coarfa</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50\\nosupersub{}","plainCitation":"50","noteIndex":0},"citationItems":[{"id":1534,"uris":["http://zotero.org/users/14418362/items/2KNXIADC"],"itemData":{"id":1534,"type":"article-journal","abstract":"Bronchopulmonary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50</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6AADEDA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7B884BA8" w14:textId="77777777" w:rsidTr="00EB4257">
        <w:trPr>
          <w:trHeight w:val="320"/>
        </w:trPr>
        <w:tc>
          <w:tcPr>
            <w:tcW w:w="3403" w:type="dxa"/>
            <w:noWrap/>
            <w:vAlign w:val="bottom"/>
            <w:hideMark/>
          </w:tcPr>
          <w:p w14:paraId="2A50FAD3"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Dénervaud</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51\\nosupersub{}","plainCitation":"51","noteIndex":0},"citationItems":[{"id":1921,"uris":["http://zotero.org/users/14418362/items/845TX9L4"],"itemData":{"id":1921,"type":"article-journal","abstract":"BACKGROUND: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51</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61B581F8" w14:textId="77777777" w:rsidTr="00EB4257">
        <w:trPr>
          <w:trHeight w:val="320"/>
        </w:trPr>
        <w:tc>
          <w:tcPr>
            <w:tcW w:w="3403" w:type="dxa"/>
            <w:noWrap/>
            <w:vAlign w:val="bottom"/>
            <w:hideMark/>
          </w:tcPr>
          <w:p w14:paraId="36CB5E1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Na Dong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52\\nosupersub{}","plainCitation":"52","noteIndex":0},"citationItems":[{"id":1939,"uris":["http://zotero.org/users/14418362/items/5A22EELR"],"itemData":{"id":1939,"type":"article-journal","abstract":"BACKGROUND: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52</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D42666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35B09512" w14:textId="77777777" w:rsidTr="00EB4257">
        <w:trPr>
          <w:trHeight w:val="320"/>
        </w:trPr>
        <w:tc>
          <w:tcPr>
            <w:tcW w:w="3403" w:type="dxa"/>
            <w:noWrap/>
            <w:vAlign w:val="bottom"/>
            <w:hideMark/>
          </w:tcPr>
          <w:p w14:paraId="0B4802B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Dravet </w:t>
            </w:r>
            <w:proofErr w:type="spellStart"/>
            <w:r w:rsidRPr="006323BF">
              <w:rPr>
                <w:rFonts w:ascii="Aptos" w:eastAsia="Times New Roman" w:hAnsi="Aptos" w:cs="Times New Roman"/>
                <w:color w:val="000000" w:themeColor="text1"/>
                <w:sz w:val="22"/>
                <w:szCs w:val="22"/>
                <w:lang w:eastAsia="en-GB"/>
              </w:rPr>
              <w:t>Gounot</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53\\nosupersub{}","plainCitation":"53","noteIndex":0},"citationItems":[{"id":641,"uris":["http://zotero.org/users/14418362/items/8CNQDAZ4"],"itemData":{"id":641,"type":"article-journal","abstract":"Intrauterine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53</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5B2283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Induced IUGR</w:t>
            </w:r>
          </w:p>
        </w:tc>
      </w:tr>
      <w:tr w:rsidR="006323BF" w:rsidRPr="006323BF" w14:paraId="69B2D1C7" w14:textId="77777777" w:rsidTr="00EB4257">
        <w:trPr>
          <w:trHeight w:val="320"/>
        </w:trPr>
        <w:tc>
          <w:tcPr>
            <w:tcW w:w="3403" w:type="dxa"/>
            <w:noWrap/>
            <w:vAlign w:val="bottom"/>
            <w:hideMark/>
          </w:tcPr>
          <w:p w14:paraId="5253B55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El </w:t>
            </w:r>
            <w:proofErr w:type="spellStart"/>
            <w:r w:rsidRPr="006323BF">
              <w:rPr>
                <w:rFonts w:ascii="Aptos" w:eastAsia="Times New Roman" w:hAnsi="Aptos" w:cs="Times New Roman"/>
                <w:color w:val="000000" w:themeColor="text1"/>
                <w:sz w:val="22"/>
                <w:szCs w:val="22"/>
                <w:lang w:eastAsia="en-GB"/>
              </w:rPr>
              <w:t>Saie</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54\\nosupersub{}","plainCitation":"54","noteIndex":0},"citationItems":[{"id":1859,"uris":["http://zotero.org/users/14418362/items/HEXY268M"],"itemData":{"id":1859,"type":"article-journal","abstract":"BACKGROUND: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54</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202816CD" w14:textId="77777777" w:rsidTr="00EB4257">
        <w:trPr>
          <w:trHeight w:val="320"/>
        </w:trPr>
        <w:tc>
          <w:tcPr>
            <w:tcW w:w="3403" w:type="dxa"/>
            <w:noWrap/>
            <w:vAlign w:val="bottom"/>
            <w:hideMark/>
          </w:tcPr>
          <w:p w14:paraId="0C26A74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Hurskainen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themeColor="text1"/>
                <w:sz w:val="22"/>
                <w:vertAlign w:val="superscript"/>
              </w:rPr>
              <w:t>18</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338B0FE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4A15841A" w14:textId="77777777" w:rsidTr="00EB4257">
        <w:trPr>
          <w:trHeight w:val="320"/>
        </w:trPr>
        <w:tc>
          <w:tcPr>
            <w:tcW w:w="3403" w:type="dxa"/>
            <w:noWrap/>
            <w:vAlign w:val="bottom"/>
            <w:hideMark/>
          </w:tcPr>
          <w:p w14:paraId="3CFF79C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Natarajan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55\\nosupersub{}","plainCitation":"55","noteIndex":0},"citationItems":[{"id":1885,"uris":["http://zotero.org/users/14418362/items/HWQTE4D2"],"itemData":{"id":1885,"type":"report","abstract":"BACKGROUND: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55</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7C2F630D" w14:textId="77777777" w:rsidTr="00EB4257">
        <w:trPr>
          <w:trHeight w:val="320"/>
        </w:trPr>
        <w:tc>
          <w:tcPr>
            <w:tcW w:w="3403" w:type="dxa"/>
            <w:noWrap/>
            <w:vAlign w:val="bottom"/>
            <w:hideMark/>
          </w:tcPr>
          <w:p w14:paraId="3679A6F6"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Nichols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56\\nosupersub{}","plainCitation":"56","noteIndex":0},"citationItems":[{"id":1940,"uris":["http://zotero.org/users/14418362/items/4JPSFDVT"],"itemData":{"id":1940,"type":"article-journal","abstract":"Reactive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56</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NA</w:t>
            </w:r>
          </w:p>
        </w:tc>
      </w:tr>
      <w:tr w:rsidR="006323BF" w:rsidRPr="006323BF" w14:paraId="198E43A9" w14:textId="77777777" w:rsidTr="00EB4257">
        <w:trPr>
          <w:trHeight w:val="320"/>
        </w:trPr>
        <w:tc>
          <w:tcPr>
            <w:tcW w:w="3403" w:type="dxa"/>
            <w:noWrap/>
            <w:vAlign w:val="bottom"/>
            <w:hideMark/>
          </w:tcPr>
          <w:p w14:paraId="40F7D2B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Nitkin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57\\nosupersub{}","plainCitation":"57","noteIndex":0},"citationItems":[{"id":1826,"uris":["http://zotero.org/users/14418362/items/4PBYTIYK"],"itemData":{"id":1826,"type":"article-journal","abstract":"Systemic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57</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FC0D6B8"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LPS treated</w:t>
            </w:r>
          </w:p>
        </w:tc>
      </w:tr>
      <w:tr w:rsidR="006323BF" w:rsidRPr="006323BF" w14:paraId="1C3D739E" w14:textId="77777777" w:rsidTr="00EB4257">
        <w:trPr>
          <w:trHeight w:val="320"/>
        </w:trPr>
        <w:tc>
          <w:tcPr>
            <w:tcW w:w="3403" w:type="dxa"/>
            <w:noWrap/>
            <w:vAlign w:val="bottom"/>
            <w:hideMark/>
          </w:tcPr>
          <w:p w14:paraId="01C66D4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Rao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58\\nosupersub{}","plainCitation":"58","noteIndex":0},"citationItems":[{"id":1829,"uris":["http://zotero.org/users/14418362/items/5CFTFEAF"],"itemData":{"id":1829,"type":"article-journal","abstract":"Pulmonary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58</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EEC197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284CD514" w14:textId="77777777" w:rsidTr="00EB4257">
        <w:trPr>
          <w:trHeight w:val="320"/>
        </w:trPr>
        <w:tc>
          <w:tcPr>
            <w:tcW w:w="3403" w:type="dxa"/>
            <w:noWrap/>
            <w:vAlign w:val="bottom"/>
            <w:hideMark/>
          </w:tcPr>
          <w:p w14:paraId="7C893116"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Revhaug</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59\\nosupersub{}","plainCitation":"59","noteIndex":0},"citationItems":[{"id":1868,"uris":["http://zotero.org/users/14418362/items/KYWNRRZE"],"itemData":{"id":1868,"type":"article-journal","abstract":"BACKGROUND: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59</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56D5D54D" w14:textId="77777777" w:rsidTr="00EB4257">
        <w:trPr>
          <w:trHeight w:val="320"/>
        </w:trPr>
        <w:tc>
          <w:tcPr>
            <w:tcW w:w="3403" w:type="dxa"/>
            <w:noWrap/>
            <w:vAlign w:val="bottom"/>
            <w:hideMark/>
          </w:tcPr>
          <w:p w14:paraId="2697177D"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Scaffa</w:t>
            </w:r>
            <w:proofErr w:type="spellEnd"/>
            <w:r w:rsidRPr="006323BF">
              <w:rPr>
                <w:rFonts w:ascii="Aptos" w:eastAsia="Times New Roman" w:hAnsi="Aptos" w:cs="Times New Roman"/>
                <w:color w:val="000000" w:themeColor="text1"/>
                <w:sz w:val="22"/>
                <w:szCs w:val="22"/>
                <w:lang w:eastAsia="en-GB"/>
              </w:rPr>
              <w:t xml:space="preserve">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60\\nosupersub{}","plainCitation":"60","noteIndex":0},"citationItems":[{"id":1814,"uris":["http://zotero.org/users/14418362/items/WETFG4WW"],"itemData":{"id":1814,"type":"article-journal","abstract":"Ventilatory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60</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6323BF" w:rsidRDefault="006323BF" w:rsidP="00EB4257">
            <w:pPr>
              <w:rPr>
                <w:rFonts w:ascii="Aptos" w:eastAsia="Times New Roman" w:hAnsi="Aptos" w:cs="Times New Roman"/>
                <w:color w:val="000000" w:themeColor="text1"/>
                <w:sz w:val="22"/>
                <w:szCs w:val="22"/>
                <w:lang w:eastAsia="en-GB"/>
              </w:rPr>
            </w:pPr>
            <w:proofErr w:type="spellStart"/>
            <w:r w:rsidRPr="006323BF">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2689019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r w:rsidR="006323BF" w:rsidRPr="006323BF" w14:paraId="650309D4" w14:textId="77777777" w:rsidTr="00EB4257">
        <w:trPr>
          <w:trHeight w:val="320"/>
        </w:trPr>
        <w:tc>
          <w:tcPr>
            <w:tcW w:w="3403" w:type="dxa"/>
            <w:noWrap/>
            <w:vAlign w:val="bottom"/>
            <w:hideMark/>
          </w:tcPr>
          <w:p w14:paraId="6464BD64"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 xml:space="preserve">Shrestha </w:t>
            </w:r>
            <w:r w:rsidRPr="006323BF">
              <w:rPr>
                <w:rFonts w:ascii="Aptos" w:eastAsia="Times New Roman" w:hAnsi="Aptos" w:cs="Times New Roman"/>
                <w:i/>
                <w:iCs/>
                <w:color w:val="000000" w:themeColor="text1"/>
                <w:sz w:val="22"/>
                <w:szCs w:val="22"/>
                <w:lang w:eastAsia="en-GB"/>
              </w:rPr>
              <w:t>et al.,</w:t>
            </w:r>
            <w:r w:rsidRPr="006323BF">
              <w:rPr>
                <w:rFonts w:ascii="Aptos" w:eastAsia="Times New Roman" w:hAnsi="Aptos" w:cs="Times New Roman"/>
                <w:i/>
                <w:iCs/>
                <w:color w:val="000000" w:themeColor="text1"/>
                <w:sz w:val="22"/>
                <w:szCs w:val="22"/>
                <w:lang w:eastAsia="en-GB"/>
              </w:rPr>
              <w:fldChar w:fldCharType="begin"/>
            </w:r>
            <w:r w:rsidRPr="006323BF">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61\\nosupersub{}","plainCitation":"61","noteIndex":0},"citationItems":[{"id":1411,"uris":["http://zotero.org/users/14418362/items/FGPYXBZU"],"itemData":{"id":1411,"type":"article-journal","abstract":"Bronchopulmonary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6323BF">
              <w:rPr>
                <w:rFonts w:ascii="Aptos" w:eastAsia="Times New Roman" w:hAnsi="Aptos" w:cs="Times New Roman"/>
                <w:i/>
                <w:iCs/>
                <w:color w:val="000000" w:themeColor="text1"/>
                <w:sz w:val="22"/>
                <w:szCs w:val="22"/>
                <w:lang w:eastAsia="en-GB"/>
              </w:rPr>
              <w:fldChar w:fldCharType="separate"/>
            </w:r>
            <w:r w:rsidRPr="006323BF">
              <w:rPr>
                <w:rFonts w:ascii="Aptos" w:hAnsi="Aptos" w:cs="Times New Roman"/>
                <w:color w:val="000000"/>
                <w:sz w:val="22"/>
                <w:vertAlign w:val="superscript"/>
              </w:rPr>
              <w:t>61</w:t>
            </w:r>
            <w:r w:rsidRPr="006323BF">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6323BF" w:rsidRDefault="006323BF" w:rsidP="00EB4257">
            <w:pPr>
              <w:rPr>
                <w:rFonts w:ascii="Aptos" w:eastAsia="Times New Roman" w:hAnsi="Aptos" w:cs="Times New Roman"/>
                <w:color w:val="000000" w:themeColor="text1"/>
                <w:sz w:val="22"/>
                <w:szCs w:val="22"/>
                <w:lang w:eastAsia="en-GB"/>
              </w:rPr>
            </w:pPr>
            <w:r w:rsidRPr="006323BF">
              <w:rPr>
                <w:rFonts w:ascii="Aptos" w:eastAsia="Times New Roman" w:hAnsi="Aptos" w:cs="Times New Roman"/>
                <w:color w:val="000000" w:themeColor="text1"/>
                <w:sz w:val="22"/>
                <w:szCs w:val="22"/>
                <w:lang w:eastAsia="en-GB"/>
              </w:rPr>
              <w:t>Hyperoxia</w:t>
            </w:r>
          </w:p>
        </w:tc>
      </w:tr>
    </w:tbl>
    <w:p w14:paraId="409CF144" w14:textId="77777777" w:rsidR="006323BF" w:rsidRPr="006323BF"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6323BF">
        <w:rPr>
          <w:b/>
          <w:bCs/>
          <w:color w:val="000000" w:themeColor="text1"/>
          <w:sz w:val="20"/>
          <w:szCs w:val="20"/>
        </w:rPr>
        <w:t>Table 2: Characteristics of studies included in Rodent BPD MAIC analysis</w:t>
      </w:r>
      <w:r w:rsidRPr="006323BF">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08-06T10:58:00Z" w:initials="SCH">
    <w:p w14:paraId="57117665" w14:textId="3EB413C7" w:rsidR="005D240B" w:rsidRDefault="005D240B" w:rsidP="005D240B">
      <w:r>
        <w:rPr>
          <w:rStyle w:val="CommentReference"/>
        </w:rPr>
        <w:annotationRef/>
      </w:r>
      <w:r>
        <w:rPr>
          <w:sz w:val="20"/>
          <w:szCs w:val="20"/>
        </w:rPr>
        <w:t>Aim for 1200 words</w:t>
      </w:r>
    </w:p>
  </w:comment>
  <w:comment w:id="1" w:author="Sara Clohisey Hendry" w:date="2025-11-21T14:02:00Z" w:initials="SCH">
    <w:p w14:paraId="3E7CA865" w14:textId="77777777" w:rsidR="006323BF" w:rsidRDefault="006323BF" w:rsidP="006323BF">
      <w:r>
        <w:rPr>
          <w:rStyle w:val="CommentReference"/>
        </w:rPr>
        <w:annotationRef/>
      </w:r>
      <w:r>
        <w:rPr>
          <w:sz w:val="20"/>
          <w:szCs w:val="20"/>
        </w:rPr>
        <w:t>This is not the best summary tbh - in fact it's now wrong.</w:t>
      </w:r>
    </w:p>
  </w:comment>
  <w:comment w:id="2" w:author="Sara Clohisey Hendry" w:date="2025-11-05T14:12:00Z" w:initials="SCH">
    <w:p w14:paraId="60BADB3C" w14:textId="77777777" w:rsidR="003C69BD" w:rsidRDefault="003C69BD" w:rsidP="003C69BD">
      <w:r>
        <w:rPr>
          <w:rStyle w:val="CommentReference"/>
        </w:rPr>
        <w:annotationRef/>
      </w:r>
      <w:r>
        <w:rPr>
          <w:sz w:val="20"/>
          <w:szCs w:val="20"/>
        </w:rPr>
        <w:t>Does the small number supported from multiple sources mean anything?</w:t>
      </w:r>
    </w:p>
  </w:comment>
  <w:comment w:id="3" w:author="Sara Clohisey Hendry" w:date="2025-11-04T09:58:00Z" w:initials="SCH">
    <w:p w14:paraId="54714B93" w14:textId="77777777" w:rsidR="00667DC3" w:rsidRDefault="00667DC3" w:rsidP="00667DC3">
      <w:r>
        <w:rPr>
          <w:rStyle w:val="CommentReference"/>
        </w:rPr>
        <w:annotationRef/>
      </w:r>
      <w:r>
        <w:rPr>
          <w:sz w:val="20"/>
          <w:szCs w:val="20"/>
        </w:rPr>
        <w:t>Too much. Remove or soften.</w:t>
      </w:r>
    </w:p>
  </w:comment>
  <w:comment w:id="4" w:author="Sara Clohisey Hendry" w:date="2025-11-04T09:58:00Z" w:initials="SCH">
    <w:p w14:paraId="0DF8CBFE" w14:textId="77777777" w:rsidR="00667DC3" w:rsidRDefault="00667DC3" w:rsidP="00667DC3">
      <w:r>
        <w:rPr>
          <w:rStyle w:val="CommentReference"/>
        </w:rPr>
        <w:annotationRef/>
      </w:r>
      <w:r>
        <w:rPr>
          <w:sz w:val="20"/>
          <w:szCs w:val="20"/>
        </w:rPr>
        <w:t>Repetition</w:t>
      </w:r>
    </w:p>
  </w:comment>
  <w:comment w:id="5" w:author="Sara Clohisey Hendry" w:date="2025-11-05T10:27:00Z" w:initials="SCH">
    <w:p w14:paraId="4B643ACE" w14:textId="77777777" w:rsidR="00D75528" w:rsidRDefault="00D75528" w:rsidP="00D75528">
      <w:r>
        <w:rPr>
          <w:rStyle w:val="CommentReference"/>
        </w:rPr>
        <w:annotationRef/>
      </w:r>
      <w:r>
        <w:rPr>
          <w:sz w:val="20"/>
          <w:szCs w:val="20"/>
        </w:rPr>
        <w:t>NTalk about ortholog mapping</w:t>
      </w:r>
    </w:p>
  </w:comment>
  <w:comment w:id="6" w:author="Sara Clohisey Hendry" w:date="2025-11-04T09:59:00Z" w:initials="SCH">
    <w:p w14:paraId="5B48FA24" w14:textId="48F7111C" w:rsidR="00667DC3" w:rsidRDefault="00667DC3" w:rsidP="00667DC3">
      <w:r>
        <w:rPr>
          <w:rStyle w:val="CommentReference"/>
        </w:rPr>
        <w:annotationRef/>
      </w:r>
      <w:r>
        <w:rPr>
          <w:sz w:val="20"/>
          <w:szCs w:val="20"/>
        </w:rPr>
        <w:t>Repetition. horse dead.</w:t>
      </w:r>
    </w:p>
  </w:comment>
  <w:comment w:id="7" w:author="Sara Clohisey Hendry" w:date="2025-11-04T09:59:00Z" w:initials="SCH">
    <w:p w14:paraId="5C84027D" w14:textId="77777777" w:rsidR="00667DC3" w:rsidRDefault="00667DC3" w:rsidP="00667DC3">
      <w:r>
        <w:rPr>
          <w:rStyle w:val="CommentReference"/>
        </w:rPr>
        <w:annotationRef/>
      </w:r>
      <w:r>
        <w:rPr>
          <w:sz w:val="20"/>
          <w:szCs w:val="20"/>
        </w:rPr>
        <w:t>Expand with 1 or 2 more sentences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117665" w15:done="0"/>
  <w15:commentEx w15:paraId="3E7CA865" w15:done="0"/>
  <w15:commentEx w15:paraId="60BADB3C" w15:done="0"/>
  <w15:commentEx w15:paraId="54714B93" w15:done="0"/>
  <w15:commentEx w15:paraId="0DF8CBFE" w15:done="0"/>
  <w15:commentEx w15:paraId="4B643ACE" w15:paraIdParent="0DF8CBFE" w15:done="0"/>
  <w15:commentEx w15:paraId="5B48FA24" w15:done="0"/>
  <w15:commentEx w15:paraId="5C8402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488C85" w16cex:dateUtc="2025-08-06T09:58:00Z"/>
  <w16cex:commentExtensible w16cex:durableId="09E259E2" w16cex:dateUtc="2025-11-21T14:02:00Z"/>
  <w16cex:commentExtensible w16cex:durableId="3514CDD7" w16cex:dateUtc="2025-11-05T14:12:00Z"/>
  <w16cex:commentExtensible w16cex:durableId="1EA2FAFA" w16cex:dateUtc="2025-11-04T09:58:00Z"/>
  <w16cex:commentExtensible w16cex:durableId="22A5751E" w16cex:dateUtc="2025-11-04T09:58:00Z"/>
  <w16cex:commentExtensible w16cex:durableId="7DC78E48" w16cex:dateUtc="2025-11-05T10:27:00Z"/>
  <w16cex:commentExtensible w16cex:durableId="14CD5B03" w16cex:dateUtc="2025-11-04T09:59:00Z"/>
  <w16cex:commentExtensible w16cex:durableId="5D64F4ED" w16cex:dateUtc="2025-11-04T09: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117665" w16cid:durableId="15488C85"/>
  <w16cid:commentId w16cid:paraId="3E7CA865" w16cid:durableId="09E259E2"/>
  <w16cid:commentId w16cid:paraId="60BADB3C" w16cid:durableId="3514CDD7"/>
  <w16cid:commentId w16cid:paraId="54714B93" w16cid:durableId="1EA2FAFA"/>
  <w16cid:commentId w16cid:paraId="0DF8CBFE" w16cid:durableId="22A5751E"/>
  <w16cid:commentId w16cid:paraId="4B643ACE" w16cid:durableId="7DC78E48"/>
  <w16cid:commentId w16cid:paraId="5B48FA24" w16cid:durableId="14CD5B03"/>
  <w16cid:commentId w16cid:paraId="5C84027D" w16cid:durableId="5D64F4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363FD"/>
    <w:rsid w:val="00172688"/>
    <w:rsid w:val="001B5DBE"/>
    <w:rsid w:val="001D6A71"/>
    <w:rsid w:val="001E5E56"/>
    <w:rsid w:val="001E7CF0"/>
    <w:rsid w:val="00220F4B"/>
    <w:rsid w:val="00246187"/>
    <w:rsid w:val="002702AD"/>
    <w:rsid w:val="00294D94"/>
    <w:rsid w:val="002D7E1E"/>
    <w:rsid w:val="002F7479"/>
    <w:rsid w:val="00317902"/>
    <w:rsid w:val="00326D95"/>
    <w:rsid w:val="00327385"/>
    <w:rsid w:val="003508D3"/>
    <w:rsid w:val="00354EC8"/>
    <w:rsid w:val="00357B67"/>
    <w:rsid w:val="0036129C"/>
    <w:rsid w:val="003B2F70"/>
    <w:rsid w:val="003C5E54"/>
    <w:rsid w:val="003C69BD"/>
    <w:rsid w:val="003D4739"/>
    <w:rsid w:val="00456715"/>
    <w:rsid w:val="004835F6"/>
    <w:rsid w:val="004A2A48"/>
    <w:rsid w:val="004D450D"/>
    <w:rsid w:val="004F1989"/>
    <w:rsid w:val="004F6F62"/>
    <w:rsid w:val="00502716"/>
    <w:rsid w:val="005036A4"/>
    <w:rsid w:val="00520233"/>
    <w:rsid w:val="005400FE"/>
    <w:rsid w:val="00545988"/>
    <w:rsid w:val="005508DA"/>
    <w:rsid w:val="00551E31"/>
    <w:rsid w:val="005A680A"/>
    <w:rsid w:val="005B6EE6"/>
    <w:rsid w:val="005D240B"/>
    <w:rsid w:val="006030CD"/>
    <w:rsid w:val="006117F5"/>
    <w:rsid w:val="006323BF"/>
    <w:rsid w:val="00642B03"/>
    <w:rsid w:val="006432BA"/>
    <w:rsid w:val="00645074"/>
    <w:rsid w:val="0065040F"/>
    <w:rsid w:val="0065547A"/>
    <w:rsid w:val="00667DC3"/>
    <w:rsid w:val="006862AF"/>
    <w:rsid w:val="00690E36"/>
    <w:rsid w:val="006B336C"/>
    <w:rsid w:val="006B6E85"/>
    <w:rsid w:val="007117FA"/>
    <w:rsid w:val="00740014"/>
    <w:rsid w:val="00745C0E"/>
    <w:rsid w:val="00746A90"/>
    <w:rsid w:val="00756D83"/>
    <w:rsid w:val="0077789B"/>
    <w:rsid w:val="007816AD"/>
    <w:rsid w:val="007917FC"/>
    <w:rsid w:val="0079558E"/>
    <w:rsid w:val="007B5CF7"/>
    <w:rsid w:val="007B6D78"/>
    <w:rsid w:val="007C3ADC"/>
    <w:rsid w:val="008429F0"/>
    <w:rsid w:val="008506FE"/>
    <w:rsid w:val="0086249C"/>
    <w:rsid w:val="008C0FA7"/>
    <w:rsid w:val="008E6DBB"/>
    <w:rsid w:val="009122EE"/>
    <w:rsid w:val="009155AD"/>
    <w:rsid w:val="00955096"/>
    <w:rsid w:val="00971920"/>
    <w:rsid w:val="00975F6E"/>
    <w:rsid w:val="009775FE"/>
    <w:rsid w:val="00983820"/>
    <w:rsid w:val="00996442"/>
    <w:rsid w:val="009A3070"/>
    <w:rsid w:val="009B65CF"/>
    <w:rsid w:val="009C3E07"/>
    <w:rsid w:val="009F3C8A"/>
    <w:rsid w:val="009F7E7A"/>
    <w:rsid w:val="00A04C89"/>
    <w:rsid w:val="00A1292B"/>
    <w:rsid w:val="00A14BEC"/>
    <w:rsid w:val="00A217AD"/>
    <w:rsid w:val="00A50309"/>
    <w:rsid w:val="00A55110"/>
    <w:rsid w:val="00A8651E"/>
    <w:rsid w:val="00A87B66"/>
    <w:rsid w:val="00AA50CE"/>
    <w:rsid w:val="00AB2D4D"/>
    <w:rsid w:val="00AB538C"/>
    <w:rsid w:val="00AB7995"/>
    <w:rsid w:val="00AE378A"/>
    <w:rsid w:val="00B50BCE"/>
    <w:rsid w:val="00B67F7B"/>
    <w:rsid w:val="00B82C33"/>
    <w:rsid w:val="00BC754F"/>
    <w:rsid w:val="00BD1842"/>
    <w:rsid w:val="00BD33E1"/>
    <w:rsid w:val="00BE6D81"/>
    <w:rsid w:val="00BF2C13"/>
    <w:rsid w:val="00C2707E"/>
    <w:rsid w:val="00C27FBC"/>
    <w:rsid w:val="00C418B1"/>
    <w:rsid w:val="00C817ED"/>
    <w:rsid w:val="00C9039E"/>
    <w:rsid w:val="00CA6CE5"/>
    <w:rsid w:val="00CC72D9"/>
    <w:rsid w:val="00CD0A9E"/>
    <w:rsid w:val="00CD4E27"/>
    <w:rsid w:val="00CF1C78"/>
    <w:rsid w:val="00D021F0"/>
    <w:rsid w:val="00D15A63"/>
    <w:rsid w:val="00D3572D"/>
    <w:rsid w:val="00D47C81"/>
    <w:rsid w:val="00D50D37"/>
    <w:rsid w:val="00D70AB2"/>
    <w:rsid w:val="00D70E15"/>
    <w:rsid w:val="00D75528"/>
    <w:rsid w:val="00D76E64"/>
    <w:rsid w:val="00DC530D"/>
    <w:rsid w:val="00DC5576"/>
    <w:rsid w:val="00DF7913"/>
    <w:rsid w:val="00E301FE"/>
    <w:rsid w:val="00E334A6"/>
    <w:rsid w:val="00E52999"/>
    <w:rsid w:val="00E715A3"/>
    <w:rsid w:val="00EA1A53"/>
    <w:rsid w:val="00EB3D73"/>
    <w:rsid w:val="00EC63B6"/>
    <w:rsid w:val="00EE2AF7"/>
    <w:rsid w:val="00F059EA"/>
    <w:rsid w:val="00F3067B"/>
    <w:rsid w:val="00F55568"/>
    <w:rsid w:val="00F6752D"/>
    <w:rsid w:val="00F6786C"/>
    <w:rsid w:val="00F76418"/>
    <w:rsid w:val="00F93FEA"/>
    <w:rsid w:val="00FC75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0CD"/>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semiHidden/>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674</TotalTime>
  <Pages>29</Pages>
  <Words>41863</Words>
  <Characters>238623</Characters>
  <Application>Microsoft Office Word</Application>
  <DocSecurity>0</DocSecurity>
  <Lines>1988</Lines>
  <Paragraphs>559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72</cp:revision>
  <cp:lastPrinted>2025-11-13T15:20:00Z</cp:lastPrinted>
  <dcterms:created xsi:type="dcterms:W3CDTF">2025-08-19T13:00:00Z</dcterms:created>
  <dcterms:modified xsi:type="dcterms:W3CDTF">2025-11-21T15:51:00Z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id="Jny8XwMp"/&gt;&lt;style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