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3788"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t>Systems-Level Insights into Bronchopulmonary Dysplasia from Meta-Analysis of Genome-Scale Studies</w:t>
      </w:r>
    </w:p>
    <w:p w14:paraId="29EC562B" w14:textId="77777777" w:rsidR="005D240B" w:rsidRPr="00270060" w:rsidRDefault="005D240B" w:rsidP="00172688">
      <w:pPr>
        <w:spacing w:line="480" w:lineRule="auto"/>
        <w:jc w:val="both"/>
        <w:rPr>
          <w:b/>
          <w:bCs/>
          <w:color w:val="000000" w:themeColor="text1"/>
          <w:sz w:val="22"/>
          <w:szCs w:val="22"/>
        </w:rPr>
      </w:pPr>
    </w:p>
    <w:p w14:paraId="6AB27514" w14:textId="4DF89A0A"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Chris Happs</w:t>
      </w:r>
      <w:r w:rsidRPr="00270060">
        <w:rPr>
          <w:color w:val="000000" w:themeColor="text1"/>
          <w:sz w:val="22"/>
          <w:szCs w:val="22"/>
          <w:vertAlign w:val="superscript"/>
        </w:rPr>
        <w:t>1,2</w:t>
      </w:r>
      <w:r w:rsidRPr="00270060">
        <w:rPr>
          <w:color w:val="000000" w:themeColor="text1"/>
          <w:sz w:val="22"/>
          <w:szCs w:val="22"/>
        </w:rPr>
        <w:t>*, Prerna Khanna</w:t>
      </w:r>
      <w:r w:rsidRPr="00270060">
        <w:rPr>
          <w:color w:val="000000" w:themeColor="text1"/>
          <w:sz w:val="22"/>
          <w:szCs w:val="22"/>
          <w:vertAlign w:val="superscript"/>
        </w:rPr>
        <w:t>1,2</w:t>
      </w:r>
      <w:r w:rsidRPr="00270060">
        <w:rPr>
          <w:color w:val="000000" w:themeColor="text1"/>
          <w:sz w:val="22"/>
          <w:szCs w:val="22"/>
        </w:rPr>
        <w:t>*, Charlotte Scoynes</w:t>
      </w:r>
      <w:r w:rsidRPr="00270060">
        <w:rPr>
          <w:color w:val="000000" w:themeColor="text1"/>
          <w:sz w:val="22"/>
          <w:szCs w:val="22"/>
          <w:vertAlign w:val="superscript"/>
        </w:rPr>
        <w:t>2</w:t>
      </w:r>
      <w:r w:rsidRPr="00270060">
        <w:rPr>
          <w:color w:val="000000" w:themeColor="text1"/>
          <w:sz w:val="22"/>
          <w:szCs w:val="22"/>
        </w:rPr>
        <w:t>, Nelly Muriungi</w:t>
      </w:r>
      <w:r w:rsidRPr="00270060">
        <w:rPr>
          <w:color w:val="000000" w:themeColor="text1"/>
          <w:sz w:val="22"/>
          <w:szCs w:val="22"/>
          <w:vertAlign w:val="superscript"/>
        </w:rPr>
        <w:t>1</w:t>
      </w:r>
      <w:r w:rsidRPr="00270060">
        <w:rPr>
          <w:color w:val="000000" w:themeColor="text1"/>
          <w:sz w:val="22"/>
          <w:szCs w:val="22"/>
        </w:rPr>
        <w:t>, Akira Alexander</w:t>
      </w:r>
      <w:r w:rsidRPr="00270060">
        <w:rPr>
          <w:color w:val="000000" w:themeColor="text1"/>
          <w:sz w:val="22"/>
          <w:szCs w:val="22"/>
          <w:vertAlign w:val="superscript"/>
        </w:rPr>
        <w:t>1</w:t>
      </w:r>
      <w:r w:rsidRPr="00270060">
        <w:rPr>
          <w:color w:val="000000" w:themeColor="text1"/>
          <w:sz w:val="22"/>
          <w:szCs w:val="22"/>
        </w:rPr>
        <w:t>, Josh Rogers</w:t>
      </w:r>
      <w:r w:rsidRPr="00270060">
        <w:rPr>
          <w:color w:val="000000" w:themeColor="text1"/>
          <w:sz w:val="22"/>
          <w:szCs w:val="22"/>
          <w:vertAlign w:val="superscript"/>
        </w:rPr>
        <w:t>1</w:t>
      </w:r>
      <w:r w:rsidRPr="00270060">
        <w:rPr>
          <w:color w:val="000000" w:themeColor="text1"/>
          <w:sz w:val="22"/>
          <w:szCs w:val="22"/>
        </w:rPr>
        <w:t>, Elizabeth Lake</w:t>
      </w:r>
      <w:r w:rsidRPr="00270060">
        <w:rPr>
          <w:color w:val="000000" w:themeColor="text1"/>
          <w:sz w:val="22"/>
          <w:szCs w:val="22"/>
          <w:vertAlign w:val="superscript"/>
        </w:rPr>
        <w:t>1,2</w:t>
      </w:r>
      <w:r w:rsidRPr="00270060">
        <w:rPr>
          <w:color w:val="000000" w:themeColor="text1"/>
          <w:sz w:val="22"/>
          <w:szCs w:val="22"/>
        </w:rPr>
        <w:t>, Maximilian Pickup</w:t>
      </w:r>
      <w:r w:rsidRPr="00270060">
        <w:rPr>
          <w:color w:val="000000" w:themeColor="text1"/>
          <w:sz w:val="22"/>
          <w:szCs w:val="22"/>
          <w:vertAlign w:val="superscript"/>
        </w:rPr>
        <w:t>1,2</w:t>
      </w:r>
      <w:r w:rsidRPr="00270060">
        <w:rPr>
          <w:color w:val="000000" w:themeColor="text1"/>
          <w:sz w:val="22"/>
          <w:szCs w:val="22"/>
        </w:rPr>
        <w:t>, Nicholas Parkinson</w:t>
      </w:r>
      <w:r w:rsidRPr="00270060">
        <w:rPr>
          <w:color w:val="000000" w:themeColor="text1"/>
          <w:sz w:val="22"/>
          <w:szCs w:val="22"/>
          <w:vertAlign w:val="superscript"/>
        </w:rPr>
        <w:t>1</w:t>
      </w:r>
      <w:r w:rsidRPr="00270060">
        <w:rPr>
          <w:color w:val="000000" w:themeColor="text1"/>
          <w:sz w:val="22"/>
          <w:szCs w:val="22"/>
        </w:rPr>
        <w:t>, Jonathan Millar</w:t>
      </w:r>
      <w:r w:rsidRPr="00270060">
        <w:rPr>
          <w:color w:val="000000" w:themeColor="text1"/>
          <w:sz w:val="22"/>
          <w:szCs w:val="22"/>
          <w:vertAlign w:val="superscript"/>
        </w:rPr>
        <w:t>2</w:t>
      </w:r>
      <w:r w:rsidRPr="00270060">
        <w:rPr>
          <w:color w:val="000000" w:themeColor="text1"/>
          <w:sz w:val="22"/>
          <w:szCs w:val="22"/>
        </w:rPr>
        <w:t>, Kenneth Baillie</w:t>
      </w:r>
      <w:r w:rsidRPr="00270060">
        <w:rPr>
          <w:color w:val="000000" w:themeColor="text1"/>
          <w:sz w:val="22"/>
          <w:szCs w:val="22"/>
          <w:vertAlign w:val="superscript"/>
        </w:rPr>
        <w:t>1,2</w:t>
      </w:r>
      <w:r w:rsidRPr="00270060">
        <w:rPr>
          <w:color w:val="000000" w:themeColor="text1"/>
          <w:sz w:val="22"/>
          <w:szCs w:val="22"/>
        </w:rPr>
        <w:t>, Sara Clohisey Hendry</w:t>
      </w:r>
      <w:r w:rsidRPr="00270060">
        <w:rPr>
          <w:color w:val="000000" w:themeColor="text1"/>
          <w:sz w:val="22"/>
          <w:szCs w:val="22"/>
          <w:vertAlign w:val="superscript"/>
        </w:rPr>
        <w:t>1,2</w:t>
      </w:r>
    </w:p>
    <w:p w14:paraId="00402DAC" w14:textId="1C69DD9C" w:rsidR="005D240B" w:rsidRPr="00270060" w:rsidRDefault="005D240B" w:rsidP="003D4739">
      <w:pPr>
        <w:spacing w:line="480" w:lineRule="auto"/>
        <w:jc w:val="both"/>
        <w:rPr>
          <w:rFonts w:cs="Calibri"/>
          <w:color w:val="000000" w:themeColor="text1"/>
          <w:sz w:val="22"/>
          <w:szCs w:val="22"/>
        </w:rPr>
      </w:pPr>
    </w:p>
    <w:p w14:paraId="3924C8B2" w14:textId="77777777" w:rsidR="005D240B" w:rsidRPr="00270060" w:rsidRDefault="005D240B" w:rsidP="00172688">
      <w:pPr>
        <w:spacing w:line="480" w:lineRule="auto"/>
        <w:jc w:val="both"/>
        <w:rPr>
          <w:color w:val="000000" w:themeColor="text1"/>
          <w:sz w:val="22"/>
          <w:szCs w:val="22"/>
        </w:rPr>
      </w:pPr>
    </w:p>
    <w:p w14:paraId="53342AC2" w14:textId="77777777" w:rsidR="005D240B" w:rsidRPr="00270060" w:rsidRDefault="005D240B" w:rsidP="00172688">
      <w:pPr>
        <w:spacing w:line="480" w:lineRule="auto"/>
        <w:jc w:val="both"/>
        <w:rPr>
          <w:rFonts w:cs="Calibri"/>
          <w:color w:val="000000" w:themeColor="text1"/>
          <w:sz w:val="22"/>
          <w:szCs w:val="22"/>
        </w:rPr>
      </w:pPr>
      <w:r w:rsidRPr="00270060">
        <w:rPr>
          <w:rFonts w:cs="Calibri"/>
          <w:b/>
          <w:bCs/>
          <w:color w:val="000000" w:themeColor="text1"/>
          <w:sz w:val="22"/>
          <w:szCs w:val="22"/>
        </w:rPr>
        <w:t xml:space="preserve">Running title: </w:t>
      </w:r>
      <w:r w:rsidRPr="00270060">
        <w:rPr>
          <w:rFonts w:cs="Calibri"/>
          <w:color w:val="000000" w:themeColor="text1"/>
          <w:sz w:val="22"/>
          <w:szCs w:val="22"/>
        </w:rPr>
        <w:t>MAIC analysis of Bronchopulmonary Dysplasia</w:t>
      </w:r>
    </w:p>
    <w:p w14:paraId="13593164"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color w:val="000000" w:themeColor="text1"/>
          <w:sz w:val="22"/>
          <w:szCs w:val="22"/>
        </w:rPr>
        <w:br w:type="column"/>
      </w:r>
      <w:r w:rsidRPr="00270060">
        <w:rPr>
          <w:rFonts w:cs="Calibri"/>
          <w:b/>
          <w:bCs/>
          <w:color w:val="000000" w:themeColor="text1"/>
          <w:sz w:val="22"/>
          <w:szCs w:val="22"/>
        </w:rPr>
        <w:lastRenderedPageBreak/>
        <w:t>ABSTRACT</w:t>
      </w:r>
    </w:p>
    <w:p w14:paraId="5FC885CB" w14:textId="77777777" w:rsidR="005D240B" w:rsidRPr="00270060" w:rsidRDefault="005D240B" w:rsidP="00172688">
      <w:pPr>
        <w:spacing w:line="480" w:lineRule="auto"/>
        <w:jc w:val="both"/>
        <w:rPr>
          <w:rFonts w:cs="Calibri"/>
          <w:b/>
          <w:bCs/>
          <w:color w:val="000000" w:themeColor="text1"/>
          <w:sz w:val="22"/>
          <w:szCs w:val="22"/>
        </w:rPr>
      </w:pPr>
    </w:p>
    <w:p w14:paraId="2AC1ACFE"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Background</w:t>
      </w:r>
    </w:p>
    <w:p w14:paraId="682833F4" w14:textId="70D8E5D3" w:rsidR="005D240B" w:rsidRPr="00270060" w:rsidRDefault="000B0D01" w:rsidP="00172688">
      <w:pPr>
        <w:spacing w:line="480" w:lineRule="auto"/>
        <w:jc w:val="both"/>
        <w:rPr>
          <w:color w:val="000000" w:themeColor="text1"/>
          <w:sz w:val="22"/>
          <w:szCs w:val="22"/>
        </w:rPr>
      </w:pPr>
      <w:r w:rsidRPr="00270060">
        <w:rPr>
          <w:color w:val="000000" w:themeColor="text1"/>
          <w:sz w:val="22"/>
          <w:szCs w:val="22"/>
        </w:rPr>
        <w:t>Despite marked improvements in survival following preterm birth, the incidence of bronchopulmonary dysplasia (BPD) continues to rise. BPD remains the most prevalent complication of prematurity and carries the risk of long-term morbidity. Characterising the cellular and molecular mechanisms driving disease progression is critical for informing clinical management and improving outcomes. To this end, we conducted a meta-analysis of genome-scale studies to identify molecular pathways implicated in BPD progression in both human cohorts and animal models.</w:t>
      </w:r>
    </w:p>
    <w:p w14:paraId="7E736010" w14:textId="77777777" w:rsidR="000B0D01" w:rsidRPr="00270060" w:rsidRDefault="000B0D01" w:rsidP="00172688">
      <w:pPr>
        <w:spacing w:line="480" w:lineRule="auto"/>
        <w:jc w:val="both"/>
        <w:rPr>
          <w:rFonts w:cs="Calibri"/>
          <w:b/>
          <w:bCs/>
          <w:color w:val="000000" w:themeColor="text1"/>
          <w:sz w:val="22"/>
          <w:szCs w:val="22"/>
        </w:rPr>
      </w:pPr>
    </w:p>
    <w:p w14:paraId="695E0928"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Methods</w:t>
      </w:r>
    </w:p>
    <w:p w14:paraId="5792247D" w14:textId="77777777" w:rsidR="005D240B" w:rsidRPr="00270060" w:rsidRDefault="005D240B" w:rsidP="00172688">
      <w:pPr>
        <w:spacing w:line="480" w:lineRule="auto"/>
        <w:jc w:val="both"/>
        <w:rPr>
          <w:rFonts w:cs="Calibri"/>
          <w:b/>
          <w:bCs/>
          <w:color w:val="000000" w:themeColor="text1"/>
          <w:sz w:val="22"/>
          <w:szCs w:val="22"/>
        </w:rPr>
      </w:pPr>
    </w:p>
    <w:p w14:paraId="283F0B14" w14:textId="3D073F6C" w:rsidR="005D240B" w:rsidRPr="00270060" w:rsidRDefault="000B0D01" w:rsidP="00172688">
      <w:pPr>
        <w:spacing w:line="480" w:lineRule="auto"/>
        <w:jc w:val="both"/>
        <w:rPr>
          <w:rFonts w:cs="Calibri"/>
          <w:color w:val="000000" w:themeColor="text1"/>
          <w:sz w:val="22"/>
          <w:szCs w:val="22"/>
        </w:rPr>
      </w:pPr>
      <w:r w:rsidRPr="00270060">
        <w:rPr>
          <w:rFonts w:cs="Calibri"/>
          <w:color w:val="000000" w:themeColor="text1"/>
          <w:sz w:val="22"/>
          <w:szCs w:val="22"/>
        </w:rPr>
        <w:t>Gene lists associated with bronchopulmonary dysplasia in human and rodent models were obtained from systematically identified genome-scale studies. These lists were then analysed using the meta-analysis by information content (MAIC) algorithm, which integrates multiple datasets to produce a single aggregated, ranked gene list based on the cumulative strength of evidence for each gene.</w:t>
      </w:r>
    </w:p>
    <w:p w14:paraId="7601C15B" w14:textId="77777777" w:rsidR="000B0D01" w:rsidRPr="00270060" w:rsidRDefault="000B0D01" w:rsidP="00172688">
      <w:pPr>
        <w:spacing w:line="480" w:lineRule="auto"/>
        <w:jc w:val="both"/>
        <w:rPr>
          <w:rFonts w:cs="Calibri"/>
          <w:b/>
          <w:bCs/>
          <w:color w:val="000000" w:themeColor="text1"/>
          <w:sz w:val="22"/>
          <w:szCs w:val="22"/>
        </w:rPr>
      </w:pPr>
    </w:p>
    <w:p w14:paraId="1598C9B9"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Results</w:t>
      </w:r>
    </w:p>
    <w:p w14:paraId="217F6E50" w14:textId="77777777" w:rsidR="005D240B" w:rsidRPr="00270060" w:rsidRDefault="005D240B" w:rsidP="00172688">
      <w:pPr>
        <w:spacing w:line="480" w:lineRule="auto"/>
        <w:jc w:val="both"/>
        <w:rPr>
          <w:rFonts w:cs="Calibri"/>
          <w:color w:val="000000" w:themeColor="text1"/>
          <w:sz w:val="22"/>
          <w:szCs w:val="22"/>
        </w:rPr>
      </w:pPr>
    </w:p>
    <w:p w14:paraId="30B7BE11" w14:textId="77777777" w:rsidR="005D240B" w:rsidRPr="00270060" w:rsidRDefault="005D240B" w:rsidP="00172688">
      <w:pPr>
        <w:spacing w:line="480" w:lineRule="auto"/>
        <w:jc w:val="both"/>
        <w:rPr>
          <w:rFonts w:cs="Calibri"/>
          <w:b/>
          <w:bCs/>
          <w:color w:val="000000" w:themeColor="text1"/>
          <w:sz w:val="22"/>
          <w:szCs w:val="22"/>
        </w:rPr>
      </w:pPr>
    </w:p>
    <w:p w14:paraId="14036533"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Conclusions</w:t>
      </w:r>
    </w:p>
    <w:p w14:paraId="614E12E4" w14:textId="77777777" w:rsidR="005D240B" w:rsidRPr="00270060" w:rsidRDefault="005D240B" w:rsidP="00172688">
      <w:pPr>
        <w:spacing w:line="480" w:lineRule="auto"/>
        <w:jc w:val="both"/>
        <w:rPr>
          <w:rFonts w:cs="Calibri"/>
          <w:color w:val="000000" w:themeColor="text1"/>
          <w:sz w:val="22"/>
          <w:szCs w:val="22"/>
        </w:rPr>
      </w:pPr>
    </w:p>
    <w:p w14:paraId="0B37ABF8" w14:textId="77777777" w:rsidR="005D240B" w:rsidRPr="00270060" w:rsidRDefault="005D240B" w:rsidP="00172688">
      <w:pPr>
        <w:spacing w:line="480" w:lineRule="auto"/>
        <w:jc w:val="both"/>
        <w:rPr>
          <w:rFonts w:cs="Calibri"/>
          <w:color w:val="000000" w:themeColor="text1"/>
          <w:sz w:val="22"/>
          <w:szCs w:val="22"/>
        </w:rPr>
      </w:pPr>
      <w:r w:rsidRPr="00270060">
        <w:rPr>
          <w:rFonts w:cs="Calibri"/>
          <w:b/>
          <w:bCs/>
          <w:color w:val="000000" w:themeColor="text1"/>
          <w:sz w:val="22"/>
          <w:szCs w:val="22"/>
        </w:rPr>
        <w:t xml:space="preserve">Key words: </w:t>
      </w:r>
      <w:r w:rsidRPr="00270060">
        <w:rPr>
          <w:rFonts w:cs="Calibri"/>
          <w:color w:val="000000" w:themeColor="text1"/>
          <w:sz w:val="22"/>
          <w:szCs w:val="22"/>
        </w:rPr>
        <w:t xml:space="preserve">Bronchopulmonary Dysplasia; adaptive immunity, T cells, </w:t>
      </w:r>
    </w:p>
    <w:p w14:paraId="3BAA0B1D" w14:textId="75944528" w:rsidR="000B0D01"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column"/>
      </w:r>
      <w:r w:rsidRPr="00270060">
        <w:rPr>
          <w:b/>
          <w:bCs/>
          <w:color w:val="000000" w:themeColor="text1"/>
          <w:sz w:val="22"/>
          <w:szCs w:val="22"/>
        </w:rPr>
        <w:lastRenderedPageBreak/>
        <w:t>Background</w:t>
      </w:r>
    </w:p>
    <w:p w14:paraId="79A12F87" w14:textId="77777777" w:rsidR="000B0D01" w:rsidRPr="00270060" w:rsidRDefault="000B0D01" w:rsidP="00172688">
      <w:pPr>
        <w:spacing w:line="480" w:lineRule="auto"/>
        <w:jc w:val="both"/>
        <w:rPr>
          <w:color w:val="000000" w:themeColor="text1"/>
          <w:sz w:val="22"/>
          <w:szCs w:val="22"/>
        </w:rPr>
      </w:pPr>
    </w:p>
    <w:p w14:paraId="1A381C39" w14:textId="3FD8ED9B"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Bronchopulmonary dysplasia (BPD), </w:t>
      </w:r>
      <w:r w:rsidR="00BE6D81" w:rsidRPr="00270060">
        <w:rPr>
          <w:color w:val="000000" w:themeColor="text1"/>
          <w:sz w:val="22"/>
          <w:szCs w:val="22"/>
        </w:rPr>
        <w:t>a</w:t>
      </w:r>
      <w:r w:rsidRPr="00270060">
        <w:rPr>
          <w:color w:val="000000" w:themeColor="text1"/>
          <w:sz w:val="22"/>
          <w:szCs w:val="22"/>
        </w:rPr>
        <w:t xml:space="preserve"> </w:t>
      </w:r>
      <w:r w:rsidR="00BE6D81" w:rsidRPr="00270060">
        <w:rPr>
          <w:color w:val="000000" w:themeColor="text1"/>
          <w:sz w:val="22"/>
          <w:szCs w:val="22"/>
        </w:rPr>
        <w:t>c</w:t>
      </w:r>
      <w:r w:rsidRPr="00270060">
        <w:rPr>
          <w:color w:val="000000" w:themeColor="text1"/>
          <w:sz w:val="22"/>
          <w:szCs w:val="22"/>
        </w:rPr>
        <w:t xml:space="preserve">hronic </w:t>
      </w:r>
      <w:r w:rsidR="00BE6D81" w:rsidRPr="00270060">
        <w:rPr>
          <w:color w:val="000000" w:themeColor="text1"/>
          <w:sz w:val="22"/>
          <w:szCs w:val="22"/>
        </w:rPr>
        <w:t>l</w:t>
      </w:r>
      <w:r w:rsidRPr="00270060">
        <w:rPr>
          <w:color w:val="000000" w:themeColor="text1"/>
          <w:sz w:val="22"/>
          <w:szCs w:val="22"/>
        </w:rPr>
        <w:t xml:space="preserve">ung </w:t>
      </w:r>
      <w:r w:rsidR="00BE6D81" w:rsidRPr="00270060">
        <w:rPr>
          <w:color w:val="000000" w:themeColor="text1"/>
          <w:sz w:val="22"/>
          <w:szCs w:val="22"/>
        </w:rPr>
        <w:t>d</w:t>
      </w:r>
      <w:r w:rsidRPr="00270060">
        <w:rPr>
          <w:color w:val="000000" w:themeColor="text1"/>
          <w:sz w:val="22"/>
          <w:szCs w:val="22"/>
        </w:rPr>
        <w:t>isease, is one of the most common complications of preterm birth, affecting up to 30% of preterm infants born before 32 weeks post-menstrual age (PMA)</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{"citationID":"abq0jeead","properties":{"formattedCitation":"\\super 1\\nosupersub{}","plainCitation":"1","noteIndex":0},"citationItems":[{"id":546,"uris":["http://zotero.org/users/14418362/items/BVMIFMDA"],"itemData":{"id":546,"type":"post-weblog","title":"Neonatal Data Analysis Unit (NDAU). Neonatal Health Intelligence Tool. 2021. Available: https://www.imperial.ac.uk/neonatal-data-analysis-unit/neonatal-data-analysis-unit/neonatal-data-visualisations/"}}],"schema":"https://github.com/citation-style-language/schema/raw/master/csl-citation.json"}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w:t>
      </w:r>
      <w:r w:rsidRPr="00270060">
        <w:rPr>
          <w:color w:val="000000" w:themeColor="text1"/>
          <w:sz w:val="22"/>
          <w:szCs w:val="22"/>
        </w:rPr>
        <w:fldChar w:fldCharType="end"/>
      </w:r>
      <w:r w:rsidRPr="00270060">
        <w:rPr>
          <w:color w:val="000000" w:themeColor="text1"/>
          <w:sz w:val="22"/>
          <w:szCs w:val="22"/>
          <w:vertAlign w:val="superscript"/>
        </w:rPr>
        <w:t>,</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{"citationID":"a12abtf8lgk","properties":{"unsorted":true,"formattedCitation":"\\super 2,3\\nosupersub{}","plainCitation":"2,3","noteIndex":0},"citationItems":[{"id":575,"uris":["http://zotero.org/users/14418362/items/P247ZRCA"],"itemData":{"id":575,"type":"article-journal","container-title":"JAMA Pediatrics","DOI":"10.1001/jamapediatrics.2016.4141","ISSN":"2168-6203","issue":"3","journalAbbreviation":"JAMA Pediatr","language":"en","page":"271","source":"DOI.org (Crossref)","title":"Revisiting the Definition of Bronchopulmonary Dysplasia: Effect of Changing Panoply of Respiratory Support for Preterm Neonates","title-short":"Revisiting the Definition of Bronchopulmonary Dysplasia","URL":"http://archpedi.jamanetwork.com/article.aspx?doi=10.1001/jamapediatrics.2016.4141","volume":"171","author":[{"family":"Isayama","given":"Tetsuya"},{"family":"Lee","given":"Shoo K."},{"family":"Yang","given":"Junmin"},{"family":"Lee","given":"David"},{"family":"Daspal","given":"Sibasis"},{"family":"Dunn","given":"Michael"},{"family":"Shah","given":"Prakesh S."},{"literal":"for the Canadian Neonatal Network and Canadian Neonatal Follow-Up Network Investigators"}],"accessed":{"date-parts":[["2024",6,11]]},"issued":{"date-parts":[["2017",3,1]]}}},{"id":539,"uris":["http://zotero.org/users/14418362/items/33JX5C8W"],"itemData":{"id":539,"type":"article-journal","abstract":"Rationale: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2,3</w:t>
      </w:r>
      <w:r w:rsidRPr="00270060">
        <w:rPr>
          <w:color w:val="000000" w:themeColor="text1"/>
          <w:sz w:val="22"/>
          <w:szCs w:val="22"/>
        </w:rPr>
        <w:fldChar w:fldCharType="end"/>
      </w:r>
      <w:r w:rsidR="00E52999" w:rsidRPr="00270060">
        <w:rPr>
          <w:color w:val="000000" w:themeColor="text1"/>
          <w:sz w:val="22"/>
          <w:szCs w:val="22"/>
        </w:rPr>
        <w:t>.</w:t>
      </w:r>
      <w:r w:rsidRPr="00270060">
        <w:rPr>
          <w:color w:val="000000" w:themeColor="text1"/>
          <w:sz w:val="22"/>
          <w:szCs w:val="22"/>
        </w:rPr>
        <w:t xml:space="preserve"> Antenatal and postnatal factors disrupt the developing lung leading to decreased alveolarisation, larger alveoli, irregular pulmonary vessels, and fibrotic tissue</w:t>
      </w:r>
      <w:r w:rsidRPr="00270060">
        <w:rPr>
          <w:rFonts w:eastAsia="Times New Roman"/>
          <w:color w:val="000000" w:themeColor="text1"/>
          <w:sz w:val="22"/>
          <w:szCs w:val="22"/>
          <w:lang w:eastAsia="en-GB"/>
        </w:rPr>
        <w:fldChar w:fldCharType="begin"/>
      </w:r>
      <w:r w:rsidR="00246187" w:rsidRPr="00270060">
        <w:rPr>
          <w:rFonts w:eastAsia="Times New Roman"/>
          <w:color w:val="000000" w:themeColor="text1"/>
          <w:sz w:val="22"/>
          <w:szCs w:val="22"/>
          <w:lang w:eastAsia="en-GB"/>
        </w:rPr>
        <w:instrText xml:space="preserve"> ADDIN ZOTERO_ITEM CSL_CITATION {"citationID":"al1eucrh87","properties":{"formattedCitation":"\\super 4,5\\nosupersub{}","plainCitation":"4,5","noteIndex":0},"citationItems":[{"id":579,"uris":["http://zotero.org/users/14418362/items/MJ26QLGT"],"itemData":{"id":579,"type":"article-journal","abstract":"Abstract\n            Bronchopulmonary dysplasia (BPD) is the most common chronic lung disease in infants and is associated with increased mortality, respiratory morbidity, neurodevelopmental impairment, and increased healthcare costs. In parallel with advances made in the field of neonatal intensive care, the phenotype of BPD has evolved from a fibrocystic disease affecting late preterm infants to one of impaired parenchymal development and dysregulated vascular growth predominantly affecting infants born before 29 weeks’ gestational age. BPD has been shown to have significant lifelong consequences. Adults with BPD have been found to have abnormal lung function tests, reduced exercise tolerance, and may be at increased risk for developing chronic obstructive pulmonary disease. Evidence shows that BPD occurs secondary to genetic-environmental interactions in an immature lung. In this review, we evaluate the various clinical definitions, imaging modalities, and biomarker data that are helpful in making an early diagnosis of BPD. In addition, we evaluate recent evidence about the prevention and treatment of BPD. We discuss the invasive and non-invasive ventilation strategies and pharmacological agents used in the early, evolving, and established phases of BPD.","container-title":"BMJ","DOI":"10.1136/bmj.n1974","ISSN":"1756-1833","journalAbbreviation":"BMJ","language":"en","page":"n1974","source":"DOI.org (Crossref)","title":"Diagnosis and management of bronchopulmonary dysplasia","URL":"https://www.bmj.com/lookup/doi/10.1136/bmj.n1974","author":[{"family":"Gilfillan","given":"Margaret"},{"family":"Bhandari","given":"Anita"},{"family":"Bhandari","given":"Vineet"}],"accessed":{"date-parts":[["2024",6,12]]},"issued":{"date-parts":[["2021",10,20]]}}},{"id":606,"uris":["http://zotero.org/users/14418362/items/T3F4S7GB"],"itemData":{"id":606,"type":"article-journal","container-title":"Nature Reviews Disease Primers","DOI":"10.1038/s41572-019-0127-7","ISSN":"2056-676X","issue":"1","journalAbbreviation":"Nat Rev Dis Primers","language":"en","page":"78","source":"DOI.org (Crossref)","title":"Bronchopulmonary dysplasia","URL":"https://www.nature.com/articles/s41572-019-0127-7","volume":"5","author":[{"family":"Thébaud","given":"Bernard"},{"family":"Goss","given":"Kara N."},{"family":"Laughon","given":"Matthew"},{"family":"Whitsett","given":"Jeffrey A."},{"family":"Abman","given":"Steven H."},{"family":"Steinhorn","given":"Robin H."},{"family":"Aschner","given":"Judy L."},{"family":"Davis","given":"Peter G."},{"family":"McGrath-Morrow","given":"Sharon A."},{"family":"Soll","given":"Roger F."},{"family":"Jobe","given":"Alan H."}],"accessed":{"date-parts":[["2024",6,16]]},"issued":{"date-parts":[["2019",11,14]]}}}],"schema":"https://github.com/citation-style-language/schema/raw/master/csl-citation.json"} </w:instrText>
      </w:r>
      <w:r w:rsidRPr="00270060">
        <w:rPr>
          <w:rFonts w:eastAsia="Times New Roman"/>
          <w:color w:val="000000" w:themeColor="text1"/>
          <w:sz w:val="22"/>
          <w:szCs w:val="22"/>
          <w:lang w:eastAsia="en-GB"/>
        </w:rPr>
        <w:fldChar w:fldCharType="separate"/>
      </w:r>
      <w:r w:rsidR="00246187" w:rsidRPr="00270060">
        <w:rPr>
          <w:rFonts w:ascii="Aptos" w:cs="Times New Roman"/>
          <w:color w:val="000000" w:themeColor="text1"/>
          <w:sz w:val="22"/>
          <w:vertAlign w:val="superscript"/>
        </w:rPr>
        <w:t>4,5</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r w:rsidRPr="00270060">
        <w:rPr>
          <w:rFonts w:eastAsia="Times New Roman"/>
          <w:color w:val="000000" w:themeColor="text1"/>
          <w:sz w:val="22"/>
          <w:szCs w:val="22"/>
          <w:lang w:eastAsia="en-GB"/>
        </w:rPr>
        <w:t xml:space="preserve"> </w:t>
      </w:r>
      <w:r w:rsidRPr="00270060">
        <w:rPr>
          <w:color w:val="000000" w:themeColor="text1"/>
          <w:sz w:val="22"/>
          <w:szCs w:val="22"/>
        </w:rPr>
        <w:t xml:space="preserve">The effects of BPD </w:t>
      </w:r>
      <w:r w:rsidR="00BE6D81" w:rsidRPr="00270060">
        <w:rPr>
          <w:color w:val="000000" w:themeColor="text1"/>
          <w:sz w:val="22"/>
          <w:szCs w:val="22"/>
        </w:rPr>
        <w:t>can be</w:t>
      </w:r>
      <w:r w:rsidRPr="00270060">
        <w:rPr>
          <w:color w:val="000000" w:themeColor="text1"/>
          <w:sz w:val="22"/>
          <w:szCs w:val="22"/>
        </w:rPr>
        <w:t xml:space="preserve"> life-long; individuals with BPD are more likely to require rehospitalisation during their childhood</w:t>
      </w:r>
      <w:r w:rsidR="00BE6D81" w:rsidRPr="00270060">
        <w:rPr>
          <w:color w:val="000000" w:themeColor="text1"/>
          <w:sz w:val="22"/>
          <w:szCs w:val="22"/>
        </w:rPr>
        <w:t xml:space="preserve"> and</w:t>
      </w:r>
      <w:r w:rsidRPr="00270060">
        <w:rPr>
          <w:color w:val="000000" w:themeColor="text1"/>
          <w:sz w:val="22"/>
          <w:szCs w:val="22"/>
        </w:rPr>
        <w:t xml:space="preserve"> to have limited lung function compared to those born preterm without BPD</w:t>
      </w:r>
      <w:r w:rsidRPr="00270060">
        <w:rPr>
          <w:rFonts w:eastAsia="Times New Roman"/>
          <w:color w:val="000000" w:themeColor="text1"/>
          <w:sz w:val="22"/>
          <w:szCs w:val="22"/>
          <w:lang w:eastAsia="en-GB"/>
        </w:rPr>
        <w:fldChar w:fldCharType="begin"/>
      </w:r>
      <w:r w:rsidR="00246187" w:rsidRPr="00270060">
        <w:rPr>
          <w:rFonts w:eastAsia="Times New Roman"/>
          <w:color w:val="000000" w:themeColor="text1"/>
          <w:sz w:val="22"/>
          <w:szCs w:val="22"/>
          <w:lang w:eastAsia="en-GB"/>
        </w:rPr>
        <w:instrText xml:space="preserve"> ADDIN ZOTERO_ITEM CSL_CITATION {"citationID":"a3mgi8k89m","properties":{"formattedCitation":"\\super 6\\uc0\\u8211{}9\\nosupersub{}","plainCitation":"6–9","noteIndex":0},"citationItems":[{"id":582,"uris":["http://zotero.org/users/14418362/items/WE8AKN3D"],"itemData":{"id":582,"type":"article-journal","container-title":"Seminars in Neonatology","DOI":"10.1053/siny.1999.0006","ISSN":"10842756","issue":"2","journalAbbreviation":"Seminars in Neonatology","language":"en","license":"https://www.elsevier.com/tdm/userlicense/1.0/","page":"119-126","source":"DOI.org (Crossref)","title":"Measuring respiratory outcome","URL":"https://linkinghub.elsevier.com/retrieve/pii/S1084275699900064","volume":"5","author":[{"family":"Greenough","given":"Anne"}],"accessed":{"date-parts":[["2024",6,12]]},"issued":{"date-parts":[["2000",5]]}}},{"id":581,"uris":["http://zotero.org/users/14418362/items/5DU74E5B"],"itemData":{"id":581,"type":"article-journal","container-title":"Paediatric Respiratory Reviews","DOI":"10.1016/j.prrv.2006.04.206","ISSN":"15260542","journalAbbreviation":"Paediatric Respiratory Reviews","language":"en","license":"https://www.elsevier.com/tdm/userlicense/1.0/","page":"S189-S191","source":"DOI.org (Crossref)","title":"Bronchopulmonary dysplasia – Long term follow up","URL":"https://linkinghub.elsevier.com/retrieve/pii/S1526054206002363","volume":"7","author":[{"family":"Greenough","given":"Anne"}],"accessed":{"date-parts":[["2024",6,12]]},"issued":{"date-parts":[["2006",1]]}}},{"id":583,"uris":["http://zotero.org/users/14418362/items/2J47ZCHK"],"itemData":{"id":583,"type":"chapter","container-title":"Respiratory Diseases of the Newborn Infant","event-place":"Sheffield, United Kingdom","ISBN":"978-1-84984-136-8","language":"en","note":"DOI: 10.1183/2312508X.10013720","page":"68-78","publisher":"European Respiratory Society","publisher-place":"Sheffield, United Kingdom","source":"DOI.org (Crossref)","title":"Long-term sequelae of bronchopulmonary dysplasia","URL":"http://erspublications.com/lookup/doi/10.1183/2312508X.10013720","editor":[{"family":"Sinha","given":"Ian P."},{"family":"Bhatt","given":"Jayesh Mahendra"},{"family":"Cleator","given":"Alex"},{"family":"Wallace","given":"Helen"}],"author":[{"family":"Dassios","given":"Theodore"},{"family":"Greenough","given":"Anne"}],"accessed":{"date-parts":[["2024",6,12]]},"issued":{"date-parts":[["2021",6]]}}},{"id":601,"uris":["http://zotero.org/users/14418362/items/X5EYGSWQ"],"itemData":{"id":601,"type":"article-journal","abstract":"Abstract\n            \n              Background\n              This study aimed to systematically review and meta-analyze the available literature on the association between preterm infant bronchopulmonary dysplasia (BPD) and pre-adulthood asthma.\n            \n            \n              Methods\n              Studies examining the association between BPD and asthma in children and adolescents were systematically reviewed, and a meta-analysis was conducted. We searched Scopus, Embase, Web of Science, PubMed, and Cochrane Library from the database inception to March 26, 2022. The pooled odds ratio (OR) estimate was used in our meta-analysis to calculate the correlation between BPD and the probability of developing asthma before adulthood. Stata 12.0 was used to conduct the statistical analysis.\n            \n            \n              Results\n              \n                The correlation between asthma and BPD in preterm newborns was examined in nine studies. We used a random effect model to pool the OR estimate. Our results indicated a marked increase in the risk of subsequent asthma in preterm infants with BPD [OR</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1.73, 95% confidence interval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1.43–2.09]. Moreover, there was no obvious heterogeneity across the studies (\n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0.617,\n                I\n                2\n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0%). The pooled OR remained stable and ranged from 1.65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1.35–2.01) to 1.78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1.43–2.21). Regarding publication bias, the funnel plot for asthma risk did not reveal any noticeable asymmetry. We further performed Begg’s and Egger’s tests to quantitatively evaluate publication bias. There was no evidence of a publication bias for asthma risk (\n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&gt; |\n                Z\n                |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0.602 for Begg’s test, and\n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&gt; |\n                t\n                |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0.991 for Egger’s test).\n              \n            \n            \n              Conclusions\n              Our findings indicate that preterm infants with BPD have a much higher risk of developing asthma in the future (OR</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1.73,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1.43–2.09). Preterm infants with BPD may benefit from long-term follow-up.","container-title":"World Journal of Pediatrics","DOI":"10.1007/s12519-023-00701-1","ISSN":"1708-8569, 1867-0687","issue":"6","journalAbbreviation":"World J Pediatr","language":"en","page":"549-556","source":"DOI.org (Crossref)","title":"Risk of asthma in preterm infants with bronchopulmonary dysplasia: a systematic review and meta-analysis","title-short":"Risk of asthma in preterm infants with bronchopulmonary dysplasia","URL":"https://link.springer.com/10.1007/s12519-023-00701-1","volume":"19","author":[{"family":"Sun","given":"Tong"},{"family":"Yu","given":"Hai-Yang"},{"family":"Yang","given":"Miao"},{"family":"Song","given":"Yi-Fan"},{"family":"Fu","given":"Jian-Hua"}],"accessed":{"date-parts":[["2024",6,14]]},"issued":{"date-parts":[["2023",6]]}}}],"schema":"https://github.com/citation-style-language/schema/raw/master/csl-citation.json"} </w:instrText>
      </w:r>
      <w:r w:rsidRPr="00270060">
        <w:rPr>
          <w:rFonts w:eastAsia="Times New Roman"/>
          <w:color w:val="000000" w:themeColor="text1"/>
          <w:sz w:val="22"/>
          <w:szCs w:val="22"/>
          <w:lang w:eastAsia="en-GB"/>
        </w:rPr>
        <w:fldChar w:fldCharType="separate"/>
      </w:r>
      <w:r w:rsidR="00246187" w:rsidRPr="00270060">
        <w:rPr>
          <w:rFonts w:ascii="Aptos" w:cs="Times New Roman"/>
          <w:color w:val="000000" w:themeColor="text1"/>
          <w:sz w:val="22"/>
          <w:vertAlign w:val="superscript"/>
        </w:rPr>
        <w:t>6–9</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p>
    <w:p w14:paraId="759F8694" w14:textId="77777777" w:rsidR="005D240B" w:rsidRPr="00270060" w:rsidRDefault="005D240B" w:rsidP="00172688">
      <w:pPr>
        <w:spacing w:line="480" w:lineRule="auto"/>
        <w:jc w:val="both"/>
        <w:rPr>
          <w:color w:val="000000" w:themeColor="text1"/>
          <w:sz w:val="22"/>
          <w:szCs w:val="22"/>
        </w:rPr>
      </w:pPr>
    </w:p>
    <w:p w14:paraId="03FACDBC" w14:textId="25D692BA" w:rsidR="005D240B" w:rsidRPr="00270060" w:rsidRDefault="00E52999" w:rsidP="00172688">
      <w:pPr>
        <w:spacing w:line="480" w:lineRule="auto"/>
        <w:jc w:val="both"/>
        <w:rPr>
          <w:color w:val="000000" w:themeColor="text1"/>
          <w:sz w:val="22"/>
          <w:szCs w:val="22"/>
        </w:rPr>
      </w:pPr>
      <w:r w:rsidRPr="00270060">
        <w:rPr>
          <w:color w:val="000000" w:themeColor="text1"/>
          <w:sz w:val="22"/>
          <w:szCs w:val="22"/>
        </w:rPr>
        <w:t xml:space="preserve">Understanding the molecular mechanisms that contribute to BPD could aid in risk prediction, targeted therapies, and understanding disease mechanisms. </w:t>
      </w:r>
      <w:r w:rsidR="00BE6D81" w:rsidRPr="00270060">
        <w:rPr>
          <w:color w:val="000000" w:themeColor="text1"/>
          <w:sz w:val="22"/>
          <w:szCs w:val="22"/>
        </w:rPr>
        <w:t>The heterogeneity of the disease has hampered efforts to identify reliable, consistent biomarkers</w:t>
      </w:r>
      <w:r w:rsidRPr="00270060">
        <w:rPr>
          <w:color w:val="000000" w:themeColor="text1"/>
          <w:sz w:val="22"/>
          <w:szCs w:val="22"/>
        </w:rPr>
        <w:t xml:space="preserve"> and causative genes associated with disease progression.</w:t>
      </w:r>
      <w:r w:rsidR="00BE6D81" w:rsidRPr="00270060">
        <w:rPr>
          <w:color w:val="000000" w:themeColor="text1"/>
          <w:sz w:val="22"/>
          <w:szCs w:val="22"/>
        </w:rPr>
        <w:t xml:space="preserve"> </w:t>
      </w:r>
      <w:r w:rsidR="005D240B" w:rsidRPr="00270060">
        <w:rPr>
          <w:color w:val="000000" w:themeColor="text1"/>
          <w:sz w:val="22"/>
          <w:szCs w:val="22"/>
        </w:rPr>
        <w:t>Alongside evidence from twin studies pointing to a possible heritable component in BPD</w:t>
      </w:r>
      <w:r w:rsidR="0065547A"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{"citationID":"TugNsHcX","properties":{"formattedCitation":"\\super 10,11\\nosupersub{}","plainCitation":"10,11","noteIndex":0},"citationItems":[{"id":21,"uris":["http://zotero.org/users/14418362/items/P6YNYH5C"],"itemData":{"id":21,"type":"article-journal","abstract":"OBJECTIVE. The goal was to determine the magnitude of genetic effects on susceptibility and risk factors for bronchopulmonary dysplasia by using the clinically validated National Institutes of Health consensus deﬁnition as a demonstrated proxy for long-term respiratory and neurodevelopmental outcomes in extremely low birth weight infants. www.pediatrics.org/cgi/doi/10.1542/ peds.2007-2313 doi:10.1542/peds.2007-2313 Key Words\nMETHODS. We analyzed clinical data from twin pairs born at </w:instrText>
      </w:r>
      <w:r w:rsidR="00246187" w:rsidRPr="00270060">
        <w:rPr>
          <w:rFonts w:ascii="Sylfaen" w:hAnsi="Sylfaen" w:cs="Sylfaen"/>
          <w:color w:val="000000" w:themeColor="text1"/>
          <w:sz w:val="22"/>
          <w:szCs w:val="22"/>
        </w:rPr>
        <w:instrText>Յ</w:instrText>
      </w:r>
      <w:r w:rsidR="00246187" w:rsidRPr="00270060">
        <w:rPr>
          <w:color w:val="000000" w:themeColor="text1"/>
          <w:sz w:val="22"/>
          <w:szCs w:val="22"/>
        </w:rPr>
        <w:instrText xml:space="preserve">30 completed weeks of bronchopulmonary dysplasia, infant, gestation in British Columbia, Canada, between 1993 and 2006. Differences in correlations between monozygotic and dizygotic twin pairs and model-ﬁtting approaches were used to quantify the relative contributions of genetic, shared environmental, and nonshared environmental effects. premature, twin study, heritability, patent ductus arteriosus Abbreviations RDS—respiratory distress syndrome BPD— bronchopulmonary dysplasia\nRESULTS. Among 318 twins of known zygosity, monozygotic twin pair similarities were greater than those observed for dizygotic pairs, which suggests signiﬁcant heritability NICHD—National Institute of Child Health and Human Development PMA—postmenstrual age for bronchopulmonary dysplasia. Model-ﬁtting analyses conﬁrmed that genetic ef- PDA—patent ductus arteriosus fects accounted for 82% and 79% of the observed variance in bronchopulmonary Accepted for publication Dec 13, 2007 dysplasia susceptibility, deﬁned on the basis of the need for supplemental oxygen at 36 weeks or the National Institutes of Health consensus deﬁnition, respectively. Variations in rates of hemodynamically signiﬁcant patent ductus arteriosus were Address correspondence to Pascal M. Lavoie, MD, PhD, FRCPC, Department of Pediatrics, Division of Neonatology, Children’s and Women’s Health Centre of British Columbia, largely accounted for by genetic effects, whereas the observed variability in susceptibility to blood-borne bacterial infections was largely attributable to environmental factors, both common and unique to each infant. Room 1R47, 4480 Oak St, Vancouver BC, Canada V6H 3V4. E-mail: plavoie@cw.bc.ca PEDIATRICS (ISSN Numbers: Print, 0031-4005; Online, 1098-4275). Copyright © 2008 by the American Academy of Pediatrics\nCONCLUSIONS. Susceptibility to bronchopulmonary dysplasia and persistence of patent ductus arteriosus are both signiﬁcantly heritable. Our study strengthens the case for investigating genetic risk stratiﬁcation markers useful for predicting the most signiﬁcant long-term respiratory and neurodevelopmental consequences of bronchopulmonary dysplasia in premature neonates. Pediatrics 2008;122: 479–485","container-title":"Pediatrics","DOI":"10.1542/peds.2007-2313","ISSN":"0031-4005, 1098-4275","issue":"3","language":"en","page":"479-485","source":"DOI.org (Crossref)","title":"Heritability of Bronchopulmonary Dysplasia, Defined According to the Consensus Statement of the National Institutes of Health","URL":"https://publications.aap.org/pediatrics/article/122/3/479/72260/Heritability-of-Bronchopulmonary-Dysplasia-Defined","volume":"122","author":[{"family":"Lavoie","given":"Pascal M."},{"family":"Pham","given":"Chandra"},{"family":"Jang","given":"Kerry L."}],"accessed":{"date-parts":[["2024",6,3]]},"issued":{"date-parts":[["2008",9,1]]}}},{"id":20,"uris":["http://zotero.org/users/14418362/items/I6L7N3HA"],"itemData":{"id":20,"type":"article-journal","abstract":"BACKGROUND. Intraventricular hemorrhage, necrotizing enterocolitis, and bronchopulmonary dysplasia remain signiﬁcant causes of morbidity and mortality in preterm newborns.\nOBJECTIVES. Our goal was to assess the familial and genetic susceptibility to intraventricular hemorrhage, necrotizing enterocolitis, and bronchopulmonary dysplasia.\nMETHODS. Mixed-effects logistic-regression and latent variable probit model analysis were used to assess the contribution of several covariates in a multicenter retrospective study of 450 twin pairs born at </w:instrText>
      </w:r>
      <w:r w:rsidR="00246187" w:rsidRPr="00270060">
        <w:rPr>
          <w:rFonts w:ascii="Sylfaen" w:hAnsi="Sylfaen" w:cs="Sylfaen"/>
          <w:color w:val="000000" w:themeColor="text1"/>
          <w:sz w:val="22"/>
          <w:szCs w:val="22"/>
        </w:rPr>
        <w:instrText>Յ</w:instrText>
      </w:r>
      <w:r w:rsidR="00246187" w:rsidRPr="00270060">
        <w:rPr>
          <w:color w:val="000000" w:themeColor="text1"/>
          <w:sz w:val="22"/>
          <w:szCs w:val="22"/>
        </w:rPr>
        <w:instrText xml:space="preserve">32 weeks of gestation. To determine the genetic contribution, concordance rates in a subset of 252 monozygotic and dizygotic twin pairs were compared.\nRESULTS. The study population had a mean gestational age of 29 weeks and birth weight of 1286 g. After controlling for effects of covariates, the twin data showed that 41.3%, 51.9%, and 65.2%, respectively, of the variances in liability for intraventricular hemorrhage, necrotizing enterocolitis, and bronchopulmonary dysplasia could be accounted for by genetic and shared environmental factors. Among the 63 monozygotic twin pairs, the observed concordance for bronchopulmonary dysplasia was signiﬁcantly higher than the expected concordance; 12 of 18 monozygotic twin pairs with </w:instrText>
      </w:r>
      <w:r w:rsidR="00246187" w:rsidRPr="00270060">
        <w:rPr>
          <w:rFonts w:ascii="Sylfaen" w:hAnsi="Sylfaen" w:cs="Sylfaen"/>
          <w:color w:val="000000" w:themeColor="text1"/>
          <w:sz w:val="22"/>
          <w:szCs w:val="22"/>
        </w:rPr>
        <w:instrText>Ն</w:instrText>
      </w:r>
      <w:r w:rsidR="00246187" w:rsidRPr="00270060">
        <w:rPr>
          <w:color w:val="000000" w:themeColor="text1"/>
          <w:sz w:val="22"/>
          <w:szCs w:val="22"/>
        </w:rPr>
        <w:instrText xml:space="preserve">1 affected member had both members affected versus 3.69 expected. After controlling for covariates, genetic factors accounted for 53% of the variance in liability for bronchopulmonary dysplasia.\nCONCLUSIONS. Twin analyses show that intraventricular hemorrhage, necrotizing enterocolitis, and bronchopulmonary dysplasia are familial in origin. These data demonstrate, for the ﬁrst time, the signiﬁcant genetic susceptibility for bronchopulmonary dysplasia in preterm infants.","container-title":"Pediatrics","DOI":"10.1542/peds.2005-1414","ISSN":"0031-4005, 1098-4275","issue":"6","language":"en","page":"1901-1906","source":"DOI.org (Crossref)","title":"Familial and Genetic Susceptibility to Major Neonatal Morbidities in Preterm Twins","URL":"https://publications.aap.org/pediatrics/article/117/6/1901/69470/Familial-and-Genetic-Susceptibility-to-Major","volume":"117","author":[{"family":"Bhandari","given":"Vineet"},{"family":"Bizzarro","given":"Matthew J."},{"family":"Shetty","given":"Anupama"},{"family":"Zhong","given":"Xiaoyun"},{"family":"Page","given":"Grier P."},{"family":"Zhang","given":"Heping"},{"family":"Ment","given":"Laura R."},{"family":"Gruen","given":"Jeffrey R."},{"literal":"for the Neonatal Genetics Study Group"}],"accessed":{"date-parts":[["2024",6,3]]},"issued":{"date-parts":[["2006",6,1]]}}}],"schema":"https://github.com/citation-style-language/schema/raw/master/csl-citation.json"}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10,11</w:t>
      </w:r>
      <w:r w:rsidR="005D240B" w:rsidRPr="00270060">
        <w:rPr>
          <w:color w:val="000000" w:themeColor="text1"/>
          <w:sz w:val="22"/>
          <w:szCs w:val="22"/>
        </w:rPr>
        <w:fldChar w:fldCharType="end"/>
      </w:r>
      <w:r w:rsidR="005D240B" w:rsidRPr="00270060">
        <w:rPr>
          <w:color w:val="000000" w:themeColor="text1"/>
          <w:sz w:val="22"/>
          <w:szCs w:val="22"/>
        </w:rPr>
        <w:t xml:space="preserve"> some </w:t>
      </w:r>
      <w:r w:rsidRPr="00270060">
        <w:rPr>
          <w:color w:val="000000" w:themeColor="text1"/>
          <w:sz w:val="22"/>
          <w:szCs w:val="22"/>
        </w:rPr>
        <w:t xml:space="preserve">putative genetic </w:t>
      </w:r>
      <w:r w:rsidR="005D240B" w:rsidRPr="00270060">
        <w:rPr>
          <w:color w:val="000000" w:themeColor="text1"/>
          <w:sz w:val="22"/>
          <w:szCs w:val="22"/>
        </w:rPr>
        <w:t xml:space="preserve">candidates have been </w:t>
      </w:r>
      <w:r w:rsidRPr="00270060">
        <w:rPr>
          <w:color w:val="000000" w:themeColor="text1"/>
          <w:sz w:val="22"/>
          <w:szCs w:val="22"/>
        </w:rPr>
        <w:t>identified</w:t>
      </w:r>
      <w:r w:rsidR="005D240B" w:rsidRPr="00270060">
        <w:rPr>
          <w:color w:val="000000" w:themeColor="text1"/>
          <w:sz w:val="22"/>
          <w:szCs w:val="22"/>
        </w:rPr>
        <w:t xml:space="preserve"> (e.g. SPOCK2, CRP)</w:t>
      </w:r>
      <w:r w:rsidR="00BD1842"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{"citationID":"4IbNrvsC","properties":{"formattedCitation":"\\super 12,13\\nosupersub{}","plainCitation":"12,13","noteIndex":0},"citationItems":[{"id":16,"uris":["http://zotero.org/users/14418362/items/MBS3TYY6"],"itemData":{"id":16,"type":"article-journal","container-title":"American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id":18,"uris":["http://zotero.org/users/14418362/items/5M6VC6LE"],"itemData":{"id":18,"type":"article-journal","abstract":"Abstract\n            \n              Bronchopulmonary dysplasia (BPD), the main consequence of prematurity, has a significant heritability, but little is known about predisposing genes. The aim of this study was to identify gene loci predisposing infants to BPD. The initial genome-wide association study (GWAS) included 174 Finnish preterm infants of gestational age 24–30 weeks. Thereafter, the most promising single-nucleotide polymorphisms (SNPs) associated with BPD were genotyped in both Finnish (\n              n\n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555) and non-Finnish (\n              n</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\n              388) replication cohorts. Finally, plasma CRP levels from the first week of life and the risk of BPD were assessed. SNP rs11265269, flanking the\n              CRP\n              gene, showed the strongest signal in GWAS (odds ratio [OR] 3.2,\n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3.4</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−6\n              ). This association was nominally replicated in Finnish and French African populations. A number of other SNPs in the\n              CRP\n              region, including rs3093059, had nominal associations with BPD. During the first week of life the elevated plasma levels of CRP predicted the risk of BPD (OR 3.4,\n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2.9</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–4\n              ) and the SNP rs3093059 associated nominally with plasma CRP levels. Finally, SNP rs11265269 was identified as a risk factor of BPD (OR 1.8,\n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5.3</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−5\n              ), independently of the robust antenatal risk factors. As such, in BPD, a potential role for variants near\n              CRP\n              gene is proposed.","container-title":"Scientific Reports","DOI":"10.1038/s41598-017-08977-w","ISSN":"2045-2322","issue":"1","journalAbbreviation":"Sci Rep","language":"en","page":"9271","source":"DOI.org (Crossref)","title":"Genome-wide association study of bronchopulmonary dysplasia: a potential role for variants near the CRP gene","title-short":"Genome-wide association study of bronchopulmonary dysplasia","URL":"https://www.nature.com/articles/s41598-017-08977-w","volume":"7","author":[{"family":"Mahlman","given":"Mari"},{"family":"Karjalainen","given":"Minna K."},{"family":"Huusko","given":"Johanna M."},{"family":"Andersson","given":"Sture"},{"family":"Kari","given":"M. Anneli"},{"family":"Tammela","given":"Outi K. T."},{"family":"Sankilampi","given":"Ulla"},{"family":"Lehtonen","given":"Liisa"},{"family":"Marttila","given":"Riitta H."},{"family":"Bassler","given":"Dirk"},{"family":"Poets","given":"Christian F."},{"family":"Lacaze-Masmonteil","given":"Thierry"},{"family":"Danan","given":"Claude"},{"family":"Delacourt","given":"Christophe"},{"family":"Palotie","given":"Aarno"},{"family":"Muglia","given":"Louis J."},{"family":"Lavoie","given":"Pascal M."},{"family":"Hadchouel","given":"Alice"},{"family":"Rämet","given":"Mika"},{"family":"Hallman","given":"Mikko"}],"accessed":{"date-parts":[["2024",6,3]]},"issued":{"date-parts":[["2017",8,24]]}}}],"schema":"https://github.com/citation-style-language/schema/raw/master/csl-citation.json"} </w:instrText>
      </w:r>
      <w:r w:rsidR="00BD1842"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12,13</w:t>
      </w:r>
      <w:r w:rsidR="00BD1842" w:rsidRPr="00270060">
        <w:rPr>
          <w:color w:val="000000" w:themeColor="text1"/>
          <w:sz w:val="22"/>
          <w:szCs w:val="22"/>
        </w:rPr>
        <w:fldChar w:fldCharType="end"/>
      </w:r>
      <w:r w:rsidR="00BD1842" w:rsidRPr="00270060">
        <w:rPr>
          <w:color w:val="000000" w:themeColor="text1"/>
          <w:sz w:val="22"/>
          <w:szCs w:val="22"/>
        </w:rPr>
        <w:t xml:space="preserve">. </w:t>
      </w:r>
      <w:r w:rsidR="000B0D01" w:rsidRPr="00270060">
        <w:rPr>
          <w:color w:val="000000" w:themeColor="text1"/>
          <w:sz w:val="22"/>
          <w:szCs w:val="22"/>
        </w:rPr>
        <w:t>t</w:t>
      </w:r>
      <w:r w:rsidR="005D240B" w:rsidRPr="00270060">
        <w:rPr>
          <w:color w:val="000000" w:themeColor="text1"/>
          <w:sz w:val="22"/>
          <w:szCs w:val="22"/>
        </w:rPr>
        <w:t>hough no gene has been significantly associated with the development</w:t>
      </w:r>
      <w:r w:rsidRPr="00270060">
        <w:rPr>
          <w:color w:val="000000" w:themeColor="text1"/>
          <w:sz w:val="22"/>
          <w:szCs w:val="22"/>
        </w:rPr>
        <w:t xml:space="preserve"> </w:t>
      </w:r>
      <w:r w:rsidR="005D240B" w:rsidRPr="00270060">
        <w:rPr>
          <w:color w:val="000000" w:themeColor="text1"/>
          <w:sz w:val="22"/>
          <w:szCs w:val="22"/>
        </w:rPr>
        <w:t xml:space="preserve">of BPD </w:t>
      </w:r>
      <w:r w:rsidRPr="00270060">
        <w:rPr>
          <w:color w:val="000000" w:themeColor="text1"/>
          <w:sz w:val="22"/>
          <w:szCs w:val="22"/>
        </w:rPr>
        <w:t>by genome-scale studies such as</w:t>
      </w:r>
      <w:r w:rsidR="005D240B" w:rsidRPr="00270060">
        <w:rPr>
          <w:color w:val="000000" w:themeColor="text1"/>
          <w:sz w:val="22"/>
          <w:szCs w:val="22"/>
        </w:rPr>
        <w:t xml:space="preserve"> Genome Wide Association Studies (GWAS) or exome sequencing</w:t>
      </w:r>
      <w:r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{"citationID":"kXMrB53G","properties":{"formattedCitation":"\\super 12\\uc0\\u8211{}16\\nosupersub{}","plainCitation":"12–16","noteIndex":0},"citationItems":[{"id":16,"uris":["http://zotero.org/users/14418362/items/MBS3TYY6"],"itemData":{"id":16,"type":"article-journal","container-title":"American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id":551,"uris":["http://zotero.org/users/14418362/items/7XRQX92N"],"itemData":{"id":551,"type":"article-journal","abstract":"OBJECTIVE:\n              Twin studies suggest that heritability of moderate-severe bronchopulmonary dysplasia (BPD) is 53% to 79%, we conducted a genome-wide association study (GWAS) to identify genetic variants associated with the risk for BPD.\n            \n            \n              METHODS:\n              The discovery GWAS was completed on 1726 very low birth weight infants (gestational age = 250–296/7 weeks) who had a minimum of 3 days of intermittent positive pressure ventilation and were in the hospital at 36 weeks’ postmenstrual age. At 36 weeks’ postmenstrual age, moderate-severe BPD cases (n = 899) were defined as requiring continuous supplemental oxygen, whereas controls (n = 827) inhaled room air. An additional 795 comparable infants (371 cases, 424 controls) were a replication population. Genomic DNA from case and control newborn screening bloodspots was used for the GWAS. The replication study interrogated single-nucleotide polymorphisms (SNPs) identified in the discovery GWAS and those within the HumanExome beadchip.\n            \n            \n              RESULTS:\n              Genotyping using genomic DNA was successful. We did not identify SNPs associated with BPD at the genome-wide significance level (5 × 10−8) and no SNP identified in previous studies reached statistical significance (Bonferroni-corrected P value threshold .0018). Pathway analyses were not informative.\n            \n            \n              CONCLUSIONS:\n              We did not identify genomic loci or pathways that account for the previously described heritability for BPD. Potential explanations include causal mutations that are genetic variants and were not assayed or are mapped to many distributed loci, inadequate sample size, race ethnicity of our study population, or case-control differences investigated are not attributable to underlying common genetic variation.","container-title":"Pediatrics","DOI":"10.1542/peds.2013-0533","ISSN":"0031-4005, 1098-4275","issue":"2","language":"en","page":"290-297","source":"DOI.org (Crossref)","title":"A Genome-Wide Association Study (GWAS) for Bronchopulmonary Dysplasia","URL":"https://publications.aap.org/pediatrics/article/132/2/290/31355/A-Genome-Wide-Association-Study-GWAS-for","volume":"132","author":[{"family":"Wang","given":"Hui"},{"family":"St. Julien","given":"Krystal R."},{"family":"Stevenson","given":"David K."},{"family":"Hoffmann","given":"Thomas J."},{"family":"Witte","given":"John S."},{"family":"Lazzeroni","given":"Laura C."},{"family":"Krasnow","given":"Mark A."},{"family":"Quaintance","given":"Cecele C."},{"family":"Oehlert","given":"John W."},{"family":"Jelliffe-Pawlowski","given":"Laura L."},{"family":"Gould","given":"Jeffrey B."},{"family":"Shaw","given":"Gary M."},{"family":"O’Brodovich","given":"Hugh M."}],"accessed":{"date-parts":[["2024",6,11]]},"issued":{"date-parts":[["2013",8,1]]}}},{"id":14,"uris":["http://zotero.org/users/14418362/items/CIY4TZNQ"],"itemData":{"id":14,"type":"article-journal","abstract":"Objective To identify single-nucleotide polymorphisms (SNPs) and pathways associated with bronchopulmonary dysplasia (BPD) because O2 requirement at 36 weeks’ postmenstrual age risk is strongly inﬂuenced by heritable factors. Study design A genome-wide scan was conducted on 1.2 million genotyped SNPs, and an additional 7 million imputed SNPs, using a DNA repository of extremely low birth weight infants. Genome-wide association and gene set analysis was performed for BPD or death, severe BPD or death, and severe BPD in survivors. Speciﬁc targets were validated via the use of gene expression in BPD lung tissue and in mouse models.\nResults Of 751 infants analyzed, 428 developed BPD or died. No SNPs achieved genome-wide signiﬁcance (P &lt; 10À8), although multiple SNPs in adenosine deaminase, CD44, and other genes were just below P &lt; 10À6. Of approximately 8000 pathways, 75 were signiﬁcant at false discovery rate (FDR) &lt;0.1 and P &lt; .001 for BPD/death, 95 for severe BPD/death, and 90 for severe BPD in survivors. The pathway with lowest FDR was miR-219 targets (P = 1.41E-08, FDR 9.5E-05) for BPD/death and phosphorous oxygen lyase activity (includes adenylate and guanylate cyclases) for both severe BPD/death (P = 5.68E-08, FDR 0.00019) and severe BPD in survivors (P = 3.91E-08, FDR 0.00013). Gene expression analysis conﬁrmed signiﬁcantly increased miR-219 and CD44 in BPD.\nConclusions Pathway analyses conﬁrmed involvement of known pathways of lung development and repair (CD44, phosphorus oxygen lyase activity) and indicated novel molecules and pathways (adenosine deaminase, targets of miR-219) involved in genetic predisposition to BPD. (J Pediatr 2015;166:531-37).","container-title":"The Journal of Pediatrics","DOI":"10.1016/j.jpeds.2014.09.052","ISSN":"00223476","issue":"3","journalAbbreviation":"The Journal of Pediatrics","language":"en","page":"531-537.e13","source":"DOI.org (Crossref)","title":"Integrated Genomic Analyses in Bronchopulmonary Dysplasia","URL":"https://linkinghub.elsevier.com/retrieve/pii/S0022347614009032","volume":"166","author":[{"family":"Ambalavanan","given":"Namasivayam"},{"family":"Cotten","given":"C. Michael"},{"family":"Page","given":"Grier P."},{"family":"Carlo","given":"Waldemar A."},{"family":"Murray","given":"Jeffrey C."},{"family":"Bhattacharya","given":"Soumyaroop"},{"family":"Mariani","given":"Thomas J."},{"family":"Cuna","given":"Alain C."},{"family":"Faye-Petersen","given":"Ona M."},{"family":"Kelly","given":"David"},{"family":"Higgins","given":"Rosemary D."}],"accessed":{"date-parts":[["2024",6,3]]},"issued":{"date-parts":[["2015",3]]}}},{"id":18,"uris":["http://zotero.org/users/14418362/items/5M6VC6LE"],"itemData":{"id":18,"type":"article-journal","abstract":"Abstract\n            \n              Bronchopulmonary dysplasia (BPD), the main consequence of prematurity, has a significant heritability, but little is known about predisposing genes. The aim of this study was to identify gene loci predisposing infants to BPD. The initial genome-wide association study (GWAS) included 174 Finnish preterm infants of gestational age 24–30 weeks. Thereafter, the most promising single-nucleotide polymorphisms (SNPs) associated with BPD were genotyped in both Finnish (\n              n\n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555) and non-Finnish (\n              n</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\n              388) replication cohorts. Finally, plasma CRP levels from the first week of life and the risk of BPD were assessed. SNP rs11265269, flanking the\n              CRP\n              gene, showed the strongest signal in GWAS (odds ratio [OR] 3.2,\n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3.4</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−6\n              ). This association was nominally replicated in Finnish and French African populations. A number of other SNPs in the\n              CRP\n              region, including rs3093059, had nominal associations with BPD. During the first week of life the elevated plasma levels of CRP predicted the risk of BPD (OR 3.4,\n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2.9</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–4\n              ) and the SNP rs3093059 associated nominally with plasma CRP levels. Finally, SNP rs11265269 was identified as a risk factor of BPD (OR 1.8,\n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5.3</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10\n              −5\n              ), independently of the robust antenatal risk factors. As such, in BPD, a potential role for variants near\n              CRP\n              gene is proposed.","container-title":"Scientific Reports","DOI":"10.1038/s41598-017-08977-w","ISSN":"2045-2322","issue":"1","journalAbbreviation":"Sci Rep","language":"en","page":"9271","source":"DOI.org (Crossref)","title":"Genome-wide association study of bronchopulmonary dysplasia: a potential role for variants near the CRP gene","title-short":"Genome-wide association study of bronchopulmonary dysplasia","URL":"https://www.nature.com/articles/s41598-017-08977-w","volume":"7","author":[{"family":"Mahlman","given":"Mari"},{"family":"Karjalainen","given":"Minna K."},{"family":"Huusko","given":"Johanna M."},{"family":"Andersson","given":"Sture"},{"family":"Kari","given":"M. Anneli"},{"family":"Tammela","given":"Outi K. T."},{"family":"Sankilampi","given":"Ulla"},{"family":"Lehtonen","given":"Liisa"},{"family":"Marttila","given":"Riitta H."},{"family":"Bassler","given":"Dirk"},{"family":"Poets","given":"Christian F."},{"family":"Lacaze-Masmonteil","given":"Thierry"},{"family":"Danan","given":"Claude"},{"family":"Delacourt","given":"Christophe"},{"family":"Palotie","given":"Aarno"},{"family":"Muglia","given":"Louis J."},{"family":"Lavoie","given":"Pascal M."},{"family":"Hadchouel","given":"Alice"},{"family":"Rämet","given":"Mika"},{"family":"Hallman","given":"Mikko"}],"accessed":{"date-parts":[["2024",6,3]]},"issued":{"date-parts":[["2017",8,24]]}}},{"id":19,"uris":["http://zotero.org/users/14418362/items/PJ6GGZD2"],"itemData":{"id":19,"type":"article-journal","abstract":"Bronchopulmonary dysplasia in premature infants is a common and often severe lung disease with long-term sequelae. A genetic component is suspected but not fully defined. We performed an ancestry and genome-wide association study to identify variants, genes, and pathways associated with survival without bronchopulmonary dysplasia in 387 high-risk infants treated with inhaled nitric oxide in the Trial of Late Surfactant study. Global African genetic ancestry was associated with increased survival without bronchopulmonary dysplasia among infants of maternal self-reported Hispanic white race/ethnicity [odds ratio (OR)</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4.5, P = 0.01]. Admixture mapping found suggestive outcome associations with local African ancestry at chromosome bands 18q21 and 10q22 among infants of maternal self-reported African-American race/ethnicity. For all infants, the top individual variant identified was within the intron of NBL1, which is expressed in midtrimester lung and is an antagonist of bone morphogenetic proteins ( rs372271081 , OR</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0.17, P = 7.4 × 10\n              −7\n              ). The protective allele of this variant was significantly associated with lower nitric oxide metabolites in the urine of non-Hispanic white infants ( P = 0.006), supporting a role in the racial differential response to nitric oxide. Interrogating genes upregulated in bronchopulmonary dysplasia lungs indicated association with variants in CCL18, a cytokine associated with fibrosis and interstitial lung disease, and pathway analyses implicated variation in genes involved in immune/inflammatory processes in response to infection and mechanical ventilation. Our results suggest that genetic variation related to lung development, drug metabolism, and immune response contribute to individual and racial/ethnic differences in respiratory outcomes following inhaled nitric oxide treatment of high-risk premature infants.","container-title":"American Journal of Physiology-Lung Cellular and Molecular Physiology","DOI":"10.1152/ajplung.00073.2018","ISSN":"1040-0605, 1522-1504","issue":"5","journalAbbreviation":"American Journal of Physiology-Lung Cellular and Molecular Physiology","language":"en","page":"L858-L869","source":"DOI.org (Crossref)","title":"Ancestry and genetic associations with bronchopulmonary dysplasia in preterm infants","URL":"https://www.physiology.org/doi/10.1152/ajplung.00073.2018","volume":"315","author":[{"family":"Torgerson","given":"Dara G."},{"family":"Ballard","given":"Philip L."},{"family":"Keller","given":"Roberta L."},{"family":"Oh","given":"Sam S."},{"family":"Huntsman","given":"Scott"},{"family":"Hu","given":"Donglei"},{"family":"Eng","given":"Celeste"},{"family":"Burchard","given":"Esteban G."},{"family":"Ballard","given":"Roberta A."},{"literal":"TOLSURF Study Group"}],"accessed":{"date-parts":[["2024",6,3]]},"issued":{"date-parts":[["2018",11,1]]}}}],"schema":"https://github.com/citation-style-language/schema/raw/master/csl-citation.json"}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12–16</w:t>
      </w:r>
      <w:r w:rsidR="005D240B" w:rsidRPr="00270060">
        <w:rPr>
          <w:color w:val="000000" w:themeColor="text1"/>
          <w:sz w:val="22"/>
          <w:szCs w:val="22"/>
        </w:rPr>
        <w:fldChar w:fldCharType="end"/>
      </w:r>
      <w:r w:rsidRPr="00270060">
        <w:rPr>
          <w:color w:val="000000" w:themeColor="text1"/>
          <w:sz w:val="22"/>
          <w:szCs w:val="22"/>
        </w:rPr>
        <w:t>.</w:t>
      </w:r>
      <w:r w:rsidR="005D240B" w:rsidRPr="00270060">
        <w:rPr>
          <w:color w:val="000000" w:themeColor="text1"/>
          <w:sz w:val="22"/>
          <w:szCs w:val="22"/>
        </w:rPr>
        <w:t xml:space="preserve"> Recently, transcriptomic data has been used to identify four endotypes of BPD, distinguished by T helper cell and T cell signalling</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{"citationID":"A5WpL8Rw","properties":{"formattedCitation":"\\super 17\\nosupersub{}","plainCitation":"17","noteIndex":0},"citationItems":[{"id":1738,"uris":["http://zotero.org/users/14418362/items/4FM3ID98"],"itemData":{"id":1738,"type":"article-journal","abstract":"IMPACT: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17</w:t>
      </w:r>
      <w:r w:rsidR="005D240B" w:rsidRPr="00270060">
        <w:rPr>
          <w:color w:val="000000" w:themeColor="text1"/>
          <w:sz w:val="22"/>
          <w:szCs w:val="22"/>
        </w:rPr>
        <w:fldChar w:fldCharType="end"/>
      </w:r>
      <w:r w:rsidRPr="00270060">
        <w:rPr>
          <w:color w:val="000000" w:themeColor="text1"/>
          <w:sz w:val="22"/>
          <w:szCs w:val="22"/>
        </w:rPr>
        <w:t>.</w:t>
      </w:r>
    </w:p>
    <w:p w14:paraId="327A3697" w14:textId="77777777" w:rsidR="009122EE" w:rsidRPr="00270060" w:rsidRDefault="009122EE" w:rsidP="00172688">
      <w:pPr>
        <w:spacing w:line="480" w:lineRule="auto"/>
        <w:jc w:val="both"/>
        <w:rPr>
          <w:color w:val="000000" w:themeColor="text1"/>
          <w:sz w:val="22"/>
          <w:szCs w:val="22"/>
        </w:rPr>
      </w:pPr>
    </w:p>
    <w:p w14:paraId="47B3636A" w14:textId="037873FE"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Comparative analyses across species can provide valuable insights into common mechanisms while also highlighting potential species-specific responses</w:t>
      </w:r>
      <w:r w:rsidR="00E52999" w:rsidRPr="00270060">
        <w:rPr>
          <w:color w:val="000000" w:themeColor="text1"/>
          <w:sz w:val="22"/>
          <w:szCs w:val="22"/>
        </w:rPr>
        <w:t xml:space="preserve"> across models</w:t>
      </w:r>
      <w:r w:rsidRPr="00270060">
        <w:rPr>
          <w:color w:val="000000" w:themeColor="text1"/>
          <w:sz w:val="22"/>
          <w:szCs w:val="22"/>
        </w:rPr>
        <w:t>. Rodent models</w:t>
      </w:r>
      <w:r w:rsidR="00BD1842" w:rsidRPr="00270060">
        <w:rPr>
          <w:color w:val="000000" w:themeColor="text1"/>
          <w:sz w:val="22"/>
          <w:szCs w:val="22"/>
        </w:rPr>
        <w:t xml:space="preserve"> </w:t>
      </w:r>
      <w:r w:rsidRPr="00270060">
        <w:rPr>
          <w:color w:val="000000" w:themeColor="text1"/>
          <w:sz w:val="22"/>
          <w:szCs w:val="22"/>
        </w:rPr>
        <w:t xml:space="preserve">have been widely employed to study the pathophysiology of BPD. </w:t>
      </w:r>
      <w:r w:rsidR="00BD1842" w:rsidRPr="00270060">
        <w:rPr>
          <w:color w:val="000000" w:themeColor="text1"/>
          <w:sz w:val="22"/>
          <w:szCs w:val="22"/>
        </w:rPr>
        <w:t>The r</w:t>
      </w:r>
      <w:r w:rsidR="00E52999" w:rsidRPr="00270060">
        <w:rPr>
          <w:color w:val="000000" w:themeColor="text1"/>
          <w:sz w:val="22"/>
          <w:szCs w:val="22"/>
        </w:rPr>
        <w:t xml:space="preserve">odent </w:t>
      </w:r>
      <w:r w:rsidR="00BD1842" w:rsidRPr="00270060">
        <w:rPr>
          <w:color w:val="000000" w:themeColor="text1"/>
          <w:sz w:val="22"/>
          <w:szCs w:val="22"/>
        </w:rPr>
        <w:t>model</w:t>
      </w:r>
      <w:r w:rsidRPr="00270060">
        <w:rPr>
          <w:color w:val="000000" w:themeColor="text1"/>
          <w:sz w:val="22"/>
          <w:szCs w:val="22"/>
        </w:rPr>
        <w:t xml:space="preserve"> has concentrated primarily on hyperoxia-induced lung injury, mimicking the impaired alveolar development and inflammation observed in preterm infants</w:t>
      </w:r>
      <w:r w:rsidR="00BD1842" w:rsidRPr="00270060">
        <w:rPr>
          <w:color w:val="000000" w:themeColor="text1"/>
          <w:sz w:val="22"/>
          <w:szCs w:val="22"/>
        </w:rPr>
        <w:t xml:space="preserve">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{"citationID":"eY47ZLSQ","properties":{"formattedCitation":"\\super 18\\nosupersub{}","plainCitation":"18","noteIndex":0},"citationItems":[{"id":1115,"uris":["http://zotero.org/users/14418362/items/6CPGENAH"],"itemData":{"id":1115,"type":"article-journal","abstract":"During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18</w:t>
      </w:r>
      <w:r w:rsidRPr="00270060">
        <w:rPr>
          <w:color w:val="000000" w:themeColor="text1"/>
          <w:sz w:val="22"/>
          <w:szCs w:val="22"/>
        </w:rPr>
        <w:fldChar w:fldCharType="end"/>
      </w:r>
      <w:r w:rsidR="00E52999" w:rsidRPr="00270060">
        <w:rPr>
          <w:color w:val="000000" w:themeColor="text1"/>
          <w:sz w:val="22"/>
          <w:szCs w:val="22"/>
        </w:rPr>
        <w:t>. Anatomical and physiological differences have prevented in-depth research of ventilator induced lung injury in this model.</w:t>
      </w:r>
    </w:p>
    <w:p w14:paraId="47F9A33D" w14:textId="77777777" w:rsidR="005D240B" w:rsidRPr="00270060" w:rsidRDefault="005D240B" w:rsidP="00172688">
      <w:pPr>
        <w:spacing w:line="480" w:lineRule="auto"/>
        <w:jc w:val="both"/>
        <w:rPr>
          <w:color w:val="000000" w:themeColor="text1"/>
          <w:sz w:val="22"/>
          <w:szCs w:val="22"/>
        </w:rPr>
      </w:pPr>
    </w:p>
    <w:p w14:paraId="4EF82ACF" w14:textId="48CF6A83" w:rsidR="005D240B" w:rsidRPr="00270060" w:rsidRDefault="00E52999" w:rsidP="00172688">
      <w:pPr>
        <w:spacing w:line="480" w:lineRule="auto"/>
        <w:jc w:val="both"/>
        <w:rPr>
          <w:color w:val="000000" w:themeColor="text1"/>
          <w:sz w:val="22"/>
          <w:szCs w:val="22"/>
        </w:rPr>
      </w:pPr>
      <w:r w:rsidRPr="00270060">
        <w:rPr>
          <w:color w:val="000000" w:themeColor="text1"/>
          <w:sz w:val="22"/>
          <w:szCs w:val="22"/>
        </w:rPr>
        <w:t xml:space="preserve">By integrating heterogeneous data sources, we </w:t>
      </w:r>
      <w:r w:rsidR="0001420C" w:rsidRPr="00270060">
        <w:rPr>
          <w:color w:val="000000" w:themeColor="text1"/>
          <w:sz w:val="22"/>
          <w:szCs w:val="22"/>
        </w:rPr>
        <w:t xml:space="preserve">can </w:t>
      </w:r>
      <w:r w:rsidRPr="00270060">
        <w:rPr>
          <w:color w:val="000000" w:themeColor="text1"/>
          <w:sz w:val="22"/>
          <w:szCs w:val="22"/>
        </w:rPr>
        <w:t>gain new perspectives. This study incorporates genome-scale insights to complement the field’s longstanding clinical focus.</w:t>
      </w:r>
      <w:r w:rsidR="009122EE" w:rsidRPr="00270060">
        <w:rPr>
          <w:color w:val="000000" w:themeColor="text1"/>
          <w:sz w:val="22"/>
          <w:szCs w:val="22"/>
        </w:rPr>
        <w:t xml:space="preserve">  </w:t>
      </w:r>
      <w:r w:rsidR="005D240B" w:rsidRPr="00270060">
        <w:rPr>
          <w:color w:val="000000" w:themeColor="text1"/>
          <w:sz w:val="22"/>
          <w:szCs w:val="22"/>
        </w:rPr>
        <w:t xml:space="preserve">We conducted two concurrent systematic reviews of the BPD literature, focusing on genome-scale studies in humans and </w:t>
      </w:r>
      <w:r w:rsidR="0001420C" w:rsidRPr="00270060">
        <w:rPr>
          <w:color w:val="000000" w:themeColor="text1"/>
          <w:sz w:val="22"/>
          <w:szCs w:val="22"/>
        </w:rPr>
        <w:t>animal models</w:t>
      </w:r>
      <w:r w:rsidR="005D240B" w:rsidRPr="00270060">
        <w:rPr>
          <w:color w:val="000000" w:themeColor="text1"/>
          <w:sz w:val="22"/>
          <w:szCs w:val="22"/>
        </w:rPr>
        <w:t xml:space="preserve">. Results were extracted from identified studies, where possible, and analysed using </w:t>
      </w:r>
      <w:r w:rsidRPr="00270060">
        <w:rPr>
          <w:color w:val="000000" w:themeColor="text1"/>
          <w:sz w:val="22"/>
          <w:szCs w:val="22"/>
        </w:rPr>
        <w:t xml:space="preserve">the </w:t>
      </w:r>
      <w:r w:rsidR="005D240B" w:rsidRPr="00270060">
        <w:rPr>
          <w:color w:val="000000" w:themeColor="text1"/>
          <w:sz w:val="22"/>
          <w:szCs w:val="22"/>
        </w:rPr>
        <w:t xml:space="preserve">Meta Analysis by Information Content (MAIC) algorithm. </w:t>
      </w:r>
      <w:r w:rsidRPr="00270060">
        <w:rPr>
          <w:color w:val="000000" w:themeColor="text1"/>
          <w:sz w:val="22"/>
          <w:szCs w:val="22"/>
        </w:rPr>
        <w:t xml:space="preserve">This </w:t>
      </w:r>
      <w:r w:rsidR="005D240B" w:rsidRPr="00270060">
        <w:rPr>
          <w:color w:val="000000" w:themeColor="text1"/>
          <w:sz w:val="22"/>
          <w:szCs w:val="22"/>
        </w:rPr>
        <w:t>is a previously described algorithm that uses data-driven gene list weightings to produce a comprehensive ranked list of genes associated with the trait of interest</w:t>
      </w:r>
      <w:r w:rsidR="00BD1842"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{"citationID":"ehZZ6W1l","properties":{"formattedCitation":"\\super 19\\uc0\\u8211{}22\\nosupersub{}","plainCitation":"19–22","noteIndex":0},"citationItems":[{"id":540,"uris":["http://zotero.org/users/14418362/items/2GA2N3ZL"],"itemData":{"id":540,"type":"article-journal","container-title":"Nature","DOI":"10.1038/s41586-020-03065-y","ISSN":"0028-0836, 1476-4687","issue":"7848","journalAbbreviation":"Nature","language":"en","page":"92-98","source":"DOI.org (Crossref)","title":"Genetic mechanisms of critical illness in COVID-19","URL":"https://www.nature.com/articles/s41586-020-03065-y","volume":"591","author":[{"literal":"The GenOMICC Investigators"},{"literal":"The ISARIC4C Investigators"},{"literal":"The COVID-19 Human Genetics Initiative"},{"literal":"23andMe Investigators"},{"literal":"BRACOVID Investigators"},{"literal":"Gen-COVID Investigators"},{"family":"Pairo-Castineira","given":"Erola"},{"family":"Clohisey","given":"Sara"},{"family":"Klaric","given":"Lucija"},{"family":"Bretherick","given":"Andrew D."},{"family":"Rawlik","given":"Konrad"},{"family":"Pasko","given":"Dorota"},{"family":"Walker","given":"Susan"},{"family":"Parkinson","given":"Nick"},{"family":"Fourman","given":"Max Head"},{"family":"Russell","given":"Clark D."},{"family":"Furniss","given":"James"},{"family":"Richmond","given":"Anne"},{"family":"Gountouna","given":"Elvina"},{"family":"Wrobel","given":"Nicola"},{"family":"Harrison","given":"David"},{"family":"Wang","given":"Bo"},{"family":"Wu","given":"Yang"},{"family":"Meynert","given":"Alison"},{"family":"Griffiths","given":"Fiona"},{"family":"Oosthuyzen","given":"Wilna"},{"family":"Kousathanas","given":"Athanasios"},{"family":"Moutsianas","given":"Loukas"},{"family":"Yang","given":"Zhijian"},{"family":"Zhai","given":"Ranran"},{"family":"Zheng","given":"Chenqing"},{"family":"Grimes","given":"Graeme"},{"family":"Beale","given":"Rupert"},{"family":"Millar","given":"Jonathan"},{"family":"Shih","given":"Barbara"},{"family":"Keating","given":"Sean"},{"family":"Zechner","given":"Marie"},{"family":"Haley","given":"Chris"},{"family":"Porteous","given":"David J."},{"family":"Hayward","given":"Caroline"},{"family":"Yang","given":"Jian"},{"family":"Knight","given":"Julian"},{"family":"Summers","given":"Charlotte"},{"family":"Shankar-Hari","given":"Manu"},{"family":"Klenerman","given":"Paul"},{"family":"Turtle","given":"Lance"},{"family":"Ho","given":"Antonia"},{"family":"Moore","given":"Shona C."},{"family":"Hinds","given":"Charles"},{"family":"Horby","given":"Peter"},{"family":"Nichol","given":"Alistair"},{"family":"Maslove","given":"David"},{"family":"Ling","given":"Lowell"},{"family":"McAuley","given":"Danny"},{"family":"Montgomery","given":"Hugh"},{"family":"Walsh","given":"Timothy"},{"family":"Pereira","given":"Alexandre C."},{"family":"Renieri","given":"Alessandra"},{"family":"Shen","given":"Xia"},{"family":"Ponting","given":"Chris P."},{"family":"Fawkes","given":"Angie"},{"family":"Tenesa","given":"Albert"},{"family":"Caulfield","given":"Mark"},{"family":"Scott","given":"Richard"},{"family":"Rowan","given":"Kathy"},{"family":"Murphy","given":"Lee"},{"family":"Openshaw","given":"Peter J. M."},{"family":"Semple","given":"Malcolm G."},{"family":"Law","given":"Andrew"},{"family":"Vitart","given":"Veronique"},{"family":"Wilson","given":"James F."},{"family":"Baillie","given":"J. Kenneth"}],"accessed":{"date-parts":[["2024",6,11]]},"issued":{"date-parts":[["2021",3,4]]}}},{"id":2377,"uris":["http://zotero.org/users/14418362/items/WBGNVTKH"],"itemData":{"id":2377,"type":"article-journal","abstract":"OR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Kenneth"},{"family":"Clohisey","given":"Sara"}],"accessed":{"date-parts":[["2025",3,21]]},"issued":{"date-parts":[["2020",12,18]]}}},{"id":2393,"uris":["http://zotero.org/users/14418362/items/LDUXIVGQ"],"itemData":{"id":2393,"type":"article-journal","abstract":"Motivation: A common experimental output in biomedical science is a list of genes implicated in a given biological process or disease. The gene lists resulting from a group of studies answering the same, or similar, questions can be combined by ranking aggregation methods to ﬁnd a consensus or a more reliable answer. Evaluating a ranking aggregation method on a speciﬁc type of data before using it is required to support the reliability since the property of a dataset can inﬂuence the performance of an algorithm. Such evaluation on gene lists is usually based on a simulated database because of the lack of a known truth for real data. However, simulated datasets tend to be too small compared to experimental data and neglect key features, including heterogeneity of quality, relevance and the inclusion of unranked lists.","container-title":"Bioinformatics","DOI":"10.1093/bioinformatics/btac621","ISSN":"1367-4803, 1367-4811","issue":"21","language":"en","license":"https://creativecommons.org/licenses/by/4.0/","page":"4927-4933","source":"DOI.org (Crossref)","title":"Systematic comparison of ranking aggregation methods for gene lists in experimental results","URL":"https://academic.oup.com/bioinformatics/article/38/21/4927/6696211","volume":"38","author":[{"family":"Wang","given":"Bo"},{"family":"Law","given":"Andy"},{"family":"Regan","given":"Tim"},{"family":"Parkinson","given":"Nicholas"},{"family":"Cole","given":"Joby"},{"family":"Russell","given":"Clark D"},{"family":"Dockrell","given":"David H"},{"family":"Gutmann","given":"Michael U"},{"family":"Baillie","given":"J Kenneth"}],"editor":[{"family":"Lu","given":"Zhiyong"}],"accessed":{"date-parts":[["2025",3,25]]},"issued":{"date-parts":[["2022",10,31]]}}},{"id":2244,"uris":["http://zotero.org/users/14418362/items/WPBH2JSR"],"itemData":{"id":2244,"type":"article","abstract":"Acute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19–22</w:t>
      </w:r>
      <w:r w:rsidR="005D240B" w:rsidRPr="00270060">
        <w:rPr>
          <w:color w:val="000000" w:themeColor="text1"/>
          <w:sz w:val="22"/>
          <w:szCs w:val="22"/>
        </w:rPr>
        <w:fldChar w:fldCharType="end"/>
      </w:r>
      <w:r w:rsidRPr="00270060">
        <w:rPr>
          <w:color w:val="000000" w:themeColor="text1"/>
          <w:sz w:val="22"/>
          <w:szCs w:val="22"/>
        </w:rPr>
        <w:t>.</w:t>
      </w:r>
    </w:p>
    <w:p w14:paraId="218F2443" w14:textId="77777777" w:rsidR="005D240B" w:rsidRPr="00270060" w:rsidRDefault="005D240B" w:rsidP="00172688">
      <w:pPr>
        <w:spacing w:line="480" w:lineRule="auto"/>
        <w:jc w:val="both"/>
        <w:rPr>
          <w:color w:val="000000" w:themeColor="text1"/>
          <w:sz w:val="22"/>
          <w:szCs w:val="22"/>
        </w:rPr>
      </w:pPr>
    </w:p>
    <w:p w14:paraId="0B6EE8BF" w14:textId="3AFACD1F" w:rsidR="005D240B" w:rsidRPr="00270060" w:rsidRDefault="009122EE" w:rsidP="00172688">
      <w:pPr>
        <w:spacing w:line="480" w:lineRule="auto"/>
        <w:jc w:val="both"/>
        <w:rPr>
          <w:color w:val="000000" w:themeColor="text1"/>
          <w:sz w:val="22"/>
          <w:szCs w:val="22"/>
        </w:rPr>
      </w:pPr>
      <w:r w:rsidRPr="00270060">
        <w:rPr>
          <w:color w:val="000000" w:themeColor="text1"/>
          <w:sz w:val="22"/>
          <w:szCs w:val="22"/>
        </w:rPr>
        <w:t xml:space="preserve">Our findings show that </w:t>
      </w:r>
      <w:r w:rsidR="005D240B" w:rsidRPr="00270060">
        <w:rPr>
          <w:color w:val="000000" w:themeColor="text1"/>
          <w:sz w:val="22"/>
          <w:szCs w:val="22"/>
        </w:rPr>
        <w:t>genes</w:t>
      </w:r>
      <w:r w:rsidRPr="00270060">
        <w:rPr>
          <w:color w:val="000000" w:themeColor="text1"/>
          <w:sz w:val="22"/>
          <w:szCs w:val="22"/>
        </w:rPr>
        <w:t xml:space="preserve"> associated with development and maintenance of adaptive immun</w:t>
      </w:r>
      <w:r w:rsidR="00E52999" w:rsidRPr="00270060">
        <w:rPr>
          <w:color w:val="000000" w:themeColor="text1"/>
          <w:sz w:val="22"/>
          <w:szCs w:val="22"/>
        </w:rPr>
        <w:t>e cells</w:t>
      </w:r>
      <w:r w:rsidR="005D240B" w:rsidRPr="00270060">
        <w:rPr>
          <w:color w:val="000000" w:themeColor="text1"/>
          <w:sz w:val="22"/>
          <w:szCs w:val="22"/>
        </w:rPr>
        <w:t xml:space="preserve"> feature prominently</w:t>
      </w:r>
      <w:r w:rsidRPr="00270060">
        <w:rPr>
          <w:color w:val="000000" w:themeColor="text1"/>
          <w:sz w:val="22"/>
          <w:szCs w:val="22"/>
        </w:rPr>
        <w:t>,</w:t>
      </w:r>
      <w:r w:rsidR="005D240B" w:rsidRPr="00270060">
        <w:rPr>
          <w:color w:val="000000" w:themeColor="text1"/>
          <w:sz w:val="22"/>
          <w:szCs w:val="22"/>
        </w:rPr>
        <w:t xml:space="preserve"> suggesting that </w:t>
      </w:r>
      <w:r w:rsidR="00645074" w:rsidRPr="00270060">
        <w:rPr>
          <w:color w:val="000000" w:themeColor="text1"/>
          <w:sz w:val="22"/>
          <w:szCs w:val="22"/>
        </w:rPr>
        <w:t>adaptive-lineage cells</w:t>
      </w:r>
      <w:r w:rsidR="005D240B" w:rsidRPr="00270060">
        <w:rPr>
          <w:color w:val="000000" w:themeColor="text1"/>
          <w:sz w:val="22"/>
          <w:szCs w:val="22"/>
        </w:rPr>
        <w:t xml:space="preserve"> may play a larger role in BPD pathogenesis, and</w:t>
      </w:r>
      <w:r w:rsidR="00E52999" w:rsidRPr="00270060">
        <w:rPr>
          <w:color w:val="000000" w:themeColor="text1"/>
          <w:sz w:val="22"/>
          <w:szCs w:val="22"/>
        </w:rPr>
        <w:t xml:space="preserve"> potentially</w:t>
      </w:r>
      <w:r w:rsidR="005D240B" w:rsidRPr="00270060">
        <w:rPr>
          <w:color w:val="000000" w:themeColor="text1"/>
          <w:sz w:val="22"/>
          <w:szCs w:val="22"/>
        </w:rPr>
        <w:t xml:space="preserve"> </w:t>
      </w:r>
      <w:r w:rsidRPr="00270060">
        <w:rPr>
          <w:color w:val="000000" w:themeColor="text1"/>
          <w:sz w:val="22"/>
          <w:szCs w:val="22"/>
        </w:rPr>
        <w:t xml:space="preserve">a wider role in </w:t>
      </w:r>
      <w:r w:rsidR="005D240B" w:rsidRPr="00270060">
        <w:rPr>
          <w:color w:val="000000" w:themeColor="text1"/>
          <w:sz w:val="22"/>
          <w:szCs w:val="22"/>
        </w:rPr>
        <w:t>ventilator associated lung injury, than previously appreciated.</w:t>
      </w:r>
    </w:p>
    <w:p w14:paraId="5E9CC097" w14:textId="77777777" w:rsidR="00E52999" w:rsidRPr="00270060" w:rsidRDefault="00E52999" w:rsidP="00172688">
      <w:pPr>
        <w:spacing w:line="480" w:lineRule="auto"/>
        <w:jc w:val="both"/>
        <w:rPr>
          <w:color w:val="000000" w:themeColor="text1"/>
          <w:sz w:val="22"/>
          <w:szCs w:val="22"/>
        </w:rPr>
      </w:pPr>
    </w:p>
    <w:p w14:paraId="38E3A906"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t>Results</w:t>
      </w:r>
    </w:p>
    <w:p w14:paraId="10D82985" w14:textId="77777777" w:rsidR="005D240B" w:rsidRPr="00270060" w:rsidRDefault="005D240B" w:rsidP="00172688">
      <w:pPr>
        <w:spacing w:line="480" w:lineRule="auto"/>
        <w:jc w:val="both"/>
        <w:rPr>
          <w:color w:val="000000" w:themeColor="text1"/>
          <w:sz w:val="22"/>
          <w:szCs w:val="22"/>
        </w:rPr>
      </w:pPr>
    </w:p>
    <w:p w14:paraId="331A203E" w14:textId="250EFF6F" w:rsidR="005D240B" w:rsidRPr="00270060" w:rsidRDefault="005D240B" w:rsidP="00172688">
      <w:pPr>
        <w:spacing w:line="480" w:lineRule="auto"/>
        <w:jc w:val="both"/>
        <w:rPr>
          <w:i/>
          <w:iCs/>
          <w:color w:val="000000" w:themeColor="text1"/>
          <w:sz w:val="22"/>
          <w:szCs w:val="22"/>
        </w:rPr>
      </w:pPr>
      <w:r w:rsidRPr="00270060">
        <w:rPr>
          <w:i/>
          <w:iCs/>
          <w:color w:val="000000" w:themeColor="text1"/>
          <w:sz w:val="22"/>
          <w:szCs w:val="22"/>
        </w:rPr>
        <w:t xml:space="preserve">Systematic review </w:t>
      </w:r>
    </w:p>
    <w:p w14:paraId="008204EC" w14:textId="6A233848"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We </w:t>
      </w:r>
      <w:r w:rsidR="00740014" w:rsidRPr="00270060">
        <w:rPr>
          <w:color w:val="000000" w:themeColor="text1"/>
          <w:sz w:val="22"/>
          <w:szCs w:val="22"/>
        </w:rPr>
        <w:t xml:space="preserve">first </w:t>
      </w:r>
      <w:r w:rsidRPr="00270060">
        <w:rPr>
          <w:color w:val="000000" w:themeColor="text1"/>
          <w:sz w:val="22"/>
          <w:szCs w:val="22"/>
        </w:rPr>
        <w:t xml:space="preserve">conducted a systematic review of studies that reported associations between genes, transcripts, or proteins, and the development of BPD in humans or the study of BPD in </w:t>
      </w:r>
      <w:r w:rsidR="009122EE" w:rsidRPr="00270060">
        <w:rPr>
          <w:color w:val="000000" w:themeColor="text1"/>
          <w:sz w:val="22"/>
          <w:szCs w:val="22"/>
        </w:rPr>
        <w:t xml:space="preserve">non-human </w:t>
      </w:r>
      <w:r w:rsidR="00740014" w:rsidRPr="00270060">
        <w:rPr>
          <w:color w:val="000000" w:themeColor="text1"/>
          <w:sz w:val="22"/>
          <w:szCs w:val="22"/>
        </w:rPr>
        <w:t>mammalian</w:t>
      </w:r>
      <w:r w:rsidRPr="00270060">
        <w:rPr>
          <w:color w:val="000000" w:themeColor="text1"/>
          <w:sz w:val="22"/>
          <w:szCs w:val="22"/>
        </w:rPr>
        <w:t xml:space="preserve"> models</w:t>
      </w:r>
      <w:r w:rsidR="00246187" w:rsidRPr="00270060">
        <w:rPr>
          <w:color w:val="000000" w:themeColor="text1"/>
          <w:sz w:val="22"/>
          <w:szCs w:val="22"/>
        </w:rPr>
        <w:t xml:space="preserve"> </w:t>
      </w:r>
      <w:r w:rsidR="006323BF" w:rsidRPr="00270060">
        <w:rPr>
          <w:color w:val="000000" w:themeColor="text1"/>
          <w:sz w:val="22"/>
          <w:szCs w:val="22"/>
        </w:rPr>
        <w:t>(</w:t>
      </w:r>
      <w:r w:rsidR="00246187" w:rsidRPr="00270060">
        <w:rPr>
          <w:color w:val="000000" w:themeColor="text1"/>
          <w:sz w:val="22"/>
          <w:szCs w:val="22"/>
        </w:rPr>
        <w:t>Supplementary Methods</w:t>
      </w:r>
      <w:r w:rsidR="00004CBA" w:rsidRPr="00270060">
        <w:rPr>
          <w:color w:val="000000" w:themeColor="text1"/>
          <w:sz w:val="22"/>
          <w:szCs w:val="22"/>
        </w:rPr>
        <w:t>)</w:t>
      </w:r>
      <w:r w:rsidRPr="00270060">
        <w:rPr>
          <w:color w:val="000000" w:themeColor="text1"/>
          <w:sz w:val="22"/>
          <w:szCs w:val="22"/>
        </w:rPr>
        <w:t xml:space="preserve">. </w:t>
      </w:r>
      <w:r w:rsidR="000B0759" w:rsidRPr="00270060">
        <w:rPr>
          <w:color w:val="000000" w:themeColor="text1"/>
          <w:sz w:val="22"/>
          <w:szCs w:val="22"/>
        </w:rPr>
        <w:t>We did not restrict the search</w:t>
      </w:r>
      <w:r w:rsidR="0001420C" w:rsidRPr="00270060">
        <w:rPr>
          <w:color w:val="000000" w:themeColor="text1"/>
          <w:sz w:val="22"/>
          <w:szCs w:val="22"/>
        </w:rPr>
        <w:t xml:space="preserve"> terms</w:t>
      </w:r>
      <w:r w:rsidR="000B0759" w:rsidRPr="00270060">
        <w:rPr>
          <w:color w:val="000000" w:themeColor="text1"/>
          <w:sz w:val="22"/>
          <w:szCs w:val="22"/>
        </w:rPr>
        <w:t xml:space="preserve"> to a specific definition of BPD; however, the timeline of genome-scale studies results in an indirect emphasis on </w:t>
      </w:r>
      <w:r w:rsidR="00E52999" w:rsidRPr="00270060">
        <w:rPr>
          <w:color w:val="000000" w:themeColor="text1"/>
          <w:sz w:val="22"/>
          <w:szCs w:val="22"/>
        </w:rPr>
        <w:t>more recent BPD definitions</w:t>
      </w:r>
      <w:r w:rsidR="000B0759" w:rsidRPr="00270060">
        <w:rPr>
          <w:color w:val="000000" w:themeColor="text1"/>
          <w:sz w:val="22"/>
          <w:szCs w:val="22"/>
        </w:rPr>
        <w:t xml:space="preserve">. </w:t>
      </w:r>
      <w:r w:rsidRPr="00270060">
        <w:rPr>
          <w:color w:val="000000" w:themeColor="text1"/>
          <w:sz w:val="22"/>
          <w:szCs w:val="22"/>
        </w:rPr>
        <w:t xml:space="preserve">Our search yielded 4450 unique citations that were evaluated for inclusion </w:t>
      </w:r>
      <w:r w:rsidR="006323BF" w:rsidRPr="00270060">
        <w:rPr>
          <w:color w:val="000000" w:themeColor="text1"/>
          <w:sz w:val="22"/>
          <w:szCs w:val="22"/>
        </w:rPr>
        <w:t>(</w:t>
      </w:r>
      <w:r w:rsidRPr="00270060">
        <w:rPr>
          <w:color w:val="000000" w:themeColor="text1"/>
          <w:sz w:val="22"/>
          <w:szCs w:val="22"/>
        </w:rPr>
        <w:t>Supplementary Figures 1 and 2</w:t>
      </w:r>
      <w:r w:rsidR="006323BF" w:rsidRPr="00270060">
        <w:rPr>
          <w:color w:val="000000" w:themeColor="text1"/>
          <w:sz w:val="22"/>
          <w:szCs w:val="22"/>
        </w:rPr>
        <w:t>)</w:t>
      </w:r>
      <w:r w:rsidRPr="00270060">
        <w:rPr>
          <w:color w:val="000000" w:themeColor="text1"/>
          <w:sz w:val="22"/>
          <w:szCs w:val="22"/>
        </w:rPr>
        <w:t xml:space="preserve">. For full text evaluation we retrieved 76 articles for human studies and 118 for </w:t>
      </w:r>
      <w:r w:rsidR="00740014" w:rsidRPr="00270060">
        <w:rPr>
          <w:color w:val="000000" w:themeColor="text1"/>
          <w:sz w:val="22"/>
          <w:szCs w:val="22"/>
        </w:rPr>
        <w:t>mammalian</w:t>
      </w:r>
      <w:r w:rsidRPr="00270060">
        <w:rPr>
          <w:color w:val="000000" w:themeColor="text1"/>
          <w:sz w:val="22"/>
          <w:szCs w:val="22"/>
        </w:rPr>
        <w:t xml:space="preserve"> studies, without overlap. Although </w:t>
      </w:r>
      <w:r w:rsidR="0001420C" w:rsidRPr="00270060">
        <w:rPr>
          <w:color w:val="000000" w:themeColor="text1"/>
          <w:sz w:val="22"/>
          <w:szCs w:val="22"/>
        </w:rPr>
        <w:t>large, non-human mammalian</w:t>
      </w:r>
      <w:r w:rsidRPr="00270060">
        <w:rPr>
          <w:color w:val="000000" w:themeColor="text1"/>
          <w:sz w:val="22"/>
          <w:szCs w:val="22"/>
        </w:rPr>
        <w:t xml:space="preserve"> models are used to explore BPD,</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{"citationID":"1WRFWVRS","properties":{"formattedCitation":"\\super 23,24\\nosupersub{}","plainCitation":"23,24","noteIndex":0},"citationItems":[{"id":2060,"uris":["http://zotero.org/users/14418362/items/4W55XNDV"],"itemData":{"id":2060,"type":"article-journal","abstract":"Background: Large animal models are an essential tool in the development of rationally-based new clinical therapies for preterm infants. We provide a description of the newborn pig as a model of the preterm neonate in terms of growth parameters, physiology and the requirement for intensive care over a range of gestational ages.\nMethods: Twenty-nine litters of piglets (n = 298) were delivered by caesarean section at six timepoints during gestation from 91d to 113d (term = 115d). Two groups, at 91 and 97d gestation, also received maternal glucocorticoid treatment. At four of these timepoints, piglets (n = 79) were ventilated, sedated and monitored using standard neonatal intensive care techniques for up to 8 h in various experimental protocols.\nResults: Body weight increased from mean 697 g (SD 193) at 91d gestation to 1331 g (SD 368) at 113d gestation. Piglets delivered at 97d gestation were able to be resuscitated and kept alive for at least 8 h on respiratory support after surfactant administration. Maternal glucocorticoid treatment 48 h and 24 h hours prior to delivery reduced the requirement for ventilator support and improved cardiovascular stability.\nConclusion: The pig provides a relevant model for the study of human preterm physiology and for investigation of novel therapies to improve outcomes.","container-title":"PLoS ONE","DOI":"10.1371/journal.pone.0068763","ISSN":"1932-6203","issue":"7","journalAbbreviation":"PLoS ONE","language":"en","page":"e68763","source":"DOI.org (Crossref)","title":"A Pig Model of the Preterm Neonate: Anthropometric and Physiological Characteristics","title-short":"A Pig Model of the Preterm Neonate","URL":"https://dx.plos.org/10.1371/journal.pone.0068763","volume":"8","author":[{"family":"Eiby","given":"Yvonne A."},{"family":"Wright","given":"Layne L."},{"family":"Kalanjati","given":"Viskasari P."},{"family":"Miller","given":"Stephanie M."},{"family":"Bjorkman","given":"Stella T."},{"family":"Keates","given":"Helen L."},{"family":"Lumbers","given":"Eugenie R."},{"family":"Colditz","given":"Paul B."},{"family":"Lingwood","given":"Barbara E."}],"editor":[{"family":"Frasch","given":"Martin Gerbert"}],"accessed":{"date-parts":[["2024",11,8]]},"issued":{"date-parts":[["2013",7,9]]}}},{"id":2369,"uris":["http://zotero.org/users/14418362/items/Z287RFGX"],"itemData":{"id":2369,"type":"article-journal","abstract":"Intrauterine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23,24</w:t>
      </w:r>
      <w:r w:rsidRPr="00270060">
        <w:rPr>
          <w:color w:val="000000" w:themeColor="text1"/>
          <w:sz w:val="22"/>
          <w:szCs w:val="22"/>
        </w:rPr>
        <w:fldChar w:fldCharType="end"/>
      </w:r>
      <w:r w:rsidRPr="00270060">
        <w:rPr>
          <w:color w:val="000000" w:themeColor="text1"/>
          <w:sz w:val="22"/>
          <w:szCs w:val="22"/>
          <w:shd w:val="clear" w:color="auto" w:fill="FFFFFF"/>
        </w:rPr>
        <w:fldChar w:fldCharType="begin"/>
      </w:r>
      <w:r w:rsidRPr="00270060">
        <w:rPr>
          <w:color w:val="000000" w:themeColor="text1"/>
          <w:sz w:val="22"/>
          <w:szCs w:val="22"/>
          <w:shd w:val="clear" w:color="auto" w:fill="FFFFFF"/>
        </w:rPr>
        <w:instrText xml:space="preserve"> ADDIN ZOTERO_ITEM CSL_CITATION {"citationID":"ArDnAzo1","properties":{"formattedCitation":"\\super 24\\nosupersub{}","plainCitation":"24","dontUpdate":true,"noteIndex":0},"citationItems":[{"id":2369,"uris":["http://zotero.org/users/14418362/items/Z287RFGX"],"itemData":{"id":2369,"type":"article-journal","abstract":"Intrauterine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Pr="00270060">
        <w:rPr>
          <w:color w:val="000000" w:themeColor="text1"/>
          <w:sz w:val="22"/>
          <w:szCs w:val="22"/>
          <w:shd w:val="clear" w:color="auto" w:fill="FFFFFF"/>
        </w:rPr>
        <w:fldChar w:fldCharType="separate"/>
      </w:r>
      <w:r w:rsidRPr="00270060">
        <w:rPr>
          <w:color w:val="000000" w:themeColor="text1"/>
          <w:sz w:val="22"/>
          <w:szCs w:val="22"/>
          <w:shd w:val="clear" w:color="auto" w:fill="FFFFFF"/>
        </w:rPr>
        <w:fldChar w:fldCharType="end"/>
      </w:r>
      <w:r w:rsidRPr="00270060">
        <w:rPr>
          <w:color w:val="000000" w:themeColor="text1"/>
          <w:sz w:val="22"/>
          <w:szCs w:val="22"/>
        </w:rPr>
        <w:t xml:space="preserve"> we </w:t>
      </w:r>
      <w:r w:rsidR="009122EE" w:rsidRPr="00270060">
        <w:rPr>
          <w:color w:val="000000" w:themeColor="text1"/>
          <w:sz w:val="22"/>
          <w:szCs w:val="22"/>
        </w:rPr>
        <w:t>did not identify any</w:t>
      </w:r>
      <w:r w:rsidRPr="00270060">
        <w:rPr>
          <w:color w:val="000000" w:themeColor="text1"/>
          <w:sz w:val="22"/>
          <w:szCs w:val="22"/>
        </w:rPr>
        <w:t xml:space="preserve"> that met our </w:t>
      </w:r>
      <w:r w:rsidRPr="00270060">
        <w:rPr>
          <w:color w:val="000000" w:themeColor="text1"/>
          <w:sz w:val="22"/>
          <w:szCs w:val="22"/>
        </w:rPr>
        <w:lastRenderedPageBreak/>
        <w:t xml:space="preserve">inclusion criteria (Supplementary Tables 1 and 2) and </w:t>
      </w:r>
      <w:r w:rsidR="00E52999" w:rsidRPr="00270060">
        <w:rPr>
          <w:color w:val="000000" w:themeColor="text1"/>
          <w:sz w:val="22"/>
          <w:szCs w:val="22"/>
        </w:rPr>
        <w:t>further</w:t>
      </w:r>
      <w:r w:rsidRPr="00270060">
        <w:rPr>
          <w:color w:val="000000" w:themeColor="text1"/>
          <w:sz w:val="22"/>
          <w:szCs w:val="22"/>
        </w:rPr>
        <w:t xml:space="preserve"> analysis therefore focused on rodent</w:t>
      </w:r>
      <w:r w:rsidR="00E52999" w:rsidRPr="00270060">
        <w:rPr>
          <w:color w:val="000000" w:themeColor="text1"/>
          <w:sz w:val="22"/>
          <w:szCs w:val="22"/>
        </w:rPr>
        <w:t xml:space="preserve"> models</w:t>
      </w:r>
      <w:r w:rsidR="000B0D01" w:rsidRPr="00270060">
        <w:rPr>
          <w:color w:val="000000" w:themeColor="text1"/>
          <w:sz w:val="22"/>
          <w:szCs w:val="22"/>
        </w:rPr>
        <w:t xml:space="preserve">, </w:t>
      </w:r>
      <w:r w:rsidR="00E52999" w:rsidRPr="00270060">
        <w:rPr>
          <w:color w:val="000000" w:themeColor="text1"/>
          <w:sz w:val="22"/>
          <w:szCs w:val="22"/>
        </w:rPr>
        <w:t>such as</w:t>
      </w:r>
      <w:r w:rsidR="000B0D01" w:rsidRPr="00270060">
        <w:rPr>
          <w:color w:val="000000" w:themeColor="text1"/>
          <w:sz w:val="22"/>
          <w:szCs w:val="22"/>
        </w:rPr>
        <w:t xml:space="preserve"> </w:t>
      </w:r>
      <w:r w:rsidRPr="00270060">
        <w:rPr>
          <w:color w:val="000000" w:themeColor="text1"/>
          <w:sz w:val="22"/>
          <w:szCs w:val="22"/>
        </w:rPr>
        <w:t>mice and rats.</w:t>
      </w:r>
    </w:p>
    <w:p w14:paraId="7D350732" w14:textId="77777777" w:rsidR="00983820" w:rsidRPr="00270060" w:rsidRDefault="00983820" w:rsidP="00172688">
      <w:pPr>
        <w:spacing w:line="480" w:lineRule="auto"/>
        <w:jc w:val="both"/>
        <w:rPr>
          <w:color w:val="000000" w:themeColor="text1"/>
          <w:sz w:val="22"/>
          <w:szCs w:val="22"/>
        </w:rPr>
      </w:pPr>
    </w:p>
    <w:p w14:paraId="668AEF40" w14:textId="34D7B16A" w:rsidR="003C69BD" w:rsidRPr="00270060" w:rsidRDefault="00983820" w:rsidP="00983820">
      <w:pPr>
        <w:spacing w:line="480" w:lineRule="auto"/>
        <w:jc w:val="both"/>
        <w:rPr>
          <w:i/>
          <w:iCs/>
          <w:color w:val="000000" w:themeColor="text1"/>
          <w:sz w:val="22"/>
          <w:szCs w:val="22"/>
        </w:rPr>
      </w:pPr>
      <w:r w:rsidRPr="00270060">
        <w:rPr>
          <w:i/>
          <w:iCs/>
          <w:color w:val="000000" w:themeColor="text1"/>
          <w:sz w:val="22"/>
          <w:szCs w:val="22"/>
        </w:rPr>
        <w:t>Meta-Analysis by Information Content of human studies</w:t>
      </w:r>
    </w:p>
    <w:p w14:paraId="3FCC3EF9" w14:textId="3E5AF6BA" w:rsidR="00D70E15" w:rsidRDefault="00983820" w:rsidP="00D70E15">
      <w:pPr>
        <w:spacing w:line="480" w:lineRule="auto"/>
        <w:jc w:val="both"/>
        <w:rPr>
          <w:color w:val="000000" w:themeColor="text1"/>
          <w:sz w:val="22"/>
          <w:szCs w:val="22"/>
        </w:rPr>
      </w:pPr>
      <w:r w:rsidRPr="00270060">
        <w:rPr>
          <w:color w:val="000000" w:themeColor="text1"/>
          <w:sz w:val="22"/>
          <w:szCs w:val="22"/>
        </w:rPr>
        <w:t xml:space="preserve">From 76 human studies, 21 met our eligibility criteria </w:t>
      </w:r>
      <w:r w:rsidR="006323BF" w:rsidRPr="00270060">
        <w:rPr>
          <w:color w:val="000000" w:themeColor="text1"/>
          <w:sz w:val="22"/>
          <w:szCs w:val="22"/>
        </w:rPr>
        <w:t>(</w:t>
      </w:r>
      <w:r w:rsidRPr="00270060">
        <w:rPr>
          <w:color w:val="000000" w:themeColor="text1"/>
          <w:sz w:val="22"/>
          <w:szCs w:val="22"/>
        </w:rPr>
        <w:t>Supplementary Figure 1, Table 1</w:t>
      </w:r>
      <w:r w:rsidR="006323BF" w:rsidRPr="00270060">
        <w:rPr>
          <w:color w:val="000000" w:themeColor="text1"/>
          <w:sz w:val="22"/>
          <w:szCs w:val="22"/>
        </w:rPr>
        <w:t>)</w:t>
      </w:r>
      <w:r w:rsidR="0065040F" w:rsidRPr="00270060">
        <w:rPr>
          <w:color w:val="000000" w:themeColor="text1"/>
          <w:sz w:val="22"/>
          <w:szCs w:val="22"/>
        </w:rPr>
        <w:t>,</w:t>
      </w:r>
      <w:r w:rsidRPr="00270060">
        <w:rPr>
          <w:color w:val="000000" w:themeColor="text1"/>
          <w:sz w:val="22"/>
          <w:szCs w:val="22"/>
        </w:rPr>
        <w:t xml:space="preserve"> yield</w:t>
      </w:r>
      <w:r w:rsidR="0065040F" w:rsidRPr="00270060">
        <w:rPr>
          <w:color w:val="000000" w:themeColor="text1"/>
          <w:sz w:val="22"/>
          <w:szCs w:val="22"/>
        </w:rPr>
        <w:t>ing</w:t>
      </w:r>
      <w:r w:rsidRPr="00270060">
        <w:rPr>
          <w:color w:val="000000" w:themeColor="text1"/>
          <w:sz w:val="22"/>
          <w:szCs w:val="22"/>
        </w:rPr>
        <w:t xml:space="preserve"> 31 gene lists</w:t>
      </w:r>
      <w:r w:rsidR="0065040F" w:rsidRPr="00270060">
        <w:rPr>
          <w:color w:val="000000" w:themeColor="text1"/>
          <w:sz w:val="22"/>
          <w:szCs w:val="22"/>
        </w:rPr>
        <w:t xml:space="preserve"> (</w:t>
      </w:r>
      <w:r w:rsidRPr="00270060">
        <w:rPr>
          <w:color w:val="000000" w:themeColor="text1"/>
          <w:sz w:val="22"/>
          <w:szCs w:val="22"/>
        </w:rPr>
        <w:t>23 ranked and 8 unranked</w:t>
      </w:r>
      <w:r w:rsidR="0065040F" w:rsidRPr="00270060">
        <w:rPr>
          <w:color w:val="000000" w:themeColor="text1"/>
          <w:sz w:val="22"/>
          <w:szCs w:val="22"/>
        </w:rPr>
        <w:t>)</w:t>
      </w:r>
      <w:r w:rsidRPr="00270060">
        <w:rPr>
          <w:color w:val="000000" w:themeColor="text1"/>
          <w:sz w:val="22"/>
          <w:szCs w:val="22"/>
        </w:rPr>
        <w:t xml:space="preserve"> employing 5 experimental techniques (Supplementary Table 3)</w:t>
      </w:r>
      <w:r w:rsidR="0065040F" w:rsidRPr="00270060">
        <w:rPr>
          <w:color w:val="000000" w:themeColor="text1"/>
          <w:sz w:val="22"/>
          <w:szCs w:val="22"/>
        </w:rPr>
        <w:t>.</w:t>
      </w:r>
      <w:r w:rsidRPr="00270060">
        <w:rPr>
          <w:color w:val="000000" w:themeColor="text1"/>
          <w:sz w:val="22"/>
          <w:szCs w:val="22"/>
        </w:rPr>
        <w:t xml:space="preserve"> The included studies represented 4358 infants (cases = 2247, controls = 2111).  While the definition of BPD varied between studies, over two-thirds of studies, (71.4%, 15/21), used receipt of respiratory support at 36 weeks PMA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{"citationID":"nf5WnUWa","properties":{"formattedCitation":"\\super 3\\nosupersub{}","plainCitation":"3","noteIndex":0},"citationItems":[{"id":539,"uris":["http://zotero.org/users/14418362/items/33JX5C8W"],"itemData":{"id":539,"type":"article-journal","abstract":"Rationale: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3</w:t>
      </w:r>
      <w:r w:rsidRPr="00270060">
        <w:rPr>
          <w:color w:val="000000" w:themeColor="text1"/>
          <w:sz w:val="22"/>
          <w:szCs w:val="22"/>
        </w:rPr>
        <w:fldChar w:fldCharType="end"/>
      </w:r>
      <w:r w:rsidR="003C69BD" w:rsidRPr="00270060">
        <w:rPr>
          <w:color w:val="000000" w:themeColor="text1"/>
          <w:sz w:val="22"/>
          <w:szCs w:val="22"/>
        </w:rPr>
        <w:t xml:space="preserve"> (Table 1)</w:t>
      </w:r>
      <w:r w:rsidRPr="00270060">
        <w:rPr>
          <w:color w:val="000000" w:themeColor="text1"/>
          <w:sz w:val="22"/>
          <w:szCs w:val="22"/>
        </w:rPr>
        <w:t xml:space="preserve">. All but a single study used primary tissue or blood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{"citationID":"jbe8tl7m","properties":{"formattedCitation":"\\super 25\\nosupersub{}","plainCitation":"25","noteIndex":0},"citationItems":[{"id":1340,"uris":["http://zotero.org/users/14418362/items/BBHEMRU7"],"itemData":{"id":1340,"type":"article-journal","abstract":"INTRODUCTION: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25</w:t>
      </w:r>
      <w:r w:rsidRPr="00270060">
        <w:rPr>
          <w:color w:val="000000" w:themeColor="text1"/>
          <w:sz w:val="22"/>
          <w:szCs w:val="22"/>
        </w:rPr>
        <w:fldChar w:fldCharType="end"/>
      </w:r>
      <w:r w:rsidRPr="00270060">
        <w:rPr>
          <w:color w:val="000000" w:themeColor="text1"/>
          <w:sz w:val="22"/>
          <w:szCs w:val="22"/>
        </w:rPr>
        <w:t xml:space="preserve">. MAIC collated and ranked 8017 unique genes across the datasets </w:t>
      </w:r>
      <w:r w:rsidR="006323BF" w:rsidRPr="00270060">
        <w:rPr>
          <w:color w:val="000000" w:themeColor="text1"/>
          <w:sz w:val="22"/>
          <w:szCs w:val="22"/>
        </w:rPr>
        <w:t>(</w:t>
      </w:r>
      <w:r w:rsidRPr="00270060">
        <w:rPr>
          <w:color w:val="000000" w:themeColor="text1"/>
          <w:sz w:val="22"/>
          <w:szCs w:val="22"/>
        </w:rPr>
        <w:t>Suppl</w:t>
      </w:r>
      <w:r w:rsidR="00C27FBC" w:rsidRPr="00270060">
        <w:rPr>
          <w:color w:val="000000" w:themeColor="text1"/>
          <w:sz w:val="22"/>
          <w:szCs w:val="22"/>
        </w:rPr>
        <w:t>e</w:t>
      </w:r>
      <w:r w:rsidRPr="00270060">
        <w:rPr>
          <w:color w:val="000000" w:themeColor="text1"/>
          <w:sz w:val="22"/>
          <w:szCs w:val="22"/>
        </w:rPr>
        <w:t>mentary Table 4</w:t>
      </w:r>
      <w:r w:rsidR="006323BF" w:rsidRPr="00270060">
        <w:rPr>
          <w:color w:val="000000" w:themeColor="text1"/>
          <w:sz w:val="22"/>
          <w:szCs w:val="22"/>
        </w:rPr>
        <w:t>)</w:t>
      </w:r>
      <w:r w:rsidRPr="00270060">
        <w:rPr>
          <w:color w:val="000000" w:themeColor="text1"/>
          <w:sz w:val="22"/>
          <w:szCs w:val="22"/>
        </w:rPr>
        <w:t>,</w:t>
      </w:r>
      <w:r w:rsidR="003C69BD" w:rsidRPr="00270060">
        <w:rPr>
          <w:color w:val="000000" w:themeColor="text1"/>
          <w:sz w:val="22"/>
          <w:szCs w:val="22"/>
        </w:rPr>
        <w:t xml:space="preserve"> and the top </w:t>
      </w:r>
      <w:r w:rsidR="006323BF" w:rsidRPr="00270060">
        <w:rPr>
          <w:color w:val="000000" w:themeColor="text1"/>
          <w:sz w:val="22"/>
          <w:szCs w:val="22"/>
        </w:rPr>
        <w:t>25</w:t>
      </w:r>
      <w:r w:rsidR="003C69BD" w:rsidRPr="00270060">
        <w:rPr>
          <w:color w:val="000000" w:themeColor="text1"/>
          <w:sz w:val="22"/>
          <w:szCs w:val="22"/>
        </w:rPr>
        <w:t xml:space="preserve"> are shown here</w:t>
      </w:r>
      <w:r w:rsidRPr="00270060">
        <w:rPr>
          <w:color w:val="000000" w:themeColor="text1"/>
          <w:sz w:val="22"/>
          <w:szCs w:val="22"/>
        </w:rPr>
        <w:t xml:space="preserve"> </w:t>
      </w:r>
      <w:r w:rsidR="006323BF" w:rsidRPr="00270060">
        <w:rPr>
          <w:color w:val="000000" w:themeColor="text1"/>
          <w:sz w:val="22"/>
          <w:szCs w:val="22"/>
        </w:rPr>
        <w:t>(</w:t>
      </w:r>
      <w:r w:rsidRPr="00270060">
        <w:rPr>
          <w:color w:val="000000" w:themeColor="text1"/>
          <w:sz w:val="22"/>
          <w:szCs w:val="22"/>
        </w:rPr>
        <w:t>Figure1A</w:t>
      </w:r>
      <w:r w:rsidR="000E3E04" w:rsidRPr="00270060">
        <w:rPr>
          <w:color w:val="000000" w:themeColor="text1"/>
          <w:sz w:val="22"/>
          <w:szCs w:val="22"/>
        </w:rPr>
        <w:t>; T</w:t>
      </w:r>
      <w:r w:rsidR="006323BF" w:rsidRPr="00270060">
        <w:rPr>
          <w:color w:val="000000" w:themeColor="text1"/>
          <w:sz w:val="22"/>
          <w:szCs w:val="22"/>
        </w:rPr>
        <w:t xml:space="preserve">op 100 in Supplementary </w:t>
      </w:r>
      <w:r w:rsidR="000E3E04" w:rsidRPr="00270060">
        <w:rPr>
          <w:color w:val="000000" w:themeColor="text1"/>
          <w:sz w:val="22"/>
          <w:szCs w:val="22"/>
        </w:rPr>
        <w:t>F</w:t>
      </w:r>
      <w:r w:rsidR="006323BF" w:rsidRPr="00270060">
        <w:rPr>
          <w:color w:val="000000" w:themeColor="text1"/>
          <w:sz w:val="22"/>
          <w:szCs w:val="22"/>
        </w:rPr>
        <w:t>igure 3A)</w:t>
      </w:r>
      <w:r w:rsidR="003C69BD" w:rsidRPr="00270060">
        <w:rPr>
          <w:color w:val="000000" w:themeColor="text1"/>
          <w:sz w:val="22"/>
          <w:szCs w:val="22"/>
        </w:rPr>
        <w:t>. A</w:t>
      </w:r>
      <w:r w:rsidRPr="00270060">
        <w:rPr>
          <w:color w:val="000000" w:themeColor="text1"/>
          <w:sz w:val="22"/>
          <w:szCs w:val="22"/>
        </w:rPr>
        <w:t xml:space="preserve"> single gene was supported by evidence from </w:t>
      </w:r>
      <w:r w:rsidR="007917FC" w:rsidRPr="00270060">
        <w:rPr>
          <w:color w:val="000000" w:themeColor="text1"/>
          <w:sz w:val="22"/>
          <w:szCs w:val="22"/>
        </w:rPr>
        <w:t>4</w:t>
      </w:r>
      <w:r w:rsidRPr="00270060">
        <w:rPr>
          <w:color w:val="000000" w:themeColor="text1"/>
          <w:sz w:val="22"/>
          <w:szCs w:val="22"/>
        </w:rPr>
        <w:t xml:space="preserve"> experimental techniques (</w:t>
      </w:r>
      <w:r w:rsidRPr="00270060">
        <w:rPr>
          <w:i/>
          <w:iCs/>
          <w:color w:val="000000" w:themeColor="text1"/>
          <w:sz w:val="22"/>
          <w:szCs w:val="22"/>
        </w:rPr>
        <w:t>RASGRP3</w:t>
      </w:r>
      <w:r w:rsidRPr="00270060">
        <w:rPr>
          <w:color w:val="000000" w:themeColor="text1"/>
          <w:sz w:val="22"/>
          <w:szCs w:val="22"/>
        </w:rPr>
        <w:t>, rank = 1). Few genes (n = 53 genes, 0.6%) were supported by &gt;=3 methods while 745 genes (9.74%) were supported by more than 1 method.</w:t>
      </w:r>
      <w:r w:rsidR="003C69BD" w:rsidRPr="00270060">
        <w:rPr>
          <w:color w:val="000000" w:themeColor="text1"/>
          <w:sz w:val="22"/>
          <w:szCs w:val="22"/>
        </w:rPr>
        <w:t xml:space="preserve"> In the top 10 ranked genes we observe</w:t>
      </w:r>
      <w:r w:rsidRPr="00270060">
        <w:rPr>
          <w:color w:val="000000" w:themeColor="text1"/>
          <w:sz w:val="22"/>
          <w:szCs w:val="22"/>
        </w:rPr>
        <w:t xml:space="preserve"> immune regulation (</w:t>
      </w:r>
      <w:r w:rsidRPr="00270060">
        <w:rPr>
          <w:i/>
          <w:iCs/>
          <w:color w:val="000000" w:themeColor="text1"/>
          <w:sz w:val="22"/>
          <w:szCs w:val="22"/>
        </w:rPr>
        <w:t>RASGRP3, CD2, GPA33</w:t>
      </w:r>
      <w:r w:rsidRPr="00270060">
        <w:rPr>
          <w:color w:val="000000" w:themeColor="text1"/>
          <w:sz w:val="22"/>
          <w:szCs w:val="22"/>
        </w:rPr>
        <w:t xml:space="preserve">, </w:t>
      </w:r>
      <w:r w:rsidRPr="00270060">
        <w:rPr>
          <w:i/>
          <w:iCs/>
          <w:color w:val="000000" w:themeColor="text1"/>
          <w:sz w:val="22"/>
          <w:szCs w:val="22"/>
        </w:rPr>
        <w:t xml:space="preserve">IL1R2, CD177) </w:t>
      </w:r>
      <w:r w:rsidRPr="00270060">
        <w:rPr>
          <w:color w:val="000000" w:themeColor="text1"/>
          <w:sz w:val="22"/>
          <w:szCs w:val="22"/>
        </w:rPr>
        <w:t>and extracellular structure</w:t>
      </w:r>
      <w:r w:rsidRPr="00270060">
        <w:rPr>
          <w:i/>
          <w:iCs/>
          <w:color w:val="000000" w:themeColor="text1"/>
          <w:sz w:val="22"/>
          <w:szCs w:val="22"/>
        </w:rPr>
        <w:t xml:space="preserve"> (CHIT1,</w:t>
      </w:r>
      <w:r w:rsidR="003C69BD" w:rsidRPr="00270060">
        <w:rPr>
          <w:i/>
          <w:iCs/>
          <w:color w:val="000000" w:themeColor="text1"/>
          <w:sz w:val="22"/>
          <w:szCs w:val="22"/>
        </w:rPr>
        <w:t xml:space="preserve"> </w:t>
      </w:r>
      <w:r w:rsidRPr="00270060">
        <w:rPr>
          <w:i/>
          <w:iCs/>
          <w:color w:val="000000" w:themeColor="text1"/>
          <w:sz w:val="22"/>
          <w:szCs w:val="22"/>
        </w:rPr>
        <w:t>RCAN3, LRRN3, FBN1)</w:t>
      </w:r>
      <w:r w:rsidRPr="00270060">
        <w:rPr>
          <w:color w:val="000000" w:themeColor="text1"/>
          <w:sz w:val="22"/>
          <w:szCs w:val="22"/>
        </w:rPr>
        <w:t>. Additionally, a subunit of foetal haemoglobin,</w:t>
      </w:r>
      <w:r w:rsidRPr="00270060">
        <w:rPr>
          <w:i/>
          <w:iCs/>
          <w:color w:val="000000" w:themeColor="text1"/>
          <w:sz w:val="22"/>
          <w:szCs w:val="22"/>
        </w:rPr>
        <w:t xml:space="preserve"> HGB1,</w:t>
      </w:r>
      <w:r w:rsidRPr="00270060">
        <w:rPr>
          <w:color w:val="000000" w:themeColor="text1"/>
          <w:sz w:val="22"/>
          <w:szCs w:val="22"/>
        </w:rPr>
        <w:t xml:space="preserve"> features. </w:t>
      </w:r>
      <w:r w:rsidR="00D70E15" w:rsidRPr="00270060">
        <w:rPr>
          <w:color w:val="000000" w:themeColor="text1"/>
          <w:sz w:val="22"/>
          <w:szCs w:val="22"/>
        </w:rPr>
        <w:t xml:space="preserve">Cell type–specific enrichment analysis indicates that the gene rankings are most strongly driven by cells of the lymphoid lineage </w:t>
      </w:r>
      <w:r w:rsidR="00D70E15" w:rsidRPr="00270060">
        <w:rPr>
          <w:color w:val="000000" w:themeColor="text1"/>
          <w:sz w:val="22"/>
          <w:szCs w:val="22"/>
        </w:rPr>
        <w:fldChar w:fldCharType="begin"/>
      </w:r>
      <w:r w:rsidR="00D70E15" w:rsidRPr="00270060">
        <w:rPr>
          <w:color w:val="000000" w:themeColor="text1"/>
          <w:sz w:val="22"/>
          <w:szCs w:val="22"/>
        </w:rPr>
        <w:instrText xml:space="preserve"> ADDIN ZOTERO_ITEM CSL_CITATION {"citationID":"qycrGrlJ","properties":{"formattedCitation":"\\super 27\\nosupersub{}","plainCitation":"27","noteIndex":0},"citationItems":[{"id":2494,"uris":["http://zotero.org/users/14418362/items/UR9I3N8T"],"itemData":{"id":2494,"type":"article-journal","abstract":"Abstract\n            Human complex traits and common diseases show tissue- and cell-type- specificity. Recently, single-cell RNA sequencing (scRNA-seq) technology has successfully depicted cellular heterogeneity in human tissue, providing an unprecedented opportunity to understand the context-specific expression of complex trait-associated genes in human tissue-cell types (TCs). Here, we present the first web-based application to quickly assess the cell-type-specificity of genes, named Web-based Cell-type Specific Enrichment Analysis of Genes (WebCSEA, available at https://bioinfo.uth.edu/webcsea/). Specifically, we curated a total of 111 scRNA-seq panels of human tissues and 1,355 TCs from 61 different general tissues across 11 human organ systems. We adapted our previous decoding tissue-specificity (deTS) algorithm to measure the enrichment for each tissue-cell type (TC). To overcome the potential bias from the number of signature genes between different TCs, we further developed a permutation-based method that accurately estimates the TC-specificity of a given inquiry gene list. WebCSEA also provides an interactive heatmap that displays the cell-type specificity across 1355 human TCs, and other interactive and static visualizations of cell-type specificity by human organ system, developmental stage, and top-ranked tissues and cell types. In short, WebCSEA is a one-click application that provides a comprehensive exploration of the TC-specificity of genes among human major TC map.","container-title":"Nucleic Acids Research","DOI":"10.1093/nar/gkac392","ISSN":"0305-1048, 1362-4962","issue":"W1","language":"en","license":"https://creativecommons.org/licenses/by/4.0/","page":"W782-W790","source":"DOI.org (Crossref)","title":"WebCSEA: web-based cell-type-specific enrichment analysis of genes","title-short":"WebCSEA","URL":"https://academic.oup.com/nar/article/50/W1/W782/6591520","volume":"50","author":[{"family":"Dai","given":"Yulin"},{"family":"Hu","given":"Ruifeng"},{"family":"Liu","given":"Andi"},{"family":"Cho","given":"Kyung Serk"},{"family":"Manuel","given":"Astrid Marilyn"},{"family":"Li","given":"Xiaoyang"},{"family":"Dong","given":"Xianjun"},{"family":"Jia","given":"Peilin"},{"family":"Zhao","given":"Zhongming"}],"accessed":{"date-parts":[["2025",9,2]]},"issued":{"date-parts":[["2022",7,5]]}}}],"schema":"https://github.com/citation-style-language/schema/raw/master/csl-citation.json"} </w:instrText>
      </w:r>
      <w:r w:rsidR="00D70E15" w:rsidRPr="00270060">
        <w:rPr>
          <w:color w:val="000000" w:themeColor="text1"/>
          <w:sz w:val="22"/>
          <w:szCs w:val="22"/>
        </w:rPr>
        <w:fldChar w:fldCharType="separate"/>
      </w:r>
      <w:r w:rsidR="00D70E15" w:rsidRPr="00270060">
        <w:rPr>
          <w:rFonts w:ascii="Aptos" w:cs="Times New Roman"/>
          <w:color w:val="000000"/>
          <w:sz w:val="22"/>
          <w:vertAlign w:val="superscript"/>
        </w:rPr>
        <w:t>27</w:t>
      </w:r>
      <w:r w:rsidR="00D70E15" w:rsidRPr="00270060">
        <w:rPr>
          <w:color w:val="000000" w:themeColor="text1"/>
          <w:sz w:val="22"/>
          <w:szCs w:val="22"/>
        </w:rPr>
        <w:fldChar w:fldCharType="end"/>
      </w:r>
      <w:r w:rsidR="00D70E15" w:rsidRPr="00270060">
        <w:rPr>
          <w:color w:val="000000" w:themeColor="text1"/>
          <w:sz w:val="22"/>
          <w:szCs w:val="22"/>
        </w:rPr>
        <w:t xml:space="preserve"> (Supplementary </w:t>
      </w:r>
      <w:r w:rsidR="00004CBA" w:rsidRPr="00270060">
        <w:rPr>
          <w:color w:val="000000" w:themeColor="text1"/>
          <w:sz w:val="22"/>
          <w:szCs w:val="22"/>
        </w:rPr>
        <w:t>F</w:t>
      </w:r>
      <w:r w:rsidR="00D70E15" w:rsidRPr="00270060">
        <w:rPr>
          <w:color w:val="000000" w:themeColor="text1"/>
          <w:sz w:val="22"/>
          <w:szCs w:val="22"/>
        </w:rPr>
        <w:t xml:space="preserve">igure </w:t>
      </w:r>
      <w:r w:rsidR="00004CBA" w:rsidRPr="00270060">
        <w:rPr>
          <w:color w:val="000000" w:themeColor="text1"/>
          <w:sz w:val="22"/>
          <w:szCs w:val="22"/>
        </w:rPr>
        <w:t>4</w:t>
      </w:r>
      <w:r w:rsidR="00D70E15" w:rsidRPr="00270060">
        <w:rPr>
          <w:color w:val="000000" w:themeColor="text1"/>
          <w:sz w:val="22"/>
          <w:szCs w:val="22"/>
        </w:rPr>
        <w:t>).</w:t>
      </w:r>
    </w:p>
    <w:p w14:paraId="32832489" w14:textId="77777777" w:rsidR="00810B44" w:rsidRPr="00270060" w:rsidRDefault="00810B44" w:rsidP="00D70E15">
      <w:pPr>
        <w:spacing w:line="480" w:lineRule="auto"/>
        <w:jc w:val="both"/>
        <w:rPr>
          <w:color w:val="000000" w:themeColor="text1"/>
          <w:sz w:val="22"/>
          <w:szCs w:val="22"/>
        </w:rPr>
      </w:pPr>
    </w:p>
    <w:p w14:paraId="16725CA1" w14:textId="7D18B86B" w:rsidR="005D240B" w:rsidRPr="00270060" w:rsidRDefault="006323BF" w:rsidP="00172688">
      <w:pPr>
        <w:spacing w:line="480" w:lineRule="auto"/>
        <w:jc w:val="both"/>
        <w:rPr>
          <w:i/>
          <w:iCs/>
          <w:color w:val="000000" w:themeColor="text1"/>
          <w:sz w:val="22"/>
          <w:szCs w:val="22"/>
        </w:rPr>
      </w:pPr>
      <w:r w:rsidRPr="00270060">
        <w:rPr>
          <w:i/>
          <w:iCs/>
          <w:color w:val="000000" w:themeColor="text1"/>
          <w:sz w:val="22"/>
          <w:szCs w:val="22"/>
        </w:rPr>
        <w:t>E</w:t>
      </w:r>
      <w:r w:rsidR="005D240B" w:rsidRPr="00270060">
        <w:rPr>
          <w:i/>
          <w:iCs/>
          <w:color w:val="000000" w:themeColor="text1"/>
          <w:sz w:val="22"/>
          <w:szCs w:val="22"/>
        </w:rPr>
        <w:t>nrichment analyses</w:t>
      </w:r>
    </w:p>
    <w:p w14:paraId="67070585" w14:textId="34919E08" w:rsidR="006323BF" w:rsidRDefault="006323BF" w:rsidP="00172688">
      <w:pPr>
        <w:spacing w:line="480" w:lineRule="auto"/>
        <w:jc w:val="both"/>
        <w:rPr>
          <w:color w:val="000000" w:themeColor="text1"/>
          <w:sz w:val="22"/>
          <w:szCs w:val="22"/>
        </w:rPr>
      </w:pPr>
      <w:r w:rsidRPr="00270060">
        <w:rPr>
          <w:color w:val="000000" w:themeColor="text1"/>
          <w:sz w:val="22"/>
          <w:szCs w:val="22"/>
        </w:rPr>
        <w:t xml:space="preserve">Multiple aspects of </w:t>
      </w:r>
      <w:r w:rsidR="005D240B" w:rsidRPr="00270060">
        <w:rPr>
          <w:color w:val="000000" w:themeColor="text1"/>
          <w:sz w:val="22"/>
          <w:szCs w:val="22"/>
        </w:rPr>
        <w:t xml:space="preserve">T cell </w:t>
      </w:r>
      <w:r w:rsidR="00294D94" w:rsidRPr="00270060">
        <w:rPr>
          <w:color w:val="000000" w:themeColor="text1"/>
          <w:sz w:val="22"/>
          <w:szCs w:val="22"/>
        </w:rPr>
        <w:t xml:space="preserve">activation </w:t>
      </w:r>
      <w:r w:rsidRPr="00270060">
        <w:rPr>
          <w:color w:val="000000" w:themeColor="text1"/>
          <w:sz w:val="22"/>
          <w:szCs w:val="22"/>
        </w:rPr>
        <w:t>were</w:t>
      </w:r>
      <w:r w:rsidR="005D240B" w:rsidRPr="00270060">
        <w:rPr>
          <w:color w:val="000000" w:themeColor="text1"/>
          <w:sz w:val="22"/>
          <w:szCs w:val="22"/>
        </w:rPr>
        <w:t xml:space="preserve"> highlighted </w:t>
      </w:r>
      <w:r w:rsidRPr="00270060">
        <w:rPr>
          <w:color w:val="000000" w:themeColor="text1"/>
          <w:sz w:val="22"/>
          <w:szCs w:val="22"/>
        </w:rPr>
        <w:t>by</w:t>
      </w:r>
      <w:r w:rsidR="005D240B" w:rsidRPr="00270060">
        <w:rPr>
          <w:color w:val="000000" w:themeColor="text1"/>
          <w:sz w:val="22"/>
          <w:szCs w:val="22"/>
        </w:rPr>
        <w:t xml:space="preserve"> gene set enrichment analysis (GSEA) of the </w:t>
      </w:r>
      <w:r w:rsidR="005036A4" w:rsidRPr="00270060">
        <w:rPr>
          <w:color w:val="000000" w:themeColor="text1"/>
          <w:sz w:val="22"/>
          <w:szCs w:val="22"/>
        </w:rPr>
        <w:t>gene set</w:t>
      </w:r>
      <w:r w:rsidR="005D240B" w:rsidRPr="00270060">
        <w:rPr>
          <w:color w:val="000000" w:themeColor="text1"/>
          <w:sz w:val="22"/>
          <w:szCs w:val="22"/>
        </w:rPr>
        <w:t xml:space="preserve"> </w:t>
      </w:r>
      <w:r w:rsidR="00996442" w:rsidRPr="00270060">
        <w:rPr>
          <w:color w:val="000000" w:themeColor="text1"/>
          <w:sz w:val="22"/>
          <w:szCs w:val="22"/>
        </w:rPr>
        <w:t xml:space="preserve">using the </w:t>
      </w:r>
      <w:proofErr w:type="spellStart"/>
      <w:r w:rsidR="00996442" w:rsidRPr="00270060">
        <w:rPr>
          <w:color w:val="000000" w:themeColor="text1"/>
          <w:sz w:val="22"/>
          <w:szCs w:val="22"/>
        </w:rPr>
        <w:t>Reactome</w:t>
      </w:r>
      <w:proofErr w:type="spellEnd"/>
      <w:r w:rsidR="00996442" w:rsidRPr="00270060">
        <w:rPr>
          <w:color w:val="000000" w:themeColor="text1"/>
          <w:sz w:val="22"/>
          <w:szCs w:val="22"/>
        </w:rPr>
        <w:t xml:space="preserve"> database (Figure 1B). These</w:t>
      </w:r>
      <w:r w:rsidRPr="00270060">
        <w:rPr>
          <w:color w:val="000000" w:themeColor="text1"/>
          <w:sz w:val="22"/>
          <w:szCs w:val="22"/>
        </w:rPr>
        <w:t xml:space="preserve"> </w:t>
      </w:r>
      <w:r w:rsidR="00996442" w:rsidRPr="00270060">
        <w:rPr>
          <w:color w:val="000000" w:themeColor="text1"/>
          <w:sz w:val="22"/>
          <w:szCs w:val="22"/>
        </w:rPr>
        <w:t>were seen</w:t>
      </w:r>
      <w:r w:rsidRPr="00270060">
        <w:rPr>
          <w:color w:val="000000" w:themeColor="text1"/>
          <w:sz w:val="22"/>
          <w:szCs w:val="22"/>
        </w:rPr>
        <w:t xml:space="preserve"> alongside signals from various aspects of immunity</w:t>
      </w:r>
      <w:r w:rsidR="00996442" w:rsidRPr="00270060">
        <w:rPr>
          <w:color w:val="000000" w:themeColor="text1"/>
          <w:sz w:val="22"/>
          <w:szCs w:val="22"/>
        </w:rPr>
        <w:t xml:space="preserve"> and supported by searches of other databases (</w:t>
      </w:r>
      <w:r w:rsidR="002F7479" w:rsidRPr="00270060">
        <w:rPr>
          <w:color w:val="000000" w:themeColor="text1"/>
          <w:sz w:val="22"/>
          <w:szCs w:val="22"/>
        </w:rPr>
        <w:t>See Supplementary materials</w:t>
      </w:r>
      <w:r w:rsidR="00996442" w:rsidRPr="00270060">
        <w:rPr>
          <w:color w:val="000000" w:themeColor="text1"/>
          <w:sz w:val="22"/>
          <w:szCs w:val="22"/>
        </w:rPr>
        <w:t>)</w:t>
      </w:r>
      <w:r w:rsidRPr="00270060">
        <w:rPr>
          <w:color w:val="000000" w:themeColor="text1"/>
          <w:sz w:val="22"/>
          <w:szCs w:val="22"/>
        </w:rPr>
        <w:t>.</w:t>
      </w:r>
      <w:r w:rsidR="00294D94" w:rsidRPr="00270060">
        <w:rPr>
          <w:color w:val="000000" w:themeColor="text1"/>
          <w:sz w:val="22"/>
          <w:szCs w:val="22"/>
        </w:rPr>
        <w:t xml:space="preserve"> </w:t>
      </w:r>
      <w:r w:rsidRPr="00270060">
        <w:rPr>
          <w:color w:val="000000" w:themeColor="text1"/>
          <w:sz w:val="22"/>
          <w:szCs w:val="22"/>
        </w:rPr>
        <w:t>The signal was primarily driven by a core set of 23 genes (Supplementa</w:t>
      </w:r>
      <w:r w:rsidR="00004CBA" w:rsidRPr="00270060">
        <w:rPr>
          <w:color w:val="000000" w:themeColor="text1"/>
          <w:sz w:val="22"/>
          <w:szCs w:val="22"/>
        </w:rPr>
        <w:t>ry</w:t>
      </w:r>
      <w:r w:rsidRPr="00270060">
        <w:rPr>
          <w:color w:val="000000" w:themeColor="text1"/>
          <w:sz w:val="22"/>
          <w:szCs w:val="22"/>
        </w:rPr>
        <w:t xml:space="preserve"> Figure 3</w:t>
      </w:r>
      <w:r w:rsidR="00004CBA" w:rsidRPr="00270060">
        <w:rPr>
          <w:color w:val="000000" w:themeColor="text1"/>
          <w:sz w:val="22"/>
          <w:szCs w:val="22"/>
        </w:rPr>
        <w:t>C</w:t>
      </w:r>
      <w:r w:rsidRPr="00270060">
        <w:rPr>
          <w:color w:val="000000" w:themeColor="text1"/>
          <w:sz w:val="22"/>
          <w:szCs w:val="22"/>
        </w:rPr>
        <w:t>), which the Markov Cluster Algorithm (MCL) partitioned into two distinct modules</w:t>
      </w:r>
      <w:r w:rsidR="00996442" w:rsidRPr="00270060">
        <w:rPr>
          <w:color w:val="000000" w:themeColor="text1"/>
          <w:sz w:val="22"/>
          <w:szCs w:val="22"/>
        </w:rPr>
        <w:t xml:space="preserve"> (Figure 1C)</w:t>
      </w:r>
      <w:r w:rsidRPr="00270060">
        <w:rPr>
          <w:color w:val="000000" w:themeColor="text1"/>
          <w:sz w:val="22"/>
          <w:szCs w:val="22"/>
        </w:rPr>
        <w:t>: one</w:t>
      </w:r>
      <w:r w:rsidR="007A50A0" w:rsidRPr="00270060">
        <w:rPr>
          <w:color w:val="000000" w:themeColor="text1"/>
          <w:sz w:val="22"/>
          <w:szCs w:val="22"/>
        </w:rPr>
        <w:t xml:space="preserve"> </w:t>
      </w:r>
      <w:r w:rsidRPr="00270060">
        <w:rPr>
          <w:color w:val="000000" w:themeColor="text1"/>
          <w:sz w:val="22"/>
          <w:szCs w:val="22"/>
        </w:rPr>
        <w:t>linked to carbohydrate digestion and absorption</w:t>
      </w:r>
      <w:r w:rsidR="007A50A0" w:rsidRPr="00270060">
        <w:rPr>
          <w:color w:val="000000" w:themeColor="text1"/>
          <w:sz w:val="22"/>
          <w:szCs w:val="22"/>
        </w:rPr>
        <w:t xml:space="preserve"> and a second associated with CD3 and TCR </w:t>
      </w:r>
      <w:r w:rsidR="007A50A0" w:rsidRPr="00270060">
        <w:rPr>
          <w:color w:val="000000" w:themeColor="text1"/>
          <w:sz w:val="22"/>
          <w:szCs w:val="22"/>
        </w:rPr>
        <w:lastRenderedPageBreak/>
        <w:t>zeta-chain phosphorylation</w:t>
      </w:r>
      <w:r w:rsidRPr="00270060">
        <w:rPr>
          <w:color w:val="000000" w:themeColor="text1"/>
          <w:sz w:val="22"/>
          <w:szCs w:val="22"/>
        </w:rPr>
        <w:t xml:space="preserve">. The </w:t>
      </w:r>
      <w:r w:rsidR="007A50A0" w:rsidRPr="00270060">
        <w:rPr>
          <w:color w:val="000000" w:themeColor="text1"/>
          <w:sz w:val="22"/>
          <w:szCs w:val="22"/>
        </w:rPr>
        <w:t>latt</w:t>
      </w:r>
      <w:r w:rsidR="001315ED" w:rsidRPr="00270060">
        <w:rPr>
          <w:color w:val="000000" w:themeColor="text1"/>
          <w:sz w:val="22"/>
          <w:szCs w:val="22"/>
        </w:rPr>
        <w:t>e</w:t>
      </w:r>
      <w:r w:rsidR="007A50A0" w:rsidRPr="00270060">
        <w:rPr>
          <w:color w:val="000000" w:themeColor="text1"/>
          <w:sz w:val="22"/>
          <w:szCs w:val="22"/>
        </w:rPr>
        <w:t>r</w:t>
      </w:r>
      <w:r w:rsidRPr="00270060">
        <w:rPr>
          <w:color w:val="000000" w:themeColor="text1"/>
          <w:sz w:val="22"/>
          <w:szCs w:val="22"/>
        </w:rPr>
        <w:t xml:space="preserve"> constituted the substantially larger module, encompassing multiple T</w:t>
      </w:r>
      <w:r w:rsidR="001315ED" w:rsidRPr="00270060">
        <w:rPr>
          <w:color w:val="000000" w:themeColor="text1"/>
          <w:sz w:val="22"/>
          <w:szCs w:val="22"/>
        </w:rPr>
        <w:t xml:space="preserve"> </w:t>
      </w:r>
      <w:r w:rsidRPr="00270060">
        <w:rPr>
          <w:color w:val="000000" w:themeColor="text1"/>
          <w:sz w:val="22"/>
          <w:szCs w:val="22"/>
        </w:rPr>
        <w:t>cell receptor components as well as several elements of the HLA complex.</w:t>
      </w:r>
    </w:p>
    <w:p w14:paraId="32EA8F64" w14:textId="77777777" w:rsidR="00810B44" w:rsidRPr="00270060" w:rsidRDefault="00810B44" w:rsidP="00172688">
      <w:pPr>
        <w:spacing w:line="480" w:lineRule="auto"/>
        <w:jc w:val="both"/>
        <w:rPr>
          <w:color w:val="000000" w:themeColor="text1"/>
          <w:sz w:val="22"/>
          <w:szCs w:val="22"/>
        </w:rPr>
      </w:pPr>
    </w:p>
    <w:p w14:paraId="0E51E759" w14:textId="10BAA775" w:rsidR="00CA6CE5" w:rsidRPr="00270060" w:rsidRDefault="00CA6CE5" w:rsidP="00172688">
      <w:pPr>
        <w:spacing w:line="480" w:lineRule="auto"/>
        <w:jc w:val="both"/>
        <w:rPr>
          <w:color w:val="000000" w:themeColor="text1"/>
          <w:sz w:val="22"/>
          <w:szCs w:val="22"/>
        </w:rPr>
      </w:pPr>
      <w:r w:rsidRPr="00270060">
        <w:rPr>
          <w:color w:val="000000" w:themeColor="text1"/>
          <w:sz w:val="22"/>
          <w:szCs w:val="22"/>
        </w:rPr>
        <w:t xml:space="preserve">We prioritised 945 genes for further investigation </w:t>
      </w:r>
      <w:r w:rsidR="006323BF" w:rsidRPr="00270060">
        <w:rPr>
          <w:color w:val="000000" w:themeColor="text1"/>
          <w:sz w:val="22"/>
          <w:szCs w:val="22"/>
        </w:rPr>
        <w:t>(</w:t>
      </w:r>
      <w:r w:rsidRPr="00270060">
        <w:rPr>
          <w:color w:val="000000" w:themeColor="text1"/>
          <w:sz w:val="22"/>
          <w:szCs w:val="22"/>
        </w:rPr>
        <w:t>Supplementary Figure 3</w:t>
      </w:r>
      <w:r w:rsidR="00004CBA" w:rsidRPr="00270060">
        <w:rPr>
          <w:color w:val="000000" w:themeColor="text1"/>
          <w:sz w:val="22"/>
          <w:szCs w:val="22"/>
        </w:rPr>
        <w:t>D</w:t>
      </w:r>
      <w:r w:rsidR="006323BF" w:rsidRPr="00270060">
        <w:rPr>
          <w:color w:val="000000" w:themeColor="text1"/>
          <w:sz w:val="22"/>
          <w:szCs w:val="22"/>
        </w:rPr>
        <w:t>)</w:t>
      </w:r>
      <w:r w:rsidRPr="00270060">
        <w:rPr>
          <w:color w:val="000000" w:themeColor="text1"/>
          <w:sz w:val="22"/>
          <w:szCs w:val="22"/>
        </w:rPr>
        <w:t xml:space="preserve">, as previously described </w:t>
      </w:r>
      <w:r w:rsidRPr="00270060">
        <w:rPr>
          <w:color w:val="000000" w:themeColor="text1"/>
          <w:sz w:val="22"/>
          <w:szCs w:val="22"/>
        </w:rPr>
        <w:fldChar w:fldCharType="begin"/>
      </w:r>
      <w:r w:rsidRPr="00270060">
        <w:rPr>
          <w:color w:val="000000" w:themeColor="text1"/>
          <w:sz w:val="22"/>
          <w:szCs w:val="22"/>
        </w:rPr>
        <w:instrText xml:space="preserve"> ADDIN ZOTERO_ITEM CSL_CITATION {"citationID":"A0juvxsw","properties":{"formattedCitation":"\\super 22\\nosupersub{}","plainCitation":"22","noteIndex":0},"citationItems":[{"id":2244,"uris":["http://zotero.org/users/14418362/items/WPBH2JSR"],"itemData":{"id":2244,"type":"article","abstract":"Acute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Pr="00270060">
        <w:rPr>
          <w:color w:val="000000" w:themeColor="text1"/>
          <w:sz w:val="22"/>
          <w:szCs w:val="22"/>
        </w:rPr>
        <w:fldChar w:fldCharType="separate"/>
      </w:r>
      <w:r w:rsidRPr="00270060">
        <w:rPr>
          <w:rFonts w:ascii="Aptos" w:cs="Times New Roman"/>
          <w:color w:val="000000" w:themeColor="text1"/>
          <w:sz w:val="22"/>
          <w:vertAlign w:val="superscript"/>
        </w:rPr>
        <w:t>22</w:t>
      </w:r>
      <w:r w:rsidRPr="00270060">
        <w:rPr>
          <w:color w:val="000000" w:themeColor="text1"/>
          <w:sz w:val="22"/>
          <w:szCs w:val="22"/>
        </w:rPr>
        <w:fldChar w:fldCharType="end"/>
      </w:r>
      <w:r w:rsidRPr="00270060">
        <w:rPr>
          <w:color w:val="000000" w:themeColor="text1"/>
          <w:sz w:val="22"/>
          <w:szCs w:val="22"/>
        </w:rPr>
        <w:t xml:space="preserve"> and of these 310 (38%) were identified as druggable, according to The Druggable Genome</w:t>
      </w:r>
      <w:r w:rsidRPr="00270060">
        <w:rPr>
          <w:color w:val="000000" w:themeColor="text1"/>
          <w:sz w:val="22"/>
          <w:szCs w:val="22"/>
        </w:rPr>
        <w:fldChar w:fldCharType="begin"/>
      </w:r>
      <w:r w:rsidRPr="00270060">
        <w:rPr>
          <w:color w:val="000000" w:themeColor="text1"/>
          <w:sz w:val="22"/>
          <w:szCs w:val="22"/>
        </w:rPr>
        <w:instrText xml:space="preserve"> ADDIN ZOTERO_ITEM CSL_CITATION {"citationID":"nQIgC9MA","properties":{"formattedCitation":"\\super 26\\nosupersub{}","plainCitation":"26","noteIndex":0},"citationItems":[{"id":2517,"uris":["http://zotero.org/users/14418362/items/2RAFLB25"],"itemData":{"id":2517,"type":"article-journal","abstract":"The Drug-Gene Interaction Database (DGIdb, www. dgidb.org) is a web resource that provides information on drug-gene interactions and druggable genes from publications, databases, and other web-based sources. Drug, gene, and interaction data are normalized and merged into conceptual groups. The information contained in this resource is available to users through a straightforward search interface, an application programming interface (API), and TSV data downloads. DGIdb 4.0 is the latest major version release of this database. A primary focus of this update was integration with crowdsourced efforts, leveraging the Drug Target Commons for community-contributed interaction data, Wikidata to facilitate term normalization, and export to NDEx for drug-gene interaction network representations. Seven new sources have been added since the last major version release, bringing the total number of sources included to 41. Of the previously aggregated sources, 15 have been updated. DGIdb 4.0 also includes improvements to the process of drug normalization and grouping of imported sources. Other notable updates include the introduction of a more sophisticated Query Score for interaction search results, an updated Interaction Score, the inclusion of interaction directionality, and several additional improvements to search features, data releases, licensing documentation and the application framework.","container-title":"Nucleic Acids Research","DOI":"10.1093/nar/gkaa1084","ISSN":"0305-1048, 1362-4962","issue":"D1","language":"en","license":"http://creativecommons.org/licenses/by/4.0/","page":"D1144-D1151","source":"DOI.org (Crossref)","title":"Integration of the Drug–Gene Interaction Database (DGIdb 4.0) with open crowdsource efforts","URL":"https://academic.oup.com/nar/article/49/D1/D1144/6006193","volume":"49","author":[{"family":"Freshour","given":"Sharon L"},{"family":"Kiwala","given":"Susanna"},{"family":"Cotto","given":"Kelsy C"},{"family":"Coffman","given":"Adam C"},{"family":"McMichael","given":"Joshua F"},{"family":"Song","given":"Jonathan J"},{"family":"Griffith","given":"Malachi"},{"family":"Griffith","given":"Obi L"},{"family":"Wagner","given":"Alex H"}],"accessed":{"date-parts":[["2025",10,16]]},"issued":{"date-parts":[["2021",1,8]]}}}],"schema":"https://github.com/citation-style-language/schema/raw/master/csl-citation.json"} </w:instrText>
      </w:r>
      <w:r w:rsidRPr="00270060">
        <w:rPr>
          <w:color w:val="000000" w:themeColor="text1"/>
          <w:sz w:val="22"/>
          <w:szCs w:val="22"/>
        </w:rPr>
        <w:fldChar w:fldCharType="separate"/>
      </w:r>
      <w:r w:rsidRPr="00270060">
        <w:rPr>
          <w:rFonts w:ascii="Aptos" w:cs="Times New Roman"/>
          <w:color w:val="000000"/>
          <w:sz w:val="22"/>
          <w:vertAlign w:val="superscript"/>
        </w:rPr>
        <w:t>26</w:t>
      </w:r>
      <w:r w:rsidRPr="00270060">
        <w:rPr>
          <w:color w:val="000000" w:themeColor="text1"/>
          <w:sz w:val="22"/>
          <w:szCs w:val="22"/>
        </w:rPr>
        <w:fldChar w:fldCharType="end"/>
      </w:r>
      <w:r w:rsidRPr="00270060">
        <w:rPr>
          <w:color w:val="000000" w:themeColor="text1"/>
          <w:sz w:val="22"/>
          <w:szCs w:val="22"/>
        </w:rPr>
        <w:t xml:space="preserve">. We performed Over Representation Analysis (ORA), on the prioritised gene set. </w:t>
      </w:r>
      <w:r w:rsidR="00FD74DA" w:rsidRPr="00270060">
        <w:rPr>
          <w:color w:val="000000" w:themeColor="text1"/>
          <w:sz w:val="22"/>
          <w:szCs w:val="22"/>
        </w:rPr>
        <w:t xml:space="preserve">The </w:t>
      </w:r>
      <w:proofErr w:type="spellStart"/>
      <w:r w:rsidR="00DA50B5">
        <w:rPr>
          <w:color w:val="000000" w:themeColor="text1"/>
          <w:sz w:val="22"/>
          <w:szCs w:val="22"/>
        </w:rPr>
        <w:t>R</w:t>
      </w:r>
      <w:r w:rsidR="00FD74DA" w:rsidRPr="00270060">
        <w:rPr>
          <w:color w:val="000000" w:themeColor="text1"/>
          <w:sz w:val="22"/>
          <w:szCs w:val="22"/>
        </w:rPr>
        <w:t>eactome</w:t>
      </w:r>
      <w:proofErr w:type="spellEnd"/>
      <w:r w:rsidR="00FD74DA" w:rsidRPr="00270060">
        <w:rPr>
          <w:color w:val="000000" w:themeColor="text1"/>
          <w:sz w:val="22"/>
          <w:szCs w:val="22"/>
        </w:rPr>
        <w:t xml:space="preserve"> database replicated much of the signal observed in the GSEA (Supplementary Materials). </w:t>
      </w:r>
      <w:r w:rsidR="006323BF" w:rsidRPr="00270060">
        <w:rPr>
          <w:color w:val="000000" w:themeColor="text1"/>
          <w:sz w:val="22"/>
          <w:szCs w:val="22"/>
        </w:rPr>
        <w:t>We grouped</w:t>
      </w:r>
      <w:r w:rsidRPr="00270060">
        <w:rPr>
          <w:color w:val="000000" w:themeColor="text1"/>
          <w:sz w:val="22"/>
          <w:szCs w:val="22"/>
        </w:rPr>
        <w:t xml:space="preserve"> ORA results from the Gene Ontology database (encompassing all ontologies) first based on semantic similarity</w:t>
      </w:r>
      <w:r w:rsidR="006323BF" w:rsidRPr="00270060">
        <w:rPr>
          <w:color w:val="000000" w:themeColor="text1"/>
          <w:sz w:val="22"/>
          <w:szCs w:val="22"/>
        </w:rPr>
        <w:t>,</w:t>
      </w:r>
      <w:r w:rsidRPr="00270060">
        <w:rPr>
          <w:color w:val="000000" w:themeColor="text1"/>
          <w:sz w:val="22"/>
          <w:szCs w:val="22"/>
        </w:rPr>
        <w:t xml:space="preserve"> and then based on function </w:t>
      </w:r>
      <w:r w:rsidR="006323BF" w:rsidRPr="00270060">
        <w:rPr>
          <w:color w:val="000000" w:themeColor="text1"/>
          <w:sz w:val="22"/>
          <w:szCs w:val="22"/>
        </w:rPr>
        <w:t>(</w:t>
      </w:r>
      <w:r w:rsidRPr="00270060">
        <w:rPr>
          <w:color w:val="000000" w:themeColor="text1"/>
          <w:sz w:val="22"/>
          <w:szCs w:val="22"/>
        </w:rPr>
        <w:t>Figure 1</w:t>
      </w:r>
      <w:r w:rsidR="00004CBA" w:rsidRPr="00270060">
        <w:rPr>
          <w:color w:val="000000" w:themeColor="text1"/>
          <w:sz w:val="22"/>
          <w:szCs w:val="22"/>
        </w:rPr>
        <w:t>C</w:t>
      </w:r>
      <w:r w:rsidR="006323BF" w:rsidRPr="00270060">
        <w:rPr>
          <w:color w:val="000000" w:themeColor="text1"/>
          <w:sz w:val="22"/>
          <w:szCs w:val="22"/>
        </w:rPr>
        <w:t>)</w:t>
      </w:r>
      <w:r w:rsidRPr="00270060">
        <w:rPr>
          <w:color w:val="000000" w:themeColor="text1"/>
          <w:sz w:val="22"/>
          <w:szCs w:val="22"/>
        </w:rPr>
        <w:fldChar w:fldCharType="begin"/>
      </w:r>
      <w:r w:rsidRPr="00270060">
        <w:rPr>
          <w:color w:val="000000" w:themeColor="text1"/>
          <w:sz w:val="22"/>
          <w:szCs w:val="22"/>
        </w:rPr>
        <w:instrText xml:space="preserve"> ADDIN ZOTERO_ITEM CSL_CITATION {"citationID":"oB67OISS","properties":{"formattedCitation":"\\super 43\\nosupersub{}","plainCitation":"43","noteIndex":0},"citationItems":[{"id":2436,"uris":["http://zotero.org/users/14418362/items/M6WCLZNJ"],"itemData":{"id":2436,"type":"article-journal","container-title":"The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Pr="00270060">
        <w:rPr>
          <w:color w:val="000000" w:themeColor="text1"/>
          <w:sz w:val="22"/>
          <w:szCs w:val="22"/>
        </w:rPr>
        <w:fldChar w:fldCharType="separate"/>
      </w:r>
      <w:r w:rsidRPr="00270060">
        <w:rPr>
          <w:rFonts w:ascii="Aptos" w:cs="Times New Roman"/>
          <w:color w:val="000000"/>
          <w:sz w:val="22"/>
          <w:vertAlign w:val="superscript"/>
        </w:rPr>
        <w:t>43</w:t>
      </w:r>
      <w:r w:rsidRPr="00270060">
        <w:rPr>
          <w:color w:val="000000" w:themeColor="text1"/>
          <w:sz w:val="22"/>
          <w:szCs w:val="22"/>
        </w:rPr>
        <w:fldChar w:fldCharType="end"/>
      </w:r>
      <w:r w:rsidRPr="00270060">
        <w:rPr>
          <w:color w:val="000000" w:themeColor="text1"/>
          <w:sz w:val="22"/>
          <w:szCs w:val="22"/>
        </w:rPr>
        <w:t xml:space="preserve">. Our analysis reveals an over-representation of immune system processes associated with lymphoid-mediated immunity, particularly regulation of T cell activation. </w:t>
      </w:r>
    </w:p>
    <w:p w14:paraId="542FFDD7" w14:textId="77777777" w:rsidR="005B6EE6" w:rsidRPr="00270060" w:rsidRDefault="005B6EE6" w:rsidP="00172688">
      <w:pPr>
        <w:spacing w:line="480" w:lineRule="auto"/>
        <w:jc w:val="both"/>
        <w:rPr>
          <w:i/>
          <w:iCs/>
          <w:color w:val="000000" w:themeColor="text1"/>
          <w:sz w:val="22"/>
          <w:szCs w:val="22"/>
        </w:rPr>
      </w:pPr>
    </w:p>
    <w:p w14:paraId="1B15CFC5" w14:textId="6BC73458" w:rsidR="00CA6CE5" w:rsidRPr="00270060" w:rsidRDefault="006323BF" w:rsidP="00172688">
      <w:pPr>
        <w:spacing w:line="480" w:lineRule="auto"/>
        <w:jc w:val="both"/>
        <w:rPr>
          <w:i/>
          <w:iCs/>
          <w:color w:val="000000" w:themeColor="text1"/>
          <w:sz w:val="22"/>
          <w:szCs w:val="22"/>
        </w:rPr>
      </w:pPr>
      <w:r w:rsidRPr="00270060">
        <w:rPr>
          <w:i/>
          <w:iCs/>
          <w:color w:val="000000" w:themeColor="text1"/>
          <w:sz w:val="22"/>
          <w:szCs w:val="22"/>
        </w:rPr>
        <w:t xml:space="preserve">Protein </w:t>
      </w:r>
      <w:proofErr w:type="spellStart"/>
      <w:r w:rsidRPr="00270060">
        <w:rPr>
          <w:i/>
          <w:iCs/>
          <w:color w:val="000000" w:themeColor="text1"/>
          <w:sz w:val="22"/>
          <w:szCs w:val="22"/>
        </w:rPr>
        <w:t>protein</w:t>
      </w:r>
      <w:proofErr w:type="spellEnd"/>
      <w:r w:rsidRPr="00270060">
        <w:rPr>
          <w:i/>
          <w:iCs/>
          <w:color w:val="000000" w:themeColor="text1"/>
          <w:sz w:val="22"/>
          <w:szCs w:val="22"/>
        </w:rPr>
        <w:t xml:space="preserve"> Interaction network</w:t>
      </w:r>
    </w:p>
    <w:p w14:paraId="747D866D" w14:textId="4B65C93A" w:rsidR="00502716" w:rsidRPr="00270060" w:rsidRDefault="005D240B" w:rsidP="00172688">
      <w:pPr>
        <w:spacing w:line="480" w:lineRule="auto"/>
        <w:jc w:val="both"/>
        <w:rPr>
          <w:rFonts w:cs="Helvetica"/>
          <w:color w:val="000000" w:themeColor="text1"/>
          <w:sz w:val="22"/>
          <w:szCs w:val="22"/>
        </w:rPr>
      </w:pPr>
      <w:r w:rsidRPr="00270060">
        <w:rPr>
          <w:color w:val="000000" w:themeColor="text1"/>
          <w:sz w:val="22"/>
          <w:szCs w:val="22"/>
        </w:rPr>
        <w:t xml:space="preserve">We created a protein-protein interaction (PPI) network using the prioritised </w:t>
      </w:r>
      <w:r w:rsidR="005036A4" w:rsidRPr="00270060">
        <w:rPr>
          <w:color w:val="000000" w:themeColor="text1"/>
          <w:sz w:val="22"/>
          <w:szCs w:val="22"/>
        </w:rPr>
        <w:t xml:space="preserve">gene </w:t>
      </w:r>
      <w:r w:rsidRPr="00270060">
        <w:rPr>
          <w:color w:val="000000" w:themeColor="text1"/>
          <w:sz w:val="22"/>
          <w:szCs w:val="22"/>
        </w:rPr>
        <w:t xml:space="preserve">set. </w:t>
      </w:r>
      <w:r w:rsidR="005036A4" w:rsidRPr="00270060">
        <w:rPr>
          <w:color w:val="000000" w:themeColor="text1"/>
          <w:sz w:val="22"/>
          <w:szCs w:val="22"/>
        </w:rPr>
        <w:t xml:space="preserve">Clustering of this network using the Markov Cluster Algorithm (MCL) </w:t>
      </w:r>
      <w:r w:rsidRPr="00270060">
        <w:rPr>
          <w:rFonts w:cs="Helvetica"/>
          <w:color w:val="000000" w:themeColor="text1"/>
          <w:sz w:val="22"/>
          <w:szCs w:val="22"/>
        </w:rPr>
        <w:t xml:space="preserve">identified 25 clusters with &gt;=5 members. The 7 largest clusters contained &gt;=10 members </w:t>
      </w:r>
      <w:r w:rsidR="006323BF" w:rsidRPr="00270060">
        <w:rPr>
          <w:rFonts w:cs="Helvetica"/>
          <w:color w:val="000000" w:themeColor="text1"/>
          <w:sz w:val="22"/>
          <w:szCs w:val="22"/>
        </w:rPr>
        <w:t>(</w:t>
      </w:r>
      <w:r w:rsidRPr="00270060">
        <w:rPr>
          <w:rFonts w:cs="Helvetica"/>
          <w:color w:val="000000" w:themeColor="text1"/>
          <w:sz w:val="22"/>
          <w:szCs w:val="22"/>
        </w:rPr>
        <w:t>Supplementary Figure</w:t>
      </w:r>
      <w:r w:rsidR="00BC754F" w:rsidRPr="00270060">
        <w:rPr>
          <w:rFonts w:cs="Helvetica"/>
          <w:color w:val="000000" w:themeColor="text1"/>
          <w:sz w:val="22"/>
          <w:szCs w:val="22"/>
        </w:rPr>
        <w:t>s</w:t>
      </w:r>
      <w:r w:rsidR="00F93FEA" w:rsidRPr="00270060">
        <w:rPr>
          <w:rFonts w:cs="Helvetica"/>
          <w:color w:val="000000" w:themeColor="text1"/>
          <w:sz w:val="22"/>
          <w:szCs w:val="22"/>
        </w:rPr>
        <w:t xml:space="preserve"> </w:t>
      </w:r>
      <w:r w:rsidR="00690E36" w:rsidRPr="00270060">
        <w:rPr>
          <w:rFonts w:cs="Helvetica"/>
          <w:color w:val="000000" w:themeColor="text1"/>
          <w:sz w:val="22"/>
          <w:szCs w:val="22"/>
        </w:rPr>
        <w:t>4</w:t>
      </w:r>
      <w:r w:rsidRPr="00270060">
        <w:rPr>
          <w:rFonts w:cs="Helvetica"/>
          <w:color w:val="000000" w:themeColor="text1"/>
          <w:sz w:val="22"/>
          <w:szCs w:val="22"/>
        </w:rPr>
        <w:t xml:space="preserve"> </w:t>
      </w:r>
      <w:r w:rsidR="003C5E54" w:rsidRPr="00270060">
        <w:rPr>
          <w:rFonts w:cs="Helvetica"/>
          <w:color w:val="000000" w:themeColor="text1"/>
          <w:sz w:val="22"/>
          <w:szCs w:val="22"/>
        </w:rPr>
        <w:t>A</w:t>
      </w:r>
      <w:r w:rsidR="00BC754F" w:rsidRPr="00270060">
        <w:rPr>
          <w:rFonts w:cs="Helvetica"/>
          <w:color w:val="000000" w:themeColor="text1"/>
          <w:sz w:val="22"/>
          <w:szCs w:val="22"/>
        </w:rPr>
        <w:t>-E</w:t>
      </w:r>
      <w:r w:rsidR="003C5E54" w:rsidRPr="00270060">
        <w:rPr>
          <w:rFonts w:cs="Helvetica"/>
          <w:color w:val="000000" w:themeColor="text1"/>
          <w:sz w:val="22"/>
          <w:szCs w:val="22"/>
        </w:rPr>
        <w:t xml:space="preserve"> </w:t>
      </w:r>
      <w:r w:rsidRPr="00270060">
        <w:rPr>
          <w:rFonts w:cs="Helvetica"/>
          <w:color w:val="000000" w:themeColor="text1"/>
          <w:sz w:val="22"/>
          <w:szCs w:val="22"/>
        </w:rPr>
        <w:t>show the top 5 clusters</w:t>
      </w:r>
      <w:r w:rsidR="006323BF" w:rsidRPr="00270060">
        <w:rPr>
          <w:rFonts w:cs="Helvetica"/>
          <w:color w:val="000000" w:themeColor="text1"/>
          <w:sz w:val="22"/>
          <w:szCs w:val="22"/>
        </w:rPr>
        <w:t>)</w:t>
      </w:r>
      <w:r w:rsidRPr="00270060">
        <w:rPr>
          <w:rFonts w:cs="Helvetica"/>
          <w:color w:val="000000" w:themeColor="text1"/>
          <w:sz w:val="22"/>
          <w:szCs w:val="22"/>
        </w:rPr>
        <w:t xml:space="preserve">. </w:t>
      </w:r>
      <w:r w:rsidR="001D6A71" w:rsidRPr="00270060">
        <w:rPr>
          <w:color w:val="000000" w:themeColor="text1"/>
          <w:sz w:val="22"/>
          <w:szCs w:val="22"/>
        </w:rPr>
        <w:t xml:space="preserve">Using previously reported methods (Millar et al., 2024), we identified 32 hub </w:t>
      </w:r>
      <w:r w:rsidR="005036A4" w:rsidRPr="00270060">
        <w:rPr>
          <w:color w:val="000000" w:themeColor="text1"/>
          <w:sz w:val="22"/>
          <w:szCs w:val="22"/>
        </w:rPr>
        <w:t>proteins</w:t>
      </w:r>
      <w:r w:rsidR="001D6A71" w:rsidRPr="00270060">
        <w:rPr>
          <w:color w:val="000000" w:themeColor="text1"/>
          <w:sz w:val="22"/>
          <w:szCs w:val="22"/>
        </w:rPr>
        <w:t xml:space="preserve"> </w:t>
      </w:r>
      <w:r w:rsidR="005036A4" w:rsidRPr="00270060">
        <w:rPr>
          <w:color w:val="000000" w:themeColor="text1"/>
          <w:sz w:val="22"/>
          <w:szCs w:val="22"/>
        </w:rPr>
        <w:t>likely</w:t>
      </w:r>
      <w:r w:rsidR="001D6A71" w:rsidRPr="00270060">
        <w:rPr>
          <w:color w:val="000000" w:themeColor="text1"/>
          <w:sz w:val="22"/>
          <w:szCs w:val="22"/>
        </w:rPr>
        <w:t xml:space="preserve"> to play central roles in the broader</w:t>
      </w:r>
      <w:r w:rsidR="005036A4" w:rsidRPr="00270060">
        <w:rPr>
          <w:color w:val="000000" w:themeColor="text1"/>
          <w:sz w:val="22"/>
          <w:szCs w:val="22"/>
        </w:rPr>
        <w:t xml:space="preserve"> PPI n</w:t>
      </w:r>
      <w:r w:rsidR="001D6A71" w:rsidRPr="00270060">
        <w:rPr>
          <w:color w:val="000000" w:themeColor="text1"/>
          <w:sz w:val="22"/>
          <w:szCs w:val="22"/>
        </w:rPr>
        <w:t xml:space="preserve">etwork </w:t>
      </w:r>
      <w:r w:rsidR="006323BF" w:rsidRPr="00270060">
        <w:rPr>
          <w:color w:val="000000" w:themeColor="text1"/>
          <w:sz w:val="22"/>
          <w:szCs w:val="22"/>
        </w:rPr>
        <w:t>(</w:t>
      </w:r>
      <w:r w:rsidR="00690E36" w:rsidRPr="00270060">
        <w:rPr>
          <w:rFonts w:cs="Helvetica"/>
          <w:color w:val="000000" w:themeColor="text1"/>
          <w:sz w:val="22"/>
          <w:szCs w:val="22"/>
        </w:rPr>
        <w:t>Supplementary Figure 4</w:t>
      </w:r>
      <w:r w:rsidR="003C5E54" w:rsidRPr="00270060">
        <w:rPr>
          <w:rFonts w:cs="Helvetica"/>
          <w:color w:val="000000" w:themeColor="text1"/>
          <w:sz w:val="22"/>
          <w:szCs w:val="22"/>
        </w:rPr>
        <w:t xml:space="preserve"> </w:t>
      </w:r>
      <w:r w:rsidR="00BC754F" w:rsidRPr="00270060">
        <w:rPr>
          <w:rFonts w:cs="Helvetica"/>
          <w:color w:val="000000" w:themeColor="text1"/>
          <w:sz w:val="22"/>
          <w:szCs w:val="22"/>
        </w:rPr>
        <w:t>F</w:t>
      </w:r>
      <w:r w:rsidR="006323BF" w:rsidRPr="00270060">
        <w:rPr>
          <w:color w:val="000000" w:themeColor="text1"/>
          <w:sz w:val="22"/>
          <w:szCs w:val="22"/>
        </w:rPr>
        <w:t>)</w:t>
      </w:r>
      <w:r w:rsidR="001D6A71" w:rsidRPr="00270060">
        <w:rPr>
          <w:color w:val="000000" w:themeColor="text1"/>
          <w:sz w:val="22"/>
          <w:szCs w:val="22"/>
        </w:rPr>
        <w:t xml:space="preserve">. </w:t>
      </w:r>
      <w:r w:rsidR="005036A4" w:rsidRPr="00270060">
        <w:rPr>
          <w:color w:val="000000" w:themeColor="text1"/>
          <w:sz w:val="22"/>
          <w:szCs w:val="22"/>
        </w:rPr>
        <w:t>MCL clustering</w:t>
      </w:r>
      <w:r w:rsidR="004F6F62" w:rsidRPr="00270060">
        <w:rPr>
          <w:color w:val="000000" w:themeColor="text1"/>
          <w:sz w:val="22"/>
          <w:szCs w:val="22"/>
        </w:rPr>
        <w:t xml:space="preserve"> </w:t>
      </w:r>
      <w:r w:rsidR="005036A4" w:rsidRPr="00270060">
        <w:rPr>
          <w:color w:val="000000" w:themeColor="text1"/>
          <w:sz w:val="22"/>
          <w:szCs w:val="22"/>
        </w:rPr>
        <w:t xml:space="preserve">of this hub </w:t>
      </w:r>
      <w:r w:rsidR="001D6A71" w:rsidRPr="00270060">
        <w:rPr>
          <w:color w:val="000000" w:themeColor="text1"/>
          <w:sz w:val="22"/>
          <w:szCs w:val="22"/>
        </w:rPr>
        <w:t>revealed three major clusters related to lymphocyte</w:t>
      </w:r>
      <w:r w:rsidR="00294D94" w:rsidRPr="00270060">
        <w:rPr>
          <w:color w:val="000000" w:themeColor="text1"/>
          <w:sz w:val="22"/>
          <w:szCs w:val="22"/>
        </w:rPr>
        <w:t xml:space="preserve"> function</w:t>
      </w:r>
      <w:r w:rsidR="001D6A71" w:rsidRPr="00270060">
        <w:rPr>
          <w:color w:val="000000" w:themeColor="text1"/>
          <w:sz w:val="22"/>
          <w:szCs w:val="22"/>
        </w:rPr>
        <w:t>, corresponding to activation (red, blue), receptor</w:t>
      </w:r>
      <w:r w:rsidR="00294D94" w:rsidRPr="00270060">
        <w:rPr>
          <w:color w:val="000000" w:themeColor="text1"/>
          <w:sz w:val="22"/>
          <w:szCs w:val="22"/>
        </w:rPr>
        <w:t xml:space="preserve"> regulation</w:t>
      </w:r>
      <w:r w:rsidR="001D6A71" w:rsidRPr="00270060">
        <w:rPr>
          <w:color w:val="000000" w:themeColor="text1"/>
          <w:sz w:val="22"/>
          <w:szCs w:val="22"/>
        </w:rPr>
        <w:t xml:space="preserve"> (blue), and immunoglobulins (green) (Figure 1</w:t>
      </w:r>
      <w:r w:rsidR="00690E36" w:rsidRPr="00270060">
        <w:rPr>
          <w:color w:val="000000" w:themeColor="text1"/>
          <w:sz w:val="22"/>
          <w:szCs w:val="22"/>
        </w:rPr>
        <w:t>E</w:t>
      </w:r>
      <w:r w:rsidR="001D6A71" w:rsidRPr="00270060">
        <w:rPr>
          <w:color w:val="000000" w:themeColor="text1"/>
          <w:sz w:val="22"/>
          <w:szCs w:val="22"/>
        </w:rPr>
        <w:t>).</w:t>
      </w:r>
      <w:r w:rsidR="00294D94" w:rsidRPr="00270060">
        <w:rPr>
          <w:color w:val="000000" w:themeColor="text1"/>
          <w:sz w:val="22"/>
          <w:szCs w:val="22"/>
        </w:rPr>
        <w:t xml:space="preserve"> Overall, our analysis</w:t>
      </w:r>
      <w:r w:rsidR="00FD74DA" w:rsidRPr="00270060">
        <w:rPr>
          <w:color w:val="000000" w:themeColor="text1"/>
          <w:sz w:val="22"/>
          <w:szCs w:val="22"/>
        </w:rPr>
        <w:t xml:space="preserve"> </w:t>
      </w:r>
      <w:r w:rsidR="00294D94" w:rsidRPr="00270060">
        <w:rPr>
          <w:color w:val="000000" w:themeColor="text1"/>
          <w:sz w:val="22"/>
          <w:szCs w:val="22"/>
        </w:rPr>
        <w:t>identified a robust lymphoid cell signature across a diverse range of genome-scale studies of BPD.</w:t>
      </w:r>
    </w:p>
    <w:p w14:paraId="5D3BA60F" w14:textId="77777777" w:rsidR="005B6EE6" w:rsidRPr="00270060" w:rsidRDefault="005B6EE6" w:rsidP="00172688">
      <w:pPr>
        <w:spacing w:line="480" w:lineRule="auto"/>
        <w:jc w:val="both"/>
        <w:rPr>
          <w:i/>
          <w:iCs/>
          <w:color w:val="000000" w:themeColor="text1"/>
          <w:sz w:val="22"/>
          <w:szCs w:val="22"/>
        </w:rPr>
      </w:pPr>
    </w:p>
    <w:p w14:paraId="5473D510" w14:textId="03A7F3AB" w:rsidR="00502716" w:rsidRPr="00270060" w:rsidRDefault="00502716" w:rsidP="00172688">
      <w:pPr>
        <w:spacing w:line="480" w:lineRule="auto"/>
        <w:jc w:val="both"/>
        <w:rPr>
          <w:i/>
          <w:iCs/>
          <w:color w:val="000000" w:themeColor="text1"/>
          <w:sz w:val="22"/>
          <w:szCs w:val="22"/>
        </w:rPr>
      </w:pPr>
      <w:r w:rsidRPr="00270060">
        <w:rPr>
          <w:i/>
          <w:iCs/>
          <w:color w:val="000000" w:themeColor="text1"/>
          <w:sz w:val="22"/>
          <w:szCs w:val="22"/>
        </w:rPr>
        <w:t>Comparative analysis with ARDS dataset</w:t>
      </w:r>
    </w:p>
    <w:p w14:paraId="15EDB832" w14:textId="5ADEDD09" w:rsidR="007C3ADC" w:rsidRPr="00270060" w:rsidRDefault="005D240B" w:rsidP="00172688">
      <w:pPr>
        <w:spacing w:line="480" w:lineRule="auto"/>
        <w:jc w:val="both"/>
        <w:rPr>
          <w:color w:val="000000" w:themeColor="text1"/>
          <w:sz w:val="22"/>
          <w:szCs w:val="22"/>
        </w:rPr>
      </w:pPr>
      <w:r w:rsidRPr="00270060">
        <w:rPr>
          <w:color w:val="000000" w:themeColor="text1"/>
          <w:sz w:val="22"/>
          <w:szCs w:val="22"/>
        </w:rPr>
        <w:lastRenderedPageBreak/>
        <w:t xml:space="preserve">Acute lung injury caused or worsened by mechanical ventilation during treatment is a feature of BPD in neonates and </w:t>
      </w:r>
      <w:proofErr w:type="gramStart"/>
      <w:r w:rsidRPr="00270060">
        <w:rPr>
          <w:color w:val="000000" w:themeColor="text1"/>
          <w:sz w:val="22"/>
          <w:szCs w:val="22"/>
        </w:rPr>
        <w:t>Acute Respiratory Distress Syndrome</w:t>
      </w:r>
      <w:proofErr w:type="gramEnd"/>
      <w:r w:rsidRPr="00270060">
        <w:rPr>
          <w:color w:val="000000" w:themeColor="text1"/>
          <w:sz w:val="22"/>
          <w:szCs w:val="22"/>
        </w:rPr>
        <w:t xml:space="preserve"> (ARDS) in adults (paediatric ARDS in children). We </w:t>
      </w:r>
      <w:r w:rsidR="00955096" w:rsidRPr="00270060">
        <w:rPr>
          <w:color w:val="000000" w:themeColor="text1"/>
          <w:sz w:val="22"/>
          <w:szCs w:val="22"/>
        </w:rPr>
        <w:t>wished</w:t>
      </w:r>
      <w:r w:rsidRPr="00270060">
        <w:rPr>
          <w:color w:val="000000" w:themeColor="text1"/>
          <w:sz w:val="22"/>
          <w:szCs w:val="22"/>
        </w:rPr>
        <w:t xml:space="preserve"> to </w:t>
      </w:r>
      <w:r w:rsidR="00955096" w:rsidRPr="00270060">
        <w:rPr>
          <w:color w:val="000000" w:themeColor="text1"/>
          <w:sz w:val="22"/>
          <w:szCs w:val="22"/>
        </w:rPr>
        <w:t xml:space="preserve">characterise, </w:t>
      </w:r>
      <w:r w:rsidRPr="00270060">
        <w:rPr>
          <w:color w:val="000000" w:themeColor="text1"/>
          <w:sz w:val="22"/>
          <w:szCs w:val="22"/>
        </w:rPr>
        <w:t xml:space="preserve">firstly, the </w:t>
      </w:r>
      <w:r w:rsidR="00955096" w:rsidRPr="00270060">
        <w:rPr>
          <w:color w:val="000000" w:themeColor="text1"/>
          <w:sz w:val="22"/>
          <w:szCs w:val="22"/>
        </w:rPr>
        <w:t>shared of</w:t>
      </w:r>
      <w:r w:rsidRPr="00270060">
        <w:rPr>
          <w:color w:val="000000" w:themeColor="text1"/>
          <w:sz w:val="22"/>
          <w:szCs w:val="22"/>
        </w:rPr>
        <w:t xml:space="preserve"> effects mechanical ventilation may have on the developed </w:t>
      </w:r>
      <w:r w:rsidR="00955096" w:rsidRPr="00270060">
        <w:rPr>
          <w:color w:val="000000" w:themeColor="text1"/>
          <w:sz w:val="22"/>
          <w:szCs w:val="22"/>
        </w:rPr>
        <w:t>and</w:t>
      </w:r>
      <w:r w:rsidRPr="00270060">
        <w:rPr>
          <w:color w:val="000000" w:themeColor="text1"/>
          <w:sz w:val="22"/>
          <w:szCs w:val="22"/>
        </w:rPr>
        <w:t xml:space="preserve"> the developing lung, and to understand </w:t>
      </w:r>
      <w:r w:rsidR="00955096" w:rsidRPr="00270060">
        <w:rPr>
          <w:color w:val="000000" w:themeColor="text1"/>
          <w:sz w:val="22"/>
          <w:szCs w:val="22"/>
        </w:rPr>
        <w:t>distinct</w:t>
      </w:r>
      <w:r w:rsidRPr="00270060">
        <w:rPr>
          <w:color w:val="000000" w:themeColor="text1"/>
          <w:sz w:val="22"/>
          <w:szCs w:val="22"/>
        </w:rPr>
        <w:t xml:space="preserve"> factors that may underlie </w:t>
      </w:r>
      <w:r w:rsidR="00955096" w:rsidRPr="00270060">
        <w:rPr>
          <w:color w:val="000000" w:themeColor="text1"/>
          <w:sz w:val="22"/>
          <w:szCs w:val="22"/>
        </w:rPr>
        <w:t>each</w:t>
      </w:r>
      <w:r w:rsidRPr="00270060">
        <w:rPr>
          <w:color w:val="000000" w:themeColor="text1"/>
          <w:sz w:val="22"/>
          <w:szCs w:val="22"/>
        </w:rPr>
        <w:t xml:space="preserve"> syndrome. </w:t>
      </w:r>
      <w:r w:rsidR="00955096" w:rsidRPr="00270060">
        <w:rPr>
          <w:color w:val="000000" w:themeColor="text1"/>
          <w:sz w:val="22"/>
          <w:szCs w:val="22"/>
        </w:rPr>
        <w:t>We</w:t>
      </w:r>
      <w:r w:rsidRPr="00270060">
        <w:rPr>
          <w:color w:val="000000" w:themeColor="text1"/>
          <w:sz w:val="22"/>
          <w:szCs w:val="22"/>
        </w:rPr>
        <w:t xml:space="preserve"> evaluated the human BPD MAIC dataset against our previously generated ARDS MAIC analysis</w:t>
      </w:r>
      <w:r w:rsidR="00056E98" w:rsidRPr="00270060">
        <w:rPr>
          <w:color w:val="000000" w:themeColor="text1"/>
          <w:sz w:val="22"/>
          <w:szCs w:val="22"/>
        </w:rPr>
        <w:t xml:space="preserve">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{"citationID":"RiRd1wzb","properties":{"formattedCitation":"\\super 22\\nosupersub{}","plainCitation":"22","noteIndex":0},"citationItems":[{"id":2244,"uris":["http://zotero.org/users/14418362/items/WPBH2JSR"],"itemData":{"id":2244,"type":"article","abstract":"Acute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22</w:t>
      </w:r>
      <w:r w:rsidRPr="00270060">
        <w:rPr>
          <w:color w:val="000000" w:themeColor="text1"/>
          <w:sz w:val="22"/>
          <w:szCs w:val="22"/>
        </w:rPr>
        <w:fldChar w:fldCharType="end"/>
      </w:r>
      <w:r w:rsidR="00056E98" w:rsidRPr="00270060">
        <w:rPr>
          <w:color w:val="000000" w:themeColor="text1"/>
          <w:sz w:val="22"/>
          <w:szCs w:val="22"/>
        </w:rPr>
        <w:t>.</w:t>
      </w:r>
    </w:p>
    <w:p w14:paraId="5C5DFECB" w14:textId="5BC542CF" w:rsidR="005D240B" w:rsidRPr="00270060" w:rsidRDefault="006323BF" w:rsidP="00172688">
      <w:pPr>
        <w:spacing w:line="480" w:lineRule="auto"/>
        <w:jc w:val="both"/>
        <w:rPr>
          <w:rFonts w:ascii="Aptos" w:hAnsi="Aptos"/>
          <w:color w:val="000000" w:themeColor="text1"/>
          <w:sz w:val="22"/>
          <w:szCs w:val="22"/>
        </w:rPr>
      </w:pPr>
      <w:r w:rsidRPr="00270060">
        <w:rPr>
          <w:color w:val="000000" w:themeColor="text1"/>
          <w:sz w:val="22"/>
          <w:szCs w:val="22"/>
        </w:rPr>
        <w:t>Focusing</w:t>
      </w:r>
      <w:r w:rsidR="005D240B" w:rsidRPr="00270060">
        <w:rPr>
          <w:color w:val="000000" w:themeColor="text1"/>
          <w:sz w:val="22"/>
          <w:szCs w:val="22"/>
        </w:rPr>
        <w:t xml:space="preserve"> on the prioritised genes from both datasets</w:t>
      </w:r>
      <w:r w:rsidRPr="00270060">
        <w:rPr>
          <w:color w:val="000000" w:themeColor="text1"/>
          <w:sz w:val="22"/>
          <w:szCs w:val="22"/>
        </w:rPr>
        <w:t>, ORA</w:t>
      </w:r>
      <w:r w:rsidR="005D240B" w:rsidRPr="00270060">
        <w:rPr>
          <w:color w:val="000000" w:themeColor="text1"/>
          <w:sz w:val="22"/>
          <w:szCs w:val="22"/>
        </w:rPr>
        <w:t xml:space="preserve"> highlighted shared pathology relating to regulation </w:t>
      </w:r>
      <w:r w:rsidR="005D240B" w:rsidRPr="00270060">
        <w:rPr>
          <w:rFonts w:ascii="Aptos" w:hAnsi="Aptos"/>
          <w:color w:val="000000" w:themeColor="text1"/>
          <w:sz w:val="22"/>
          <w:szCs w:val="22"/>
        </w:rPr>
        <w:t>of T cell activation</w:t>
      </w:r>
      <w:r w:rsidRPr="00270060">
        <w:rPr>
          <w:rFonts w:ascii="Aptos" w:hAnsi="Aptos"/>
          <w:color w:val="000000" w:themeColor="text1"/>
          <w:sz w:val="22"/>
          <w:szCs w:val="22"/>
        </w:rPr>
        <w:t xml:space="preserve"> alongside leukocyte cell activation</w:t>
      </w:r>
      <w:r w:rsidR="005D240B" w:rsidRPr="00270060">
        <w:rPr>
          <w:rFonts w:ascii="Aptos" w:hAnsi="Aptos"/>
          <w:color w:val="000000" w:themeColor="text1"/>
          <w:sz w:val="22"/>
          <w:szCs w:val="22"/>
        </w:rPr>
        <w:t xml:space="preserve"> </w:t>
      </w:r>
      <w:r w:rsidRPr="00270060">
        <w:rPr>
          <w:rFonts w:ascii="Aptos" w:hAnsi="Aptos"/>
          <w:color w:val="000000" w:themeColor="text1"/>
          <w:sz w:val="22"/>
          <w:szCs w:val="22"/>
        </w:rPr>
        <w:t>(</w:t>
      </w:r>
      <w:r w:rsidR="005D240B" w:rsidRPr="00270060">
        <w:rPr>
          <w:rFonts w:ascii="Aptos" w:hAnsi="Aptos"/>
          <w:color w:val="000000" w:themeColor="text1"/>
          <w:sz w:val="22"/>
          <w:szCs w:val="22"/>
        </w:rPr>
        <w:t>Figure</w:t>
      </w:r>
      <w:r w:rsidR="005B6EE6" w:rsidRPr="00270060">
        <w:rPr>
          <w:rFonts w:ascii="Aptos" w:hAnsi="Aptos"/>
          <w:color w:val="000000" w:themeColor="text1"/>
          <w:sz w:val="22"/>
          <w:szCs w:val="22"/>
        </w:rPr>
        <w:t xml:space="preserve"> </w:t>
      </w:r>
      <w:r w:rsidR="005D240B" w:rsidRPr="00270060">
        <w:rPr>
          <w:rFonts w:ascii="Aptos" w:hAnsi="Aptos"/>
          <w:color w:val="000000" w:themeColor="text1"/>
          <w:sz w:val="22"/>
          <w:szCs w:val="22"/>
        </w:rPr>
        <w:t>2A</w:t>
      </w:r>
      <w:r w:rsidRPr="00270060">
        <w:rPr>
          <w:rFonts w:ascii="Aptos" w:hAnsi="Aptos"/>
          <w:color w:val="000000" w:themeColor="text1"/>
          <w:sz w:val="22"/>
          <w:szCs w:val="22"/>
        </w:rPr>
        <w:t>)</w:t>
      </w:r>
      <w:r w:rsidR="005D240B" w:rsidRPr="00270060">
        <w:rPr>
          <w:rFonts w:ascii="Aptos" w:hAnsi="Aptos"/>
          <w:color w:val="000000" w:themeColor="text1"/>
          <w:sz w:val="22"/>
          <w:szCs w:val="22"/>
        </w:rPr>
        <w:t>.</w:t>
      </w:r>
      <w:r w:rsidR="00FF766F" w:rsidRPr="00270060">
        <w:rPr>
          <w:rFonts w:ascii="Aptos" w:hAnsi="Aptos"/>
          <w:color w:val="000000" w:themeColor="text1"/>
          <w:sz w:val="22"/>
          <w:szCs w:val="22"/>
        </w:rPr>
        <w:t xml:space="preserve"> </w:t>
      </w:r>
      <w:commentRangeStart w:id="0"/>
      <w:r w:rsidR="00FF766F" w:rsidRPr="00270060">
        <w:rPr>
          <w:rFonts w:ascii="Aptos" w:hAnsi="Aptos"/>
          <w:color w:val="000000" w:themeColor="text1"/>
          <w:sz w:val="22"/>
          <w:szCs w:val="22"/>
        </w:rPr>
        <w:t xml:space="preserve">The ARDS signal </w:t>
      </w:r>
      <w:r w:rsidR="005D240B" w:rsidRPr="00270060">
        <w:rPr>
          <w:rFonts w:ascii="Aptos" w:hAnsi="Aptos"/>
          <w:color w:val="000000" w:themeColor="text1"/>
          <w:sz w:val="22"/>
          <w:szCs w:val="22"/>
        </w:rPr>
        <w:t xml:space="preserve"> </w:t>
      </w:r>
      <w:commentRangeEnd w:id="0"/>
      <w:r w:rsidR="00270060" w:rsidRPr="00270060">
        <w:rPr>
          <w:rStyle w:val="CommentReference"/>
        </w:rPr>
        <w:commentReference w:id="0"/>
      </w:r>
      <w:r w:rsidR="005D240B" w:rsidRPr="00270060">
        <w:rPr>
          <w:color w:val="000000" w:themeColor="text1"/>
          <w:sz w:val="22"/>
          <w:szCs w:val="22"/>
        </w:rPr>
        <w:t>There were 112 genes that overlapped in the prioritised</w:t>
      </w:r>
      <w:r w:rsidR="00F93FEA" w:rsidRPr="00270060">
        <w:rPr>
          <w:color w:val="000000" w:themeColor="text1"/>
          <w:sz w:val="22"/>
          <w:szCs w:val="22"/>
        </w:rPr>
        <w:t xml:space="preserve"> gene set lists</w:t>
      </w:r>
      <w:r w:rsidR="005D240B"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w:t>
      </w:r>
      <w:r w:rsidR="005B6EE6" w:rsidRPr="00270060">
        <w:rPr>
          <w:color w:val="000000" w:themeColor="text1"/>
          <w:sz w:val="22"/>
          <w:szCs w:val="22"/>
        </w:rPr>
        <w:t xml:space="preserve"> </w:t>
      </w:r>
      <w:r w:rsidR="005D240B" w:rsidRPr="00270060">
        <w:rPr>
          <w:color w:val="000000" w:themeColor="text1"/>
          <w:sz w:val="22"/>
          <w:szCs w:val="22"/>
        </w:rPr>
        <w:t>2B</w:t>
      </w:r>
      <w:r w:rsidRPr="00270060">
        <w:rPr>
          <w:color w:val="000000" w:themeColor="text1"/>
          <w:sz w:val="22"/>
          <w:szCs w:val="22"/>
        </w:rPr>
        <w:t>)</w:t>
      </w:r>
      <w:r w:rsidR="005D240B" w:rsidRPr="00270060">
        <w:rPr>
          <w:color w:val="000000" w:themeColor="text1"/>
          <w:sz w:val="22"/>
          <w:szCs w:val="22"/>
        </w:rPr>
        <w:t xml:space="preserve"> and this overlap was found to be significant (p&lt;0.005</w:t>
      </w:r>
      <w:proofErr w:type="gramStart"/>
      <w:r w:rsidR="005D240B" w:rsidRPr="00270060">
        <w:rPr>
          <w:color w:val="000000" w:themeColor="text1"/>
          <w:sz w:val="22"/>
          <w:szCs w:val="22"/>
        </w:rPr>
        <w:t>)</w:t>
      </w:r>
      <w:proofErr w:type="gramEnd"/>
      <w:r w:rsidR="005D240B" w:rsidRPr="00270060">
        <w:rPr>
          <w:color w:val="000000" w:themeColor="text1"/>
          <w:sz w:val="22"/>
          <w:szCs w:val="22"/>
        </w:rPr>
        <w:t xml:space="preserve"> </w:t>
      </w:r>
      <w:r w:rsidR="00DA50B5">
        <w:rPr>
          <w:color w:val="000000" w:themeColor="text1"/>
          <w:sz w:val="22"/>
          <w:szCs w:val="22"/>
        </w:rPr>
        <w:t xml:space="preserve">and </w:t>
      </w:r>
      <w:r w:rsidR="00745C0E" w:rsidRPr="00270060">
        <w:rPr>
          <w:color w:val="000000" w:themeColor="text1"/>
          <w:sz w:val="22"/>
          <w:szCs w:val="22"/>
        </w:rPr>
        <w:t>the overlap occurred</w:t>
      </w:r>
      <w:r w:rsidR="001B5DBE" w:rsidRPr="00270060">
        <w:rPr>
          <w:color w:val="000000" w:themeColor="text1"/>
          <w:sz w:val="22"/>
          <w:szCs w:val="22"/>
        </w:rPr>
        <w:t xml:space="preserve"> </w:t>
      </w:r>
      <w:r w:rsidR="00DA50B5">
        <w:rPr>
          <w:color w:val="000000" w:themeColor="text1"/>
          <w:sz w:val="22"/>
          <w:szCs w:val="22"/>
        </w:rPr>
        <w:t xml:space="preserve">primarily </w:t>
      </w:r>
      <w:r w:rsidR="001B5DBE" w:rsidRPr="00270060">
        <w:rPr>
          <w:color w:val="000000" w:themeColor="text1"/>
          <w:sz w:val="22"/>
          <w:szCs w:val="22"/>
        </w:rPr>
        <w:t>toward the top of the</w:t>
      </w:r>
      <w:r w:rsidR="00CC72D9" w:rsidRPr="00270060">
        <w:rPr>
          <w:color w:val="000000" w:themeColor="text1"/>
          <w:sz w:val="22"/>
          <w:szCs w:val="22"/>
        </w:rPr>
        <w:t xml:space="preserve"> ranked</w:t>
      </w:r>
      <w:r w:rsidR="001B5DBE" w:rsidRPr="00270060">
        <w:rPr>
          <w:color w:val="000000" w:themeColor="text1"/>
          <w:sz w:val="22"/>
          <w:szCs w:val="22"/>
        </w:rPr>
        <w:t xml:space="preserve"> lists </w:t>
      </w:r>
      <w:r w:rsidRPr="00270060">
        <w:rPr>
          <w:color w:val="000000" w:themeColor="text1"/>
          <w:sz w:val="22"/>
          <w:szCs w:val="22"/>
        </w:rPr>
        <w:t>(</w:t>
      </w:r>
      <w:r w:rsidR="00810B44" w:rsidRPr="00DA50B5">
        <w:rPr>
          <w:color w:val="000000" w:themeColor="text1"/>
          <w:sz w:val="22"/>
          <w:szCs w:val="22"/>
          <w:highlight w:val="yellow"/>
        </w:rPr>
        <w:t xml:space="preserve">Supplementary </w:t>
      </w:r>
      <w:r w:rsidR="001B5DBE" w:rsidRPr="00DA50B5">
        <w:rPr>
          <w:color w:val="000000" w:themeColor="text1"/>
          <w:sz w:val="22"/>
          <w:szCs w:val="22"/>
          <w:highlight w:val="yellow"/>
        </w:rPr>
        <w:t>Figure</w:t>
      </w:r>
      <w:r w:rsidR="005B6EE6" w:rsidRPr="00DA50B5">
        <w:rPr>
          <w:color w:val="000000" w:themeColor="text1"/>
          <w:sz w:val="22"/>
          <w:szCs w:val="22"/>
          <w:highlight w:val="yellow"/>
        </w:rPr>
        <w:t xml:space="preserve"> </w:t>
      </w:r>
      <w:r w:rsidR="001B5DBE" w:rsidRPr="00DA50B5">
        <w:rPr>
          <w:color w:val="000000" w:themeColor="text1"/>
          <w:sz w:val="22"/>
          <w:szCs w:val="22"/>
          <w:highlight w:val="yellow"/>
        </w:rPr>
        <w:t>2C</w:t>
      </w:r>
      <w:r w:rsidRPr="00270060">
        <w:rPr>
          <w:color w:val="000000" w:themeColor="text1"/>
          <w:sz w:val="22"/>
          <w:szCs w:val="22"/>
        </w:rPr>
        <w:t>)</w:t>
      </w:r>
      <w:r w:rsidR="001B5DBE" w:rsidRPr="00270060">
        <w:rPr>
          <w:color w:val="000000" w:themeColor="text1"/>
          <w:sz w:val="22"/>
          <w:szCs w:val="22"/>
        </w:rPr>
        <w:t xml:space="preserve">. </w:t>
      </w:r>
      <w:r w:rsidR="005D240B" w:rsidRPr="00270060">
        <w:rPr>
          <w:color w:val="000000" w:themeColor="text1"/>
          <w:sz w:val="22"/>
          <w:szCs w:val="22"/>
        </w:rPr>
        <w:t>Over representation analysis</w:t>
      </w:r>
      <w:r w:rsidR="00520233" w:rsidRPr="00270060">
        <w:rPr>
          <w:color w:val="000000" w:themeColor="text1"/>
          <w:sz w:val="22"/>
          <w:szCs w:val="22"/>
        </w:rPr>
        <w:t xml:space="preserve"> </w:t>
      </w:r>
      <w:r w:rsidR="00FF766F" w:rsidRPr="00270060">
        <w:rPr>
          <w:color w:val="000000" w:themeColor="text1"/>
          <w:sz w:val="22"/>
          <w:szCs w:val="22"/>
        </w:rPr>
        <w:t xml:space="preserve">further </w:t>
      </w:r>
      <w:r w:rsidR="00520233" w:rsidRPr="00270060">
        <w:rPr>
          <w:color w:val="000000" w:themeColor="text1"/>
          <w:sz w:val="22"/>
          <w:szCs w:val="22"/>
        </w:rPr>
        <w:t>highlighted</w:t>
      </w:r>
      <w:r w:rsidR="005D240B" w:rsidRPr="00270060">
        <w:rPr>
          <w:color w:val="000000" w:themeColor="text1"/>
          <w:sz w:val="22"/>
          <w:szCs w:val="22"/>
        </w:rPr>
        <w:t xml:space="preserve"> leukocyte</w:t>
      </w:r>
      <w:r w:rsidR="00F93FEA" w:rsidRPr="00270060">
        <w:rPr>
          <w:color w:val="000000" w:themeColor="text1"/>
          <w:sz w:val="22"/>
          <w:szCs w:val="22"/>
        </w:rPr>
        <w:t>-</w:t>
      </w:r>
      <w:r w:rsidR="005D240B" w:rsidRPr="00270060">
        <w:rPr>
          <w:color w:val="000000" w:themeColor="text1"/>
          <w:sz w:val="22"/>
          <w:szCs w:val="22"/>
        </w:rPr>
        <w:t>mediated immunity, lymphocyte</w:t>
      </w:r>
      <w:r w:rsidR="00F93FEA" w:rsidRPr="00270060">
        <w:rPr>
          <w:color w:val="000000" w:themeColor="text1"/>
          <w:sz w:val="22"/>
          <w:szCs w:val="22"/>
        </w:rPr>
        <w:t>-</w:t>
      </w:r>
      <w:r w:rsidR="005D240B" w:rsidRPr="00270060">
        <w:rPr>
          <w:color w:val="000000" w:themeColor="text1"/>
          <w:sz w:val="22"/>
          <w:szCs w:val="22"/>
        </w:rPr>
        <w:t>mediated immunity</w:t>
      </w:r>
      <w:r w:rsidR="009F3C8A" w:rsidRPr="00270060">
        <w:rPr>
          <w:color w:val="000000" w:themeColor="text1"/>
          <w:sz w:val="22"/>
          <w:szCs w:val="22"/>
        </w:rPr>
        <w:t>,</w:t>
      </w:r>
      <w:r w:rsidR="005D240B" w:rsidRPr="00270060">
        <w:rPr>
          <w:color w:val="000000" w:themeColor="text1"/>
          <w:sz w:val="22"/>
          <w:szCs w:val="22"/>
        </w:rPr>
        <w:t xml:space="preserve"> and positive regulation of both T cells and type II interferon </w:t>
      </w:r>
      <w:r w:rsidR="00642B03" w:rsidRPr="00270060">
        <w:rPr>
          <w:color w:val="000000" w:themeColor="text1"/>
          <w:sz w:val="22"/>
          <w:szCs w:val="22"/>
        </w:rPr>
        <w:t>in the overlapping genes</w:t>
      </w:r>
      <w:r w:rsidR="00520233" w:rsidRPr="00270060">
        <w:rPr>
          <w:color w:val="000000" w:themeColor="text1"/>
          <w:sz w:val="22"/>
          <w:szCs w:val="22"/>
        </w:rPr>
        <w:t xml:space="preserve"> </w:t>
      </w:r>
      <w:r w:rsidRPr="00270060">
        <w:rPr>
          <w:color w:val="000000" w:themeColor="text1"/>
          <w:sz w:val="22"/>
          <w:szCs w:val="22"/>
        </w:rPr>
        <w:t>(</w:t>
      </w:r>
      <w:r w:rsidR="00520233" w:rsidRPr="00270060">
        <w:rPr>
          <w:color w:val="000000" w:themeColor="text1"/>
          <w:sz w:val="22"/>
          <w:szCs w:val="22"/>
        </w:rPr>
        <w:t>Figure</w:t>
      </w:r>
      <w:r w:rsidR="005B6EE6" w:rsidRPr="00270060">
        <w:rPr>
          <w:color w:val="000000" w:themeColor="text1"/>
          <w:sz w:val="22"/>
          <w:szCs w:val="22"/>
        </w:rPr>
        <w:t xml:space="preserve"> </w:t>
      </w:r>
      <w:r w:rsidR="00520233" w:rsidRPr="00270060">
        <w:rPr>
          <w:color w:val="000000" w:themeColor="text1"/>
          <w:sz w:val="22"/>
          <w:szCs w:val="22"/>
        </w:rPr>
        <w:t>2</w:t>
      </w:r>
      <w:r w:rsidRPr="00270060">
        <w:rPr>
          <w:color w:val="000000" w:themeColor="text1"/>
          <w:sz w:val="22"/>
          <w:szCs w:val="22"/>
        </w:rPr>
        <w:t>D)</w:t>
      </w:r>
      <w:r w:rsidR="005D240B" w:rsidRPr="00270060">
        <w:rPr>
          <w:color w:val="000000" w:themeColor="text1"/>
          <w:sz w:val="22"/>
          <w:szCs w:val="22"/>
        </w:rPr>
        <w:t xml:space="preserve">. </w:t>
      </w:r>
      <w:r w:rsidR="00C2707E" w:rsidRPr="00270060">
        <w:rPr>
          <w:color w:val="000000" w:themeColor="text1"/>
          <w:sz w:val="22"/>
          <w:szCs w:val="22"/>
        </w:rPr>
        <w:t xml:space="preserve">A PPI network focused on the overlap between datasets identifies a hub consisting of 5 genes </w:t>
      </w:r>
      <w:r w:rsidR="005B6EE6" w:rsidRPr="00270060">
        <w:rPr>
          <w:color w:val="000000" w:themeColor="text1"/>
          <w:sz w:val="22"/>
          <w:szCs w:val="22"/>
        </w:rPr>
        <w:t xml:space="preserve">(Figure 2E) </w:t>
      </w:r>
      <w:r w:rsidR="000C33C9" w:rsidRPr="00270060">
        <w:rPr>
          <w:color w:val="000000" w:themeColor="text1"/>
          <w:sz w:val="22"/>
          <w:szCs w:val="22"/>
        </w:rPr>
        <w:t>with roles in</w:t>
      </w:r>
      <w:r w:rsidR="00C2707E" w:rsidRPr="00270060">
        <w:rPr>
          <w:color w:val="000000" w:themeColor="text1"/>
          <w:sz w:val="22"/>
          <w:szCs w:val="22"/>
        </w:rPr>
        <w:t xml:space="preserve"> IL8 signalling (CXCL8, MMP9) and lymphocyte surface receptors (CD4, CD40, CD2). </w:t>
      </w:r>
    </w:p>
    <w:p w14:paraId="03C54BD5" w14:textId="77777777" w:rsidR="00BD33E1" w:rsidRPr="00270060" w:rsidRDefault="00BD33E1" w:rsidP="00172688">
      <w:pPr>
        <w:spacing w:line="480" w:lineRule="auto"/>
        <w:jc w:val="both"/>
        <w:rPr>
          <w:i/>
          <w:iCs/>
          <w:color w:val="000000" w:themeColor="text1"/>
          <w:sz w:val="22"/>
          <w:szCs w:val="22"/>
        </w:rPr>
      </w:pPr>
    </w:p>
    <w:p w14:paraId="1D04AC08" w14:textId="77777777" w:rsidR="005D240B" w:rsidRPr="00270060" w:rsidRDefault="005D240B" w:rsidP="00172688">
      <w:pPr>
        <w:spacing w:line="480" w:lineRule="auto"/>
        <w:jc w:val="both"/>
        <w:rPr>
          <w:i/>
          <w:iCs/>
          <w:color w:val="000000" w:themeColor="text1"/>
          <w:sz w:val="22"/>
          <w:szCs w:val="22"/>
        </w:rPr>
      </w:pPr>
      <w:r w:rsidRPr="00270060">
        <w:rPr>
          <w:i/>
          <w:iCs/>
          <w:color w:val="000000" w:themeColor="text1"/>
          <w:sz w:val="22"/>
          <w:szCs w:val="22"/>
        </w:rPr>
        <w:t>Meta-Analysis by Information Content of rodent studies</w:t>
      </w:r>
    </w:p>
    <w:p w14:paraId="1AD7F7D2" w14:textId="1856D37A" w:rsidR="006323BF" w:rsidRPr="00270060" w:rsidRDefault="00520233" w:rsidP="006323BF">
      <w:pPr>
        <w:spacing w:line="480" w:lineRule="auto"/>
        <w:jc w:val="both"/>
        <w:rPr>
          <w:color w:val="000000" w:themeColor="text1"/>
          <w:sz w:val="22"/>
          <w:szCs w:val="22"/>
        </w:rPr>
      </w:pPr>
      <w:r w:rsidRPr="00270060">
        <w:rPr>
          <w:color w:val="000000" w:themeColor="text1"/>
          <w:sz w:val="22"/>
          <w:szCs w:val="22"/>
        </w:rPr>
        <w:t xml:space="preserve">Rodent </w:t>
      </w:r>
      <w:r w:rsidR="00975F6E" w:rsidRPr="00270060">
        <w:rPr>
          <w:color w:val="000000" w:themeColor="text1"/>
          <w:sz w:val="22"/>
          <w:szCs w:val="22"/>
        </w:rPr>
        <w:t xml:space="preserve">systems </w:t>
      </w:r>
      <w:r w:rsidRPr="00270060">
        <w:rPr>
          <w:color w:val="000000" w:themeColor="text1"/>
          <w:sz w:val="22"/>
          <w:szCs w:val="22"/>
        </w:rPr>
        <w:t xml:space="preserve">are widely used to model BPD. </w:t>
      </w:r>
      <w:r w:rsidR="005D240B" w:rsidRPr="00270060">
        <w:rPr>
          <w:color w:val="000000" w:themeColor="text1"/>
          <w:sz w:val="22"/>
          <w:szCs w:val="22"/>
        </w:rPr>
        <w:t xml:space="preserve">From 20 eligible rodent BPD studies </w:t>
      </w:r>
      <w:r w:rsidR="006323BF" w:rsidRPr="00270060">
        <w:rPr>
          <w:color w:val="000000" w:themeColor="text1"/>
          <w:sz w:val="22"/>
          <w:szCs w:val="22"/>
        </w:rPr>
        <w:t>(</w:t>
      </w:r>
      <w:r w:rsidR="005D240B" w:rsidRPr="00270060">
        <w:rPr>
          <w:color w:val="000000" w:themeColor="text1"/>
          <w:sz w:val="22"/>
          <w:szCs w:val="22"/>
        </w:rPr>
        <w:t>Supplementary Figure 2, Table 2</w:t>
      </w:r>
      <w:r w:rsidR="006323BF" w:rsidRPr="00270060">
        <w:rPr>
          <w:color w:val="000000" w:themeColor="text1"/>
          <w:sz w:val="22"/>
          <w:szCs w:val="22"/>
        </w:rPr>
        <w:t>)</w:t>
      </w:r>
      <w:r w:rsidR="005D240B" w:rsidRPr="00270060">
        <w:rPr>
          <w:color w:val="000000" w:themeColor="text1"/>
          <w:sz w:val="22"/>
          <w:szCs w:val="22"/>
        </w:rPr>
        <w:t xml:space="preserve"> we extracted </w:t>
      </w:r>
      <w:r w:rsidR="009C3E07" w:rsidRPr="00270060">
        <w:rPr>
          <w:color w:val="000000" w:themeColor="text1"/>
          <w:sz w:val="22"/>
          <w:szCs w:val="22"/>
        </w:rPr>
        <w:t xml:space="preserve">and analysed </w:t>
      </w:r>
      <w:r w:rsidR="005D240B" w:rsidRPr="00270060">
        <w:rPr>
          <w:color w:val="000000" w:themeColor="text1"/>
          <w:sz w:val="22"/>
          <w:szCs w:val="22"/>
        </w:rPr>
        <w:t xml:space="preserve">35 gene lists (28 ranked and 7 unranked), employing 5 experimental techniques (Supplementary Table 3). Of these studies, 13 used mice models and 7 used rat models. </w:t>
      </w:r>
      <w:r w:rsidR="007B5CF7" w:rsidRPr="00270060">
        <w:rPr>
          <w:color w:val="000000" w:themeColor="text1"/>
          <w:sz w:val="22"/>
          <w:szCs w:val="22"/>
        </w:rPr>
        <w:t>To enable cross-species comparison</w:t>
      </w:r>
      <w:r w:rsidR="00D70AB2" w:rsidRPr="00270060">
        <w:rPr>
          <w:color w:val="000000" w:themeColor="text1"/>
          <w:sz w:val="22"/>
          <w:szCs w:val="22"/>
        </w:rPr>
        <w:t>s</w:t>
      </w:r>
      <w:r w:rsidR="009C3E07" w:rsidRPr="00270060">
        <w:rPr>
          <w:color w:val="000000" w:themeColor="text1"/>
          <w:sz w:val="22"/>
          <w:szCs w:val="22"/>
        </w:rPr>
        <w:t>,</w:t>
      </w:r>
      <w:r w:rsidR="007B5CF7" w:rsidRPr="00270060">
        <w:rPr>
          <w:color w:val="000000" w:themeColor="text1"/>
          <w:sz w:val="22"/>
          <w:szCs w:val="22"/>
        </w:rPr>
        <w:t xml:space="preserve"> we mapped the genes from both species to their human </w:t>
      </w:r>
      <w:r w:rsidR="00D75528" w:rsidRPr="00270060">
        <w:rPr>
          <w:color w:val="000000" w:themeColor="text1"/>
          <w:sz w:val="22"/>
          <w:szCs w:val="22"/>
        </w:rPr>
        <w:t>ortholog symbols as part of the MAIC workflow</w:t>
      </w:r>
      <w:r w:rsidR="007B5CF7" w:rsidRPr="00270060">
        <w:rPr>
          <w:color w:val="000000" w:themeColor="text1"/>
          <w:sz w:val="22"/>
          <w:szCs w:val="22"/>
        </w:rPr>
        <w:t>.</w:t>
      </w:r>
      <w:r w:rsidR="00D75528" w:rsidRPr="00270060">
        <w:rPr>
          <w:color w:val="000000" w:themeColor="text1"/>
          <w:sz w:val="22"/>
          <w:szCs w:val="22"/>
        </w:rPr>
        <w:t xml:space="preserve"> </w:t>
      </w:r>
      <w:r w:rsidR="005D240B" w:rsidRPr="00270060">
        <w:rPr>
          <w:color w:val="000000" w:themeColor="text1"/>
          <w:sz w:val="22"/>
          <w:szCs w:val="22"/>
        </w:rPr>
        <w:t xml:space="preserve">The majority (17/20; 85%) of studies modelled BPD by exposing neonatal pups to a </w:t>
      </w:r>
      <w:proofErr w:type="spellStart"/>
      <w:r w:rsidR="005D240B" w:rsidRPr="00270060">
        <w:rPr>
          <w:color w:val="000000" w:themeColor="text1"/>
          <w:sz w:val="22"/>
          <w:szCs w:val="22"/>
        </w:rPr>
        <w:t>hyperoxic</w:t>
      </w:r>
      <w:proofErr w:type="spellEnd"/>
      <w:r w:rsidR="005D240B" w:rsidRPr="00270060">
        <w:rPr>
          <w:color w:val="000000" w:themeColor="text1"/>
          <w:sz w:val="22"/>
          <w:szCs w:val="22"/>
        </w:rPr>
        <w:t xml:space="preserve"> environment, though the approaches differed</w:t>
      </w:r>
      <w:r w:rsidR="009C3E07" w:rsidRPr="00270060">
        <w:rPr>
          <w:color w:val="000000" w:themeColor="text1"/>
          <w:sz w:val="22"/>
          <w:szCs w:val="22"/>
        </w:rPr>
        <w:t>.</w:t>
      </w:r>
      <w:r w:rsidR="005D240B" w:rsidRPr="00270060">
        <w:rPr>
          <w:color w:val="000000" w:themeColor="text1"/>
          <w:sz w:val="22"/>
          <w:szCs w:val="22"/>
        </w:rPr>
        <w:t xml:space="preserve"> </w:t>
      </w:r>
      <w:r w:rsidR="009C3E07" w:rsidRPr="00270060">
        <w:rPr>
          <w:color w:val="000000" w:themeColor="text1"/>
          <w:sz w:val="22"/>
          <w:szCs w:val="22"/>
        </w:rPr>
        <w:t xml:space="preserve">For example, </w:t>
      </w:r>
      <w:r w:rsidR="005D240B" w:rsidRPr="00270060">
        <w:rPr>
          <w:color w:val="000000" w:themeColor="text1"/>
          <w:sz w:val="22"/>
          <w:szCs w:val="22"/>
        </w:rPr>
        <w:t>there was variation in the timeframe of hyperoxia (from 3 days to 14 days), recovery in room air (0 days to 57 days), continuous versus intermittent hyperoxia, and the percent</w:t>
      </w:r>
      <w:r w:rsidR="00DC530D" w:rsidRPr="00270060">
        <w:rPr>
          <w:color w:val="000000" w:themeColor="text1"/>
          <w:sz w:val="22"/>
          <w:szCs w:val="22"/>
        </w:rPr>
        <w:t>age</w:t>
      </w:r>
      <w:r w:rsidR="005D240B" w:rsidRPr="00270060">
        <w:rPr>
          <w:color w:val="000000" w:themeColor="text1"/>
          <w:sz w:val="22"/>
          <w:szCs w:val="22"/>
        </w:rPr>
        <w:t xml:space="preserve"> oxygen (70 – 100%) used across the studies. Other </w:t>
      </w:r>
      <w:r w:rsidR="005D240B" w:rsidRPr="00270060">
        <w:rPr>
          <w:color w:val="000000" w:themeColor="text1"/>
          <w:sz w:val="22"/>
          <w:szCs w:val="22"/>
        </w:rPr>
        <w:lastRenderedPageBreak/>
        <w:t xml:space="preserve">methods to model BPD in rodent models included lipopolysaccharide (LPS) treatment (1 study) and induced IUGR through maternal diet (1 study). MAIC collated 7637 genes across all datasets </w:t>
      </w:r>
      <w:r w:rsidR="006323BF" w:rsidRPr="00270060">
        <w:rPr>
          <w:color w:val="000000" w:themeColor="text1"/>
          <w:sz w:val="22"/>
          <w:szCs w:val="22"/>
        </w:rPr>
        <w:t>(</w:t>
      </w:r>
      <w:r w:rsidR="005D240B" w:rsidRPr="00270060">
        <w:rPr>
          <w:color w:val="000000" w:themeColor="text1"/>
          <w:sz w:val="22"/>
          <w:szCs w:val="22"/>
        </w:rPr>
        <w:t>Figure 3A</w:t>
      </w:r>
      <w:r w:rsidR="005B6EE6" w:rsidRPr="00270060">
        <w:rPr>
          <w:color w:val="000000" w:themeColor="text1"/>
          <w:sz w:val="22"/>
          <w:szCs w:val="22"/>
        </w:rPr>
        <w:t>;</w:t>
      </w:r>
      <w:r w:rsidR="005D240B" w:rsidRPr="00270060">
        <w:rPr>
          <w:color w:val="000000" w:themeColor="text1"/>
          <w:sz w:val="22"/>
          <w:szCs w:val="22"/>
        </w:rPr>
        <w:t xml:space="preserve"> Supplementary </w:t>
      </w:r>
      <w:r w:rsidR="002F7479" w:rsidRPr="00270060">
        <w:rPr>
          <w:color w:val="000000" w:themeColor="text1"/>
          <w:sz w:val="22"/>
          <w:szCs w:val="22"/>
        </w:rPr>
        <w:t>T</w:t>
      </w:r>
      <w:r w:rsidR="005D240B" w:rsidRPr="00270060">
        <w:rPr>
          <w:color w:val="000000" w:themeColor="text1"/>
          <w:sz w:val="22"/>
          <w:szCs w:val="22"/>
        </w:rPr>
        <w:t>able</w:t>
      </w:r>
      <w:r w:rsidR="005B6EE6" w:rsidRPr="00270060">
        <w:rPr>
          <w:color w:val="000000" w:themeColor="text1"/>
          <w:sz w:val="22"/>
          <w:szCs w:val="22"/>
        </w:rPr>
        <w:t xml:space="preserve"> </w:t>
      </w:r>
      <w:proofErr w:type="gramStart"/>
      <w:r w:rsidR="002F7479" w:rsidRPr="00270060">
        <w:rPr>
          <w:color w:val="000000" w:themeColor="text1"/>
          <w:sz w:val="22"/>
          <w:szCs w:val="22"/>
        </w:rPr>
        <w:t>5</w:t>
      </w:r>
      <w:r w:rsidR="005D240B" w:rsidRPr="00270060">
        <w:rPr>
          <w:color w:val="000000" w:themeColor="text1"/>
          <w:sz w:val="22"/>
          <w:szCs w:val="22"/>
        </w:rPr>
        <w:t xml:space="preserve"> </w:t>
      </w:r>
      <w:r w:rsidR="005B6EE6" w:rsidRPr="00270060">
        <w:rPr>
          <w:color w:val="000000" w:themeColor="text1"/>
          <w:sz w:val="22"/>
          <w:szCs w:val="22"/>
        </w:rPr>
        <w:t>;</w:t>
      </w:r>
      <w:proofErr w:type="gramEnd"/>
      <w:r w:rsidR="005B6EE6" w:rsidRPr="00270060">
        <w:rPr>
          <w:color w:val="000000" w:themeColor="text1"/>
          <w:sz w:val="22"/>
          <w:szCs w:val="22"/>
        </w:rPr>
        <w:t xml:space="preserve"> Top 100 in Supplementary Figure 6A</w:t>
      </w:r>
      <w:r w:rsidR="006323BF" w:rsidRPr="00270060">
        <w:rPr>
          <w:color w:val="000000" w:themeColor="text1"/>
          <w:sz w:val="22"/>
          <w:szCs w:val="22"/>
        </w:rPr>
        <w:t>)</w:t>
      </w:r>
      <w:r w:rsidR="005D240B" w:rsidRPr="00270060">
        <w:rPr>
          <w:color w:val="000000" w:themeColor="text1"/>
          <w:sz w:val="22"/>
          <w:szCs w:val="22"/>
        </w:rPr>
        <w:t xml:space="preserve"> and</w:t>
      </w:r>
      <w:r w:rsidR="006323BF" w:rsidRPr="00270060">
        <w:rPr>
          <w:color w:val="000000" w:themeColor="text1"/>
          <w:sz w:val="22"/>
          <w:szCs w:val="22"/>
        </w:rPr>
        <w:t xml:space="preserve"> the top</w:t>
      </w:r>
      <w:r w:rsidR="005D240B" w:rsidRPr="00270060">
        <w:rPr>
          <w:color w:val="000000" w:themeColor="text1"/>
          <w:sz w:val="22"/>
          <w:szCs w:val="22"/>
        </w:rPr>
        <w:t xml:space="preserve"> 3 genes were supported by evidence from &gt;=4 experimental techniques (</w:t>
      </w:r>
      <w:r w:rsidR="005D240B" w:rsidRPr="00270060">
        <w:rPr>
          <w:i/>
          <w:iCs/>
          <w:color w:val="000000" w:themeColor="text1"/>
          <w:sz w:val="22"/>
          <w:szCs w:val="22"/>
        </w:rPr>
        <w:t>RAC2</w:t>
      </w:r>
      <w:r w:rsidR="005D240B" w:rsidRPr="00270060">
        <w:rPr>
          <w:color w:val="000000" w:themeColor="text1"/>
          <w:sz w:val="22"/>
          <w:szCs w:val="22"/>
        </w:rPr>
        <w:t xml:space="preserve">, </w:t>
      </w:r>
      <w:r w:rsidR="005D240B" w:rsidRPr="00270060">
        <w:rPr>
          <w:i/>
          <w:iCs/>
          <w:color w:val="000000" w:themeColor="text1"/>
          <w:sz w:val="22"/>
          <w:szCs w:val="22"/>
        </w:rPr>
        <w:t>CXCR2</w:t>
      </w:r>
      <w:r w:rsidR="005D240B" w:rsidRPr="00270060">
        <w:rPr>
          <w:color w:val="000000" w:themeColor="text1"/>
          <w:sz w:val="22"/>
          <w:szCs w:val="22"/>
        </w:rPr>
        <w:t xml:space="preserve">, </w:t>
      </w:r>
      <w:r w:rsidR="005D240B" w:rsidRPr="00270060">
        <w:rPr>
          <w:i/>
          <w:iCs/>
          <w:color w:val="000000" w:themeColor="text1"/>
          <w:sz w:val="22"/>
          <w:szCs w:val="22"/>
        </w:rPr>
        <w:t>IL1R2</w:t>
      </w:r>
      <w:r w:rsidR="005D240B" w:rsidRPr="00270060">
        <w:rPr>
          <w:color w:val="000000" w:themeColor="text1"/>
          <w:sz w:val="22"/>
          <w:szCs w:val="22"/>
        </w:rPr>
        <w:t xml:space="preserve">).  One in five genes were supported by more than 1 method (n = 1597, 20.91%), with 141 genes (1.85%) supported by &gt;=3 methods.  Immune processes are </w:t>
      </w:r>
      <w:r w:rsidR="006323BF" w:rsidRPr="00270060">
        <w:rPr>
          <w:color w:val="000000" w:themeColor="text1"/>
          <w:sz w:val="22"/>
          <w:szCs w:val="22"/>
        </w:rPr>
        <w:t>broadly highlighted</w:t>
      </w:r>
      <w:r w:rsidR="005D240B" w:rsidRPr="00270060">
        <w:rPr>
          <w:color w:val="000000" w:themeColor="text1"/>
          <w:sz w:val="22"/>
          <w:szCs w:val="22"/>
        </w:rPr>
        <w:t xml:space="preserve"> within the top ten genes (</w:t>
      </w:r>
      <w:r w:rsidR="005D240B" w:rsidRPr="00270060">
        <w:rPr>
          <w:i/>
          <w:iCs/>
          <w:color w:val="000000" w:themeColor="text1"/>
          <w:sz w:val="22"/>
          <w:szCs w:val="22"/>
        </w:rPr>
        <w:t>RAC2</w:t>
      </w:r>
      <w:r w:rsidR="005D240B" w:rsidRPr="00270060">
        <w:rPr>
          <w:color w:val="000000" w:themeColor="text1"/>
          <w:sz w:val="22"/>
          <w:szCs w:val="22"/>
        </w:rPr>
        <w:t xml:space="preserve">, </w:t>
      </w:r>
      <w:r w:rsidR="005D240B" w:rsidRPr="00270060">
        <w:rPr>
          <w:i/>
          <w:iCs/>
          <w:color w:val="000000" w:themeColor="text1"/>
          <w:sz w:val="22"/>
          <w:szCs w:val="22"/>
        </w:rPr>
        <w:t>CXCR2</w:t>
      </w:r>
      <w:r w:rsidR="005D240B" w:rsidRPr="00270060">
        <w:rPr>
          <w:color w:val="000000" w:themeColor="text1"/>
          <w:sz w:val="22"/>
          <w:szCs w:val="22"/>
        </w:rPr>
        <w:t xml:space="preserve">, </w:t>
      </w:r>
      <w:r w:rsidR="005D240B" w:rsidRPr="00270060">
        <w:rPr>
          <w:i/>
          <w:iCs/>
          <w:color w:val="000000" w:themeColor="text1"/>
          <w:sz w:val="22"/>
          <w:szCs w:val="22"/>
        </w:rPr>
        <w:t>IL1R2</w:t>
      </w:r>
      <w:r w:rsidR="005D240B" w:rsidRPr="00270060">
        <w:rPr>
          <w:color w:val="000000" w:themeColor="text1"/>
          <w:sz w:val="22"/>
          <w:szCs w:val="22"/>
        </w:rPr>
        <w:t xml:space="preserve">, </w:t>
      </w:r>
      <w:r w:rsidR="005D240B" w:rsidRPr="00270060">
        <w:rPr>
          <w:i/>
          <w:iCs/>
          <w:color w:val="000000" w:themeColor="text1"/>
          <w:sz w:val="22"/>
          <w:szCs w:val="22"/>
        </w:rPr>
        <w:t>CCDC3</w:t>
      </w:r>
      <w:r w:rsidR="005D240B" w:rsidRPr="00270060">
        <w:rPr>
          <w:color w:val="000000" w:themeColor="text1"/>
          <w:sz w:val="22"/>
          <w:szCs w:val="22"/>
        </w:rPr>
        <w:t xml:space="preserve">, </w:t>
      </w:r>
      <w:r w:rsidR="005D240B" w:rsidRPr="00270060">
        <w:rPr>
          <w:i/>
          <w:iCs/>
          <w:color w:val="000000" w:themeColor="text1"/>
          <w:sz w:val="22"/>
          <w:szCs w:val="22"/>
        </w:rPr>
        <w:t>PTGS2</w:t>
      </w:r>
      <w:r w:rsidR="005D240B" w:rsidRPr="00270060">
        <w:rPr>
          <w:color w:val="000000" w:themeColor="text1"/>
          <w:sz w:val="22"/>
          <w:szCs w:val="22"/>
        </w:rPr>
        <w:t xml:space="preserve">). </w:t>
      </w:r>
      <w:r w:rsidRPr="00270060">
        <w:rPr>
          <w:color w:val="000000" w:themeColor="text1"/>
          <w:sz w:val="22"/>
          <w:szCs w:val="22"/>
        </w:rPr>
        <w:t>Notably, IL1R2 appears among the top 10 results in both</w:t>
      </w:r>
      <w:r w:rsidR="00E301FE" w:rsidRPr="00270060">
        <w:rPr>
          <w:color w:val="000000" w:themeColor="text1"/>
          <w:sz w:val="22"/>
          <w:szCs w:val="22"/>
        </w:rPr>
        <w:t xml:space="preserve"> human</w:t>
      </w:r>
      <w:r w:rsidR="006323BF" w:rsidRPr="00270060">
        <w:rPr>
          <w:color w:val="000000" w:themeColor="text1"/>
          <w:sz w:val="22"/>
          <w:szCs w:val="22"/>
        </w:rPr>
        <w:t xml:space="preserve"> (rank = 3) </w:t>
      </w:r>
      <w:r w:rsidR="00E301FE" w:rsidRPr="00270060">
        <w:rPr>
          <w:color w:val="000000" w:themeColor="text1"/>
          <w:sz w:val="22"/>
          <w:szCs w:val="22"/>
        </w:rPr>
        <w:t>and rodent</w:t>
      </w:r>
      <w:r w:rsidRPr="00270060">
        <w:rPr>
          <w:color w:val="000000" w:themeColor="text1"/>
          <w:sz w:val="22"/>
          <w:szCs w:val="22"/>
        </w:rPr>
        <w:t xml:space="preserve"> </w:t>
      </w:r>
      <w:r w:rsidR="006323BF" w:rsidRPr="00270060">
        <w:rPr>
          <w:color w:val="000000" w:themeColor="text1"/>
          <w:sz w:val="22"/>
          <w:szCs w:val="22"/>
        </w:rPr>
        <w:t xml:space="preserve">(rank = 3) </w:t>
      </w:r>
      <w:r w:rsidR="00E301FE" w:rsidRPr="00270060">
        <w:rPr>
          <w:color w:val="000000" w:themeColor="text1"/>
          <w:sz w:val="22"/>
          <w:szCs w:val="22"/>
        </w:rPr>
        <w:t>BPD MAIC analyses</w:t>
      </w:r>
      <w:r w:rsidRPr="00270060">
        <w:rPr>
          <w:color w:val="000000" w:themeColor="text1"/>
          <w:sz w:val="22"/>
          <w:szCs w:val="22"/>
        </w:rPr>
        <w:t xml:space="preserve">. </w:t>
      </w:r>
      <w:r w:rsidR="006323BF" w:rsidRPr="00270060">
        <w:rPr>
          <w:color w:val="000000" w:themeColor="text1"/>
          <w:sz w:val="22"/>
          <w:szCs w:val="22"/>
        </w:rPr>
        <w:t>Gene rankings are strongly driven by fibroblast cells, with far less emphasis on the lymphoid cells seen in the human dataset, according to cell type–specific enrichment analysis (Supp</w:t>
      </w:r>
      <w:r w:rsidR="002F7479" w:rsidRPr="00270060">
        <w:rPr>
          <w:color w:val="000000" w:themeColor="text1"/>
          <w:sz w:val="22"/>
          <w:szCs w:val="22"/>
        </w:rPr>
        <w:t>lementary</w:t>
      </w:r>
      <w:r w:rsidR="006323BF" w:rsidRPr="00270060">
        <w:rPr>
          <w:color w:val="000000" w:themeColor="text1"/>
          <w:sz w:val="22"/>
          <w:szCs w:val="22"/>
        </w:rPr>
        <w:t xml:space="preserve"> Figure </w:t>
      </w:r>
      <w:r w:rsidR="002F7479" w:rsidRPr="00270060">
        <w:rPr>
          <w:color w:val="000000" w:themeColor="text1"/>
          <w:sz w:val="22"/>
          <w:szCs w:val="22"/>
        </w:rPr>
        <w:t>7</w:t>
      </w:r>
      <w:r w:rsidR="006323BF" w:rsidRPr="00270060">
        <w:rPr>
          <w:color w:val="000000" w:themeColor="text1"/>
          <w:sz w:val="22"/>
          <w:szCs w:val="22"/>
        </w:rPr>
        <w:t>).</w:t>
      </w:r>
    </w:p>
    <w:p w14:paraId="1176FE4F" w14:textId="77777777" w:rsidR="005D240B" w:rsidRPr="00270060" w:rsidRDefault="005D240B" w:rsidP="00172688">
      <w:pPr>
        <w:spacing w:line="480" w:lineRule="auto"/>
        <w:jc w:val="both"/>
        <w:rPr>
          <w:b/>
          <w:bCs/>
          <w:color w:val="000000" w:themeColor="text1"/>
          <w:sz w:val="22"/>
          <w:szCs w:val="22"/>
        </w:rPr>
      </w:pPr>
    </w:p>
    <w:p w14:paraId="1D06CD55" w14:textId="77777777" w:rsidR="005D240B" w:rsidRPr="00270060" w:rsidRDefault="005D240B" w:rsidP="00172688">
      <w:pPr>
        <w:spacing w:line="480" w:lineRule="auto"/>
        <w:jc w:val="both"/>
        <w:rPr>
          <w:i/>
          <w:iCs/>
          <w:color w:val="000000" w:themeColor="text1"/>
          <w:sz w:val="22"/>
          <w:szCs w:val="22"/>
        </w:rPr>
      </w:pPr>
      <w:r w:rsidRPr="00270060">
        <w:rPr>
          <w:i/>
          <w:iCs/>
          <w:color w:val="000000" w:themeColor="text1"/>
          <w:sz w:val="22"/>
          <w:szCs w:val="22"/>
        </w:rPr>
        <w:t>Rodent functional enrichment</w:t>
      </w:r>
    </w:p>
    <w:p w14:paraId="775901C0" w14:textId="10F94C61" w:rsidR="00327385" w:rsidRPr="00270060" w:rsidRDefault="006323BF" w:rsidP="00172688">
      <w:pPr>
        <w:spacing w:line="480" w:lineRule="auto"/>
        <w:jc w:val="both"/>
        <w:rPr>
          <w:color w:val="000000" w:themeColor="text1"/>
          <w:sz w:val="22"/>
          <w:szCs w:val="22"/>
        </w:rPr>
      </w:pPr>
      <w:r w:rsidRPr="00270060">
        <w:rPr>
          <w:color w:val="000000" w:themeColor="text1"/>
          <w:sz w:val="22"/>
          <w:szCs w:val="22"/>
        </w:rPr>
        <w:t>Gene set enrichment analysis of the rodent MAIC gene set</w:t>
      </w:r>
      <w:r w:rsidR="00FF766F" w:rsidRPr="00270060">
        <w:rPr>
          <w:color w:val="000000" w:themeColor="text1"/>
          <w:sz w:val="22"/>
          <w:szCs w:val="22"/>
        </w:rPr>
        <w:t xml:space="preserve">, using the </w:t>
      </w:r>
      <w:proofErr w:type="spellStart"/>
      <w:r w:rsidR="00FF766F" w:rsidRPr="00270060">
        <w:rPr>
          <w:color w:val="000000" w:themeColor="text1"/>
          <w:sz w:val="22"/>
          <w:szCs w:val="22"/>
        </w:rPr>
        <w:t>Reactome</w:t>
      </w:r>
      <w:proofErr w:type="spellEnd"/>
      <w:r w:rsidR="00FF766F" w:rsidRPr="00270060">
        <w:rPr>
          <w:color w:val="000000" w:themeColor="text1"/>
          <w:sz w:val="22"/>
          <w:szCs w:val="22"/>
        </w:rPr>
        <w:t xml:space="preserve"> database, </w:t>
      </w:r>
      <w:r w:rsidRPr="00270060">
        <w:rPr>
          <w:color w:val="000000" w:themeColor="text1"/>
          <w:sz w:val="22"/>
          <w:szCs w:val="22"/>
        </w:rPr>
        <w:t xml:space="preserve">indicates strong signals for mRNA and translation associated pathways (Figure 3B). Analysis of the ranked genes contributing to this signal (Supplementary </w:t>
      </w:r>
      <w:r w:rsidR="000E3E04" w:rsidRPr="00270060">
        <w:rPr>
          <w:color w:val="000000" w:themeColor="text1"/>
          <w:sz w:val="22"/>
          <w:szCs w:val="22"/>
        </w:rPr>
        <w:t>F</w:t>
      </w:r>
      <w:r w:rsidRPr="00270060">
        <w:rPr>
          <w:color w:val="000000" w:themeColor="text1"/>
          <w:sz w:val="22"/>
          <w:szCs w:val="22"/>
        </w:rPr>
        <w:t>igure 6</w:t>
      </w:r>
      <w:r w:rsidR="002F7479" w:rsidRPr="00270060">
        <w:rPr>
          <w:color w:val="000000" w:themeColor="text1"/>
          <w:sz w:val="22"/>
          <w:szCs w:val="22"/>
        </w:rPr>
        <w:t>C</w:t>
      </w:r>
      <w:r w:rsidRPr="00270060">
        <w:rPr>
          <w:color w:val="000000" w:themeColor="text1"/>
          <w:sz w:val="22"/>
          <w:szCs w:val="22"/>
        </w:rPr>
        <w:t>), shows a cluster of</w:t>
      </w:r>
      <w:r w:rsidR="00FF766F" w:rsidRPr="00270060">
        <w:rPr>
          <w:color w:val="000000" w:themeColor="text1"/>
          <w:sz w:val="22"/>
          <w:szCs w:val="22"/>
        </w:rPr>
        <w:t xml:space="preserve"> lower ranked genes</w:t>
      </w:r>
      <w:r w:rsidRPr="00270060">
        <w:rPr>
          <w:color w:val="000000" w:themeColor="text1"/>
          <w:sz w:val="22"/>
          <w:szCs w:val="22"/>
        </w:rPr>
        <w:t xml:space="preserve"> </w:t>
      </w:r>
      <w:r w:rsidR="00FF766F" w:rsidRPr="00270060">
        <w:rPr>
          <w:color w:val="000000" w:themeColor="text1"/>
          <w:sz w:val="22"/>
          <w:szCs w:val="22"/>
        </w:rPr>
        <w:t>(r</w:t>
      </w:r>
      <w:r w:rsidRPr="00270060">
        <w:rPr>
          <w:color w:val="000000" w:themeColor="text1"/>
          <w:sz w:val="22"/>
          <w:szCs w:val="22"/>
        </w:rPr>
        <w:t xml:space="preserve"> &gt;2500</w:t>
      </w:r>
      <w:r w:rsidR="00FF766F" w:rsidRPr="00270060">
        <w:rPr>
          <w:color w:val="000000" w:themeColor="text1"/>
          <w:sz w:val="22"/>
          <w:szCs w:val="22"/>
        </w:rPr>
        <w:t>)</w:t>
      </w:r>
      <w:r w:rsidRPr="00270060">
        <w:rPr>
          <w:color w:val="000000" w:themeColor="text1"/>
          <w:sz w:val="22"/>
          <w:szCs w:val="22"/>
        </w:rPr>
        <w:t xml:space="preserve"> that </w:t>
      </w:r>
      <w:r w:rsidR="00FF766F" w:rsidRPr="00270060">
        <w:rPr>
          <w:color w:val="000000" w:themeColor="text1"/>
          <w:sz w:val="22"/>
          <w:szCs w:val="22"/>
        </w:rPr>
        <w:t>drive these</w:t>
      </w:r>
      <w:r w:rsidRPr="00270060">
        <w:rPr>
          <w:color w:val="000000" w:themeColor="text1"/>
          <w:sz w:val="22"/>
          <w:szCs w:val="22"/>
        </w:rPr>
        <w:t xml:space="preserve"> signals. </w:t>
      </w:r>
      <w:r w:rsidR="00FF766F" w:rsidRPr="00270060">
        <w:rPr>
          <w:color w:val="000000" w:themeColor="text1"/>
          <w:sz w:val="22"/>
          <w:szCs w:val="22"/>
        </w:rPr>
        <w:t>To fully exploit the power of MAIC, w</w:t>
      </w:r>
      <w:r w:rsidR="00354EC8" w:rsidRPr="00270060">
        <w:rPr>
          <w:color w:val="000000" w:themeColor="text1"/>
          <w:sz w:val="22"/>
          <w:szCs w:val="22"/>
        </w:rPr>
        <w:t xml:space="preserve">e prioritised </w:t>
      </w:r>
      <w:r w:rsidR="00FF766F" w:rsidRPr="00270060">
        <w:rPr>
          <w:color w:val="000000" w:themeColor="text1"/>
          <w:sz w:val="22"/>
          <w:szCs w:val="22"/>
        </w:rPr>
        <w:t xml:space="preserve">the top </w:t>
      </w:r>
      <w:r w:rsidR="00354EC8" w:rsidRPr="00270060">
        <w:rPr>
          <w:color w:val="000000" w:themeColor="text1"/>
          <w:sz w:val="22"/>
          <w:szCs w:val="22"/>
        </w:rPr>
        <w:t>1783 genes</w:t>
      </w:r>
      <w:r w:rsidR="00FF766F" w:rsidRPr="00270060">
        <w:rPr>
          <w:color w:val="000000" w:themeColor="text1"/>
          <w:sz w:val="22"/>
          <w:szCs w:val="22"/>
        </w:rPr>
        <w:t xml:space="preserve"> from the rodent BPD gene set</w:t>
      </w:r>
      <w:r w:rsidR="00354EC8" w:rsidRPr="00270060">
        <w:rPr>
          <w:color w:val="000000" w:themeColor="text1"/>
          <w:sz w:val="22"/>
          <w:szCs w:val="22"/>
        </w:rPr>
        <w:t xml:space="preserve"> for further investigation </w:t>
      </w:r>
      <w:r w:rsidRPr="00270060">
        <w:rPr>
          <w:color w:val="000000" w:themeColor="text1"/>
          <w:sz w:val="22"/>
          <w:szCs w:val="22"/>
        </w:rPr>
        <w:t>(</w:t>
      </w:r>
      <w:r w:rsidR="00354EC8" w:rsidRPr="00270060">
        <w:rPr>
          <w:color w:val="000000" w:themeColor="text1"/>
          <w:sz w:val="22"/>
          <w:szCs w:val="22"/>
        </w:rPr>
        <w:t>Supp</w:t>
      </w:r>
      <w:r w:rsidR="002F7479" w:rsidRPr="00270060">
        <w:rPr>
          <w:color w:val="000000" w:themeColor="text1"/>
          <w:sz w:val="22"/>
          <w:szCs w:val="22"/>
        </w:rPr>
        <w:t>lementary</w:t>
      </w:r>
      <w:r w:rsidR="00354EC8" w:rsidRPr="00270060">
        <w:rPr>
          <w:color w:val="000000" w:themeColor="text1"/>
          <w:sz w:val="22"/>
          <w:szCs w:val="22"/>
        </w:rPr>
        <w:t xml:space="preserve"> Figure 6</w:t>
      </w:r>
      <w:r w:rsidR="002F7479" w:rsidRPr="00270060">
        <w:rPr>
          <w:color w:val="000000" w:themeColor="text1"/>
          <w:sz w:val="22"/>
          <w:szCs w:val="22"/>
        </w:rPr>
        <w:t>D</w:t>
      </w:r>
      <w:r w:rsidRPr="00270060">
        <w:rPr>
          <w:color w:val="000000" w:themeColor="text1"/>
          <w:sz w:val="22"/>
          <w:szCs w:val="22"/>
        </w:rPr>
        <w:t>)</w:t>
      </w:r>
      <w:r w:rsidR="00354EC8" w:rsidRPr="00270060">
        <w:rPr>
          <w:color w:val="000000" w:themeColor="text1"/>
          <w:sz w:val="22"/>
          <w:szCs w:val="22"/>
        </w:rPr>
        <w:t xml:space="preserve">. </w:t>
      </w:r>
      <w:r w:rsidR="005D240B" w:rsidRPr="00270060">
        <w:rPr>
          <w:color w:val="000000" w:themeColor="text1"/>
          <w:sz w:val="22"/>
          <w:szCs w:val="22"/>
        </w:rPr>
        <w:t xml:space="preserve">Gene ontology ORA revealed a significant overrepresentation of pathways related to </w:t>
      </w:r>
      <w:r w:rsidRPr="00270060">
        <w:rPr>
          <w:color w:val="000000" w:themeColor="text1"/>
          <w:sz w:val="22"/>
          <w:szCs w:val="22"/>
        </w:rPr>
        <w:t>leukocyte</w:t>
      </w:r>
      <w:r w:rsidR="005D240B" w:rsidRPr="00270060">
        <w:rPr>
          <w:color w:val="000000" w:themeColor="text1"/>
          <w:sz w:val="22"/>
          <w:szCs w:val="22"/>
        </w:rPr>
        <w:t xml:space="preserve"> cells </w:t>
      </w:r>
      <w:r w:rsidRPr="00270060">
        <w:rPr>
          <w:color w:val="000000" w:themeColor="text1"/>
          <w:sz w:val="22"/>
          <w:szCs w:val="22"/>
        </w:rPr>
        <w:t>migration and activation,</w:t>
      </w:r>
      <w:r w:rsidR="005D240B" w:rsidRPr="00270060">
        <w:rPr>
          <w:color w:val="000000" w:themeColor="text1"/>
          <w:sz w:val="22"/>
          <w:szCs w:val="22"/>
        </w:rPr>
        <w:t xml:space="preserve"> and extracellular matrix organisation</w:t>
      </w:r>
      <w:r w:rsidR="009B65CF"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 3</w:t>
      </w:r>
      <w:r w:rsidRPr="00270060">
        <w:rPr>
          <w:color w:val="000000" w:themeColor="text1"/>
          <w:sz w:val="22"/>
          <w:szCs w:val="22"/>
        </w:rPr>
        <w:t>C)</w:t>
      </w:r>
      <w:r w:rsidR="005D240B" w:rsidRPr="00270060">
        <w:rPr>
          <w:color w:val="000000" w:themeColor="text1"/>
          <w:sz w:val="22"/>
          <w:szCs w:val="22"/>
        </w:rPr>
        <w:t xml:space="preserve">. </w:t>
      </w:r>
      <w:r w:rsidR="00520233" w:rsidRPr="00270060">
        <w:rPr>
          <w:color w:val="000000" w:themeColor="text1"/>
          <w:sz w:val="22"/>
          <w:szCs w:val="22"/>
        </w:rPr>
        <w:t xml:space="preserve">An MCL clustered PPI network </w:t>
      </w:r>
      <w:r w:rsidR="005D240B" w:rsidRPr="00270060">
        <w:rPr>
          <w:color w:val="000000" w:themeColor="text1"/>
          <w:sz w:val="22"/>
          <w:szCs w:val="22"/>
        </w:rPr>
        <w:t>identified 55 clusters with &gt;=5 members</w:t>
      </w:r>
      <w:r w:rsidR="00A55110" w:rsidRPr="00270060">
        <w:rPr>
          <w:color w:val="000000" w:themeColor="text1"/>
          <w:sz w:val="22"/>
          <w:szCs w:val="22"/>
        </w:rPr>
        <w:t xml:space="preserve"> </w:t>
      </w:r>
      <w:r w:rsidRPr="00270060">
        <w:rPr>
          <w:color w:val="000000" w:themeColor="text1"/>
          <w:sz w:val="22"/>
          <w:szCs w:val="22"/>
        </w:rPr>
        <w:t>(</w:t>
      </w:r>
      <w:r w:rsidR="00A55110" w:rsidRPr="00270060">
        <w:rPr>
          <w:color w:val="000000" w:themeColor="text1"/>
          <w:sz w:val="22"/>
          <w:szCs w:val="22"/>
        </w:rPr>
        <w:t>Suppl</w:t>
      </w:r>
      <w:r w:rsidR="00CF1C78" w:rsidRPr="00270060">
        <w:rPr>
          <w:color w:val="000000" w:themeColor="text1"/>
          <w:sz w:val="22"/>
          <w:szCs w:val="22"/>
        </w:rPr>
        <w:t>e</w:t>
      </w:r>
      <w:r w:rsidR="00A55110" w:rsidRPr="00270060">
        <w:rPr>
          <w:color w:val="000000" w:themeColor="text1"/>
          <w:sz w:val="22"/>
          <w:szCs w:val="22"/>
        </w:rPr>
        <w:t>mentary Figure</w:t>
      </w:r>
      <w:r w:rsidR="00EC63B6" w:rsidRPr="00270060">
        <w:rPr>
          <w:color w:val="000000" w:themeColor="text1"/>
          <w:sz w:val="22"/>
          <w:szCs w:val="22"/>
        </w:rPr>
        <w:t xml:space="preserve"> </w:t>
      </w:r>
      <w:r w:rsidR="002F7479" w:rsidRPr="00270060">
        <w:rPr>
          <w:color w:val="000000" w:themeColor="text1"/>
          <w:sz w:val="22"/>
          <w:szCs w:val="22"/>
        </w:rPr>
        <w:t>8</w:t>
      </w:r>
      <w:r w:rsidRPr="00270060">
        <w:rPr>
          <w:color w:val="000000" w:themeColor="text1"/>
          <w:sz w:val="22"/>
          <w:szCs w:val="22"/>
        </w:rPr>
        <w:t>)</w:t>
      </w:r>
      <w:r w:rsidR="005D240B" w:rsidRPr="00270060">
        <w:rPr>
          <w:color w:val="000000" w:themeColor="text1"/>
          <w:sz w:val="22"/>
          <w:szCs w:val="22"/>
        </w:rPr>
        <w:t xml:space="preserve">. The 21 largest clusters contained &gt;=10 members. Among these, we found programs associated with the adaptive immune response and mitosis. </w:t>
      </w:r>
      <w:r w:rsidR="00520233" w:rsidRPr="00270060">
        <w:rPr>
          <w:color w:val="000000" w:themeColor="text1"/>
          <w:sz w:val="22"/>
          <w:szCs w:val="22"/>
        </w:rPr>
        <w:t>Using the</w:t>
      </w:r>
      <w:r w:rsidR="005D240B" w:rsidRPr="00270060">
        <w:rPr>
          <w:color w:val="000000" w:themeColor="text1"/>
          <w:sz w:val="22"/>
          <w:szCs w:val="22"/>
        </w:rPr>
        <w:t xml:space="preserve"> PPI network </w:t>
      </w:r>
      <w:r w:rsidR="00520233" w:rsidRPr="00270060">
        <w:rPr>
          <w:color w:val="000000" w:themeColor="text1"/>
          <w:sz w:val="22"/>
          <w:szCs w:val="22"/>
        </w:rPr>
        <w:t>we</w:t>
      </w:r>
      <w:r w:rsidR="005D240B" w:rsidRPr="00270060">
        <w:rPr>
          <w:color w:val="000000" w:themeColor="text1"/>
          <w:sz w:val="22"/>
          <w:szCs w:val="22"/>
        </w:rPr>
        <w:t xml:space="preserve"> identif</w:t>
      </w:r>
      <w:r w:rsidR="00520233" w:rsidRPr="00270060">
        <w:rPr>
          <w:color w:val="000000" w:themeColor="text1"/>
          <w:sz w:val="22"/>
          <w:szCs w:val="22"/>
        </w:rPr>
        <w:t>ied</w:t>
      </w:r>
      <w:r w:rsidR="005D240B" w:rsidRPr="00270060">
        <w:rPr>
          <w:color w:val="000000" w:themeColor="text1"/>
          <w:sz w:val="22"/>
          <w:szCs w:val="22"/>
        </w:rPr>
        <w:t xml:space="preserve"> 13 hub genes, </w:t>
      </w:r>
      <w:r w:rsidR="00A55110" w:rsidRPr="00270060">
        <w:rPr>
          <w:color w:val="000000" w:themeColor="text1"/>
          <w:sz w:val="22"/>
          <w:szCs w:val="22"/>
        </w:rPr>
        <w:t xml:space="preserve">including FC gamma receptors </w:t>
      </w:r>
      <w:r w:rsidRPr="00270060">
        <w:rPr>
          <w:color w:val="000000" w:themeColor="text1"/>
          <w:sz w:val="22"/>
          <w:szCs w:val="22"/>
        </w:rPr>
        <w:t>(</w:t>
      </w:r>
      <w:r w:rsidR="00A55110" w:rsidRPr="00270060">
        <w:rPr>
          <w:color w:val="000000" w:themeColor="text1"/>
          <w:sz w:val="22"/>
          <w:szCs w:val="22"/>
        </w:rPr>
        <w:t>FCGR1A, FCGR2A, FCGR2B</w:t>
      </w:r>
      <w:r w:rsidRPr="00270060">
        <w:rPr>
          <w:color w:val="000000" w:themeColor="text1"/>
          <w:sz w:val="22"/>
          <w:szCs w:val="22"/>
        </w:rPr>
        <w:t>)</w:t>
      </w:r>
      <w:r w:rsidR="00A55110" w:rsidRPr="00270060">
        <w:rPr>
          <w:color w:val="000000" w:themeColor="text1"/>
          <w:sz w:val="22"/>
          <w:szCs w:val="22"/>
        </w:rPr>
        <w:t xml:space="preserve"> and lymphocyte markers </w:t>
      </w:r>
      <w:r w:rsidRPr="00270060">
        <w:rPr>
          <w:color w:val="000000" w:themeColor="text1"/>
          <w:sz w:val="22"/>
          <w:szCs w:val="22"/>
        </w:rPr>
        <w:t>(</w:t>
      </w:r>
      <w:r w:rsidR="00A55110" w:rsidRPr="00270060">
        <w:rPr>
          <w:color w:val="000000" w:themeColor="text1"/>
          <w:sz w:val="22"/>
          <w:szCs w:val="22"/>
        </w:rPr>
        <w:t>CD3E, CD2</w:t>
      </w:r>
      <w:r w:rsidRPr="00270060">
        <w:rPr>
          <w:color w:val="000000" w:themeColor="text1"/>
          <w:sz w:val="22"/>
          <w:szCs w:val="22"/>
        </w:rPr>
        <w:t>)</w:t>
      </w:r>
      <w:r w:rsidR="00A55110" w:rsidRPr="00270060">
        <w:rPr>
          <w:color w:val="000000" w:themeColor="text1"/>
          <w:sz w:val="22"/>
          <w:szCs w:val="22"/>
        </w:rPr>
        <w:t xml:space="preserve">, </w:t>
      </w:r>
      <w:r w:rsidR="005D240B" w:rsidRPr="00270060">
        <w:rPr>
          <w:color w:val="000000" w:themeColor="text1"/>
          <w:sz w:val="22"/>
          <w:szCs w:val="22"/>
        </w:rPr>
        <w:t>suggested as being central to the wider network</w:t>
      </w:r>
      <w:r w:rsidR="00520233" w:rsidRPr="00270060">
        <w:rPr>
          <w:color w:val="000000" w:themeColor="text1"/>
          <w:sz w:val="22"/>
          <w:szCs w:val="22"/>
        </w:rPr>
        <w:t xml:space="preserve"> in rodent models of BPD</w:t>
      </w:r>
      <w:r w:rsidR="005D240B"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 3D</w:t>
      </w:r>
      <w:r w:rsidRPr="00270060">
        <w:rPr>
          <w:color w:val="000000" w:themeColor="text1"/>
          <w:sz w:val="22"/>
          <w:szCs w:val="22"/>
        </w:rPr>
        <w:t>)</w:t>
      </w:r>
      <w:r w:rsidR="005D240B" w:rsidRPr="00270060">
        <w:rPr>
          <w:color w:val="000000" w:themeColor="text1"/>
          <w:sz w:val="22"/>
          <w:szCs w:val="22"/>
        </w:rPr>
        <w:t>.</w:t>
      </w:r>
    </w:p>
    <w:p w14:paraId="5E46E889" w14:textId="5327D307" w:rsidR="007B6D78" w:rsidRPr="00270060" w:rsidRDefault="007B6D78" w:rsidP="00172688">
      <w:pPr>
        <w:spacing w:line="480" w:lineRule="auto"/>
        <w:jc w:val="both"/>
        <w:rPr>
          <w:color w:val="000000" w:themeColor="text1"/>
          <w:sz w:val="22"/>
          <w:szCs w:val="22"/>
        </w:rPr>
      </w:pPr>
    </w:p>
    <w:p w14:paraId="44162D41" w14:textId="13319C56" w:rsidR="00327385" w:rsidRPr="00270060" w:rsidRDefault="00327385" w:rsidP="00172688">
      <w:pPr>
        <w:spacing w:line="480" w:lineRule="auto"/>
        <w:jc w:val="both"/>
        <w:rPr>
          <w:color w:val="000000" w:themeColor="text1"/>
          <w:sz w:val="22"/>
          <w:szCs w:val="22"/>
        </w:rPr>
      </w:pPr>
      <w:r w:rsidRPr="00270060">
        <w:rPr>
          <w:i/>
          <w:iCs/>
          <w:color w:val="000000" w:themeColor="text1"/>
          <w:sz w:val="22"/>
          <w:szCs w:val="22"/>
        </w:rPr>
        <w:lastRenderedPageBreak/>
        <w:t>Comparison of human and rodent datasets</w:t>
      </w:r>
    </w:p>
    <w:p w14:paraId="68E66690" w14:textId="4CE27C1E"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Ontology ORA showed that while the </w:t>
      </w:r>
      <w:r w:rsidR="00F059EA" w:rsidRPr="00270060">
        <w:rPr>
          <w:color w:val="000000" w:themeColor="text1"/>
          <w:sz w:val="22"/>
          <w:szCs w:val="22"/>
        </w:rPr>
        <w:t>lymphoid</w:t>
      </w:r>
      <w:r w:rsidRPr="00270060">
        <w:rPr>
          <w:color w:val="000000" w:themeColor="text1"/>
          <w:sz w:val="22"/>
          <w:szCs w:val="22"/>
        </w:rPr>
        <w:t xml:space="preserve"> signal observed in humans above was seen in the rodent </w:t>
      </w:r>
      <w:r w:rsidR="00F059EA" w:rsidRPr="00270060">
        <w:rPr>
          <w:color w:val="000000" w:themeColor="text1"/>
          <w:sz w:val="22"/>
          <w:szCs w:val="22"/>
        </w:rPr>
        <w:t xml:space="preserve">gene </w:t>
      </w:r>
      <w:r w:rsidRPr="00270060">
        <w:rPr>
          <w:color w:val="000000" w:themeColor="text1"/>
          <w:sz w:val="22"/>
          <w:szCs w:val="22"/>
        </w:rPr>
        <w:t xml:space="preserve">set, </w:t>
      </w:r>
      <w:r w:rsidR="00F059EA" w:rsidRPr="00270060">
        <w:rPr>
          <w:color w:val="000000" w:themeColor="text1"/>
          <w:sz w:val="22"/>
          <w:szCs w:val="22"/>
        </w:rPr>
        <w:t>we also saw</w:t>
      </w:r>
      <w:r w:rsidRPr="00270060">
        <w:rPr>
          <w:color w:val="000000" w:themeColor="text1"/>
          <w:sz w:val="22"/>
          <w:szCs w:val="22"/>
        </w:rPr>
        <w:t xml:space="preserve"> the role of the extracellular matrix and wound healing</w:t>
      </w:r>
      <w:r w:rsidR="00F059EA" w:rsidRPr="00270060">
        <w:rPr>
          <w:color w:val="000000" w:themeColor="text1"/>
          <w:sz w:val="22"/>
          <w:szCs w:val="22"/>
        </w:rPr>
        <w:t xml:space="preserve"> highlighted</w:t>
      </w:r>
      <w:r w:rsidRPr="00270060">
        <w:rPr>
          <w:color w:val="000000" w:themeColor="text1"/>
          <w:sz w:val="22"/>
          <w:szCs w:val="22"/>
        </w:rPr>
        <w:t xml:space="preserve"> </w:t>
      </w:r>
      <w:r w:rsidR="006323BF" w:rsidRPr="00270060">
        <w:rPr>
          <w:color w:val="000000" w:themeColor="text1"/>
          <w:sz w:val="22"/>
          <w:szCs w:val="22"/>
        </w:rPr>
        <w:t>(</w:t>
      </w:r>
      <w:r w:rsidRPr="00270060">
        <w:rPr>
          <w:color w:val="000000" w:themeColor="text1"/>
          <w:sz w:val="22"/>
          <w:szCs w:val="22"/>
        </w:rPr>
        <w:t>Figure 4A</w:t>
      </w:r>
      <w:r w:rsidR="006323BF" w:rsidRPr="00270060">
        <w:rPr>
          <w:color w:val="000000" w:themeColor="text1"/>
          <w:sz w:val="22"/>
          <w:szCs w:val="22"/>
        </w:rPr>
        <w:t>)</w:t>
      </w:r>
      <w:r w:rsidRPr="00270060">
        <w:rPr>
          <w:color w:val="000000" w:themeColor="text1"/>
          <w:sz w:val="22"/>
          <w:szCs w:val="22"/>
        </w:rPr>
        <w:t xml:space="preserve">. The gross overlap between the two parallel MAIC analyses carried out in this study was not shown to be significant by hypergeometric test (p&gt;0.5). However, focusing on the prioritised genes from both </w:t>
      </w:r>
      <w:r w:rsidR="00F059EA" w:rsidRPr="00270060">
        <w:rPr>
          <w:color w:val="000000" w:themeColor="text1"/>
          <w:sz w:val="22"/>
          <w:szCs w:val="22"/>
        </w:rPr>
        <w:t xml:space="preserve">gene </w:t>
      </w:r>
      <w:r w:rsidRPr="00270060">
        <w:rPr>
          <w:color w:val="000000" w:themeColor="text1"/>
          <w:sz w:val="22"/>
          <w:szCs w:val="22"/>
        </w:rPr>
        <w:t>sets</w:t>
      </w:r>
      <w:r w:rsidR="00E715A3" w:rsidRPr="00270060">
        <w:rPr>
          <w:color w:val="000000" w:themeColor="text1"/>
          <w:sz w:val="22"/>
          <w:szCs w:val="22"/>
        </w:rPr>
        <w:t xml:space="preserve"> </w:t>
      </w:r>
      <w:r w:rsidRPr="00270060">
        <w:rPr>
          <w:color w:val="000000" w:themeColor="text1"/>
          <w:sz w:val="22"/>
          <w:szCs w:val="22"/>
        </w:rPr>
        <w:t xml:space="preserve">indicated the overlap of 163 genes </w:t>
      </w:r>
      <w:r w:rsidR="006323BF" w:rsidRPr="00270060">
        <w:rPr>
          <w:color w:val="000000" w:themeColor="text1"/>
          <w:sz w:val="22"/>
          <w:szCs w:val="22"/>
        </w:rPr>
        <w:t>(</w:t>
      </w:r>
      <w:r w:rsidRPr="00270060">
        <w:rPr>
          <w:color w:val="000000" w:themeColor="text1"/>
          <w:sz w:val="22"/>
          <w:szCs w:val="22"/>
        </w:rPr>
        <w:t>Figure 4B</w:t>
      </w:r>
      <w:r w:rsidR="006323BF" w:rsidRPr="00270060">
        <w:rPr>
          <w:color w:val="000000" w:themeColor="text1"/>
          <w:sz w:val="22"/>
          <w:szCs w:val="22"/>
        </w:rPr>
        <w:t>)</w:t>
      </w:r>
      <w:r w:rsidRPr="00270060">
        <w:rPr>
          <w:color w:val="000000" w:themeColor="text1"/>
          <w:sz w:val="22"/>
          <w:szCs w:val="22"/>
        </w:rPr>
        <w:t xml:space="preserve"> was significant </w:t>
      </w:r>
      <w:r w:rsidR="006323BF" w:rsidRPr="00270060">
        <w:rPr>
          <w:color w:val="000000" w:themeColor="text1"/>
          <w:sz w:val="22"/>
          <w:szCs w:val="22"/>
        </w:rPr>
        <w:t>(</w:t>
      </w:r>
      <w:r w:rsidRPr="00270060">
        <w:rPr>
          <w:color w:val="000000" w:themeColor="text1"/>
          <w:sz w:val="22"/>
          <w:szCs w:val="22"/>
        </w:rPr>
        <w:t xml:space="preserve">Supplementary Table </w:t>
      </w:r>
      <w:r w:rsidR="00CD4E27" w:rsidRPr="00270060">
        <w:rPr>
          <w:color w:val="000000" w:themeColor="text1"/>
          <w:sz w:val="22"/>
          <w:szCs w:val="22"/>
        </w:rPr>
        <w:t>13</w:t>
      </w:r>
      <w:r w:rsidR="006323BF" w:rsidRPr="00270060">
        <w:rPr>
          <w:color w:val="000000" w:themeColor="text1"/>
          <w:sz w:val="22"/>
          <w:szCs w:val="22"/>
        </w:rPr>
        <w:t>)</w:t>
      </w:r>
      <w:r w:rsidRPr="00270060">
        <w:rPr>
          <w:color w:val="000000" w:themeColor="text1"/>
          <w:sz w:val="22"/>
          <w:szCs w:val="22"/>
        </w:rPr>
        <w:t xml:space="preserve">. </w:t>
      </w:r>
      <w:r w:rsidR="00E715A3" w:rsidRPr="00270060">
        <w:rPr>
          <w:color w:val="000000" w:themeColor="text1"/>
          <w:sz w:val="22"/>
          <w:szCs w:val="22"/>
        </w:rPr>
        <w:t xml:space="preserve">The similarity occurred predominantly toward the top of the prioritised lists. </w:t>
      </w:r>
      <w:r w:rsidR="006323BF" w:rsidRPr="00270060">
        <w:rPr>
          <w:color w:val="000000" w:themeColor="text1"/>
          <w:sz w:val="22"/>
          <w:szCs w:val="22"/>
        </w:rPr>
        <w:t>(</w:t>
      </w:r>
      <w:r w:rsidR="00E715A3" w:rsidRPr="00270060">
        <w:rPr>
          <w:color w:val="000000" w:themeColor="text1"/>
          <w:sz w:val="22"/>
          <w:szCs w:val="22"/>
        </w:rPr>
        <w:t>Figure 4C</w:t>
      </w:r>
      <w:r w:rsidR="006323BF" w:rsidRPr="00270060">
        <w:rPr>
          <w:color w:val="000000" w:themeColor="text1"/>
          <w:sz w:val="22"/>
          <w:szCs w:val="22"/>
        </w:rPr>
        <w:t>)</w:t>
      </w:r>
      <w:r w:rsidR="00E715A3" w:rsidRPr="00270060">
        <w:rPr>
          <w:color w:val="000000" w:themeColor="text1"/>
          <w:sz w:val="22"/>
          <w:szCs w:val="22"/>
        </w:rPr>
        <w:t xml:space="preserve"> </w:t>
      </w:r>
    </w:p>
    <w:p w14:paraId="69F98C09" w14:textId="39C2764D" w:rsidR="005D240B" w:rsidRPr="00270060" w:rsidRDefault="006323BF" w:rsidP="00172688">
      <w:pPr>
        <w:spacing w:line="480" w:lineRule="auto"/>
        <w:jc w:val="both"/>
        <w:rPr>
          <w:color w:val="000000" w:themeColor="text1"/>
          <w:sz w:val="22"/>
          <w:szCs w:val="22"/>
        </w:rPr>
      </w:pPr>
      <w:r w:rsidRPr="00270060">
        <w:rPr>
          <w:color w:val="000000" w:themeColor="text1"/>
          <w:sz w:val="22"/>
          <w:szCs w:val="22"/>
        </w:rPr>
        <w:t>An MCL-clustered PPI network of the overlapping genes between the prioritised sets revealed five distinct clusters (Figure 4D). These clusters prominently featured T</w:t>
      </w:r>
      <w:r w:rsidR="00FF766F" w:rsidRPr="00270060">
        <w:rPr>
          <w:color w:val="000000" w:themeColor="text1"/>
          <w:sz w:val="22"/>
          <w:szCs w:val="22"/>
        </w:rPr>
        <w:t xml:space="preserve"> </w:t>
      </w:r>
      <w:r w:rsidRPr="00270060">
        <w:rPr>
          <w:color w:val="000000" w:themeColor="text1"/>
          <w:sz w:val="22"/>
          <w:szCs w:val="22"/>
        </w:rPr>
        <w:t>cell receptor–associated genes, including those linked to primary immunodeficiency and ZAP-70 translocation, as well as genes involved in mitosis. Notably, the overlap also highlighted B-cell receptor signalling pathways which was absent from either dataset when analysed independently, alongside IL-1 signalling, which was shared across both datasets.</w:t>
      </w:r>
    </w:p>
    <w:p w14:paraId="257E1A6D" w14:textId="308C7BDE" w:rsidR="005D240B" w:rsidRPr="00270060" w:rsidRDefault="005D240B" w:rsidP="00172688">
      <w:pPr>
        <w:spacing w:line="480" w:lineRule="auto"/>
        <w:jc w:val="both"/>
        <w:rPr>
          <w:b/>
          <w:bCs/>
          <w:color w:val="000000" w:themeColor="text1"/>
          <w:sz w:val="22"/>
          <w:szCs w:val="22"/>
        </w:rPr>
      </w:pPr>
    </w:p>
    <w:p w14:paraId="1E6D666A" w14:textId="77777777" w:rsidR="00E52243" w:rsidRPr="00EA2663" w:rsidRDefault="00E52243" w:rsidP="00E52243">
      <w:pPr>
        <w:spacing w:line="480" w:lineRule="auto"/>
        <w:jc w:val="both"/>
        <w:rPr>
          <w:b/>
          <w:bCs/>
          <w:color w:val="000000" w:themeColor="text1"/>
          <w:sz w:val="22"/>
          <w:szCs w:val="22"/>
        </w:rPr>
      </w:pPr>
      <w:r w:rsidRPr="00EA2663">
        <w:rPr>
          <w:b/>
          <w:bCs/>
          <w:color w:val="000000" w:themeColor="text1"/>
          <w:sz w:val="22"/>
          <w:szCs w:val="22"/>
        </w:rPr>
        <w:t>Discussion</w:t>
      </w:r>
    </w:p>
    <w:p w14:paraId="65FEC2C7"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The clinical and biological heterogeneity of BPD presents challenges for identifying the molecular processes that drive progression of the disease. To address this, we applied a validated</w:t>
      </w:r>
      <w:r w:rsidRPr="00EA2663">
        <w:rPr>
          <w:i/>
          <w:iCs/>
          <w:color w:val="000000" w:themeColor="text1"/>
          <w:sz w:val="22"/>
          <w:szCs w:val="22"/>
        </w:rPr>
        <w:t xml:space="preserve"> in silico </w:t>
      </w:r>
      <w:r w:rsidRPr="00EA2663">
        <w:rPr>
          <w:color w:val="000000" w:themeColor="text1"/>
          <w:sz w:val="22"/>
          <w:szCs w:val="22"/>
        </w:rPr>
        <w:t xml:space="preserve">approach to systematically integrate and prioritise existing genome-scale BPD datasets from both human and rodent studies.  Further to this, we compared our human BPD MAIC results to our previously generated ARDS MAIC dataset. </w:t>
      </w:r>
    </w:p>
    <w:p w14:paraId="79833710" w14:textId="77777777" w:rsidR="00E52243" w:rsidRPr="00EA2663" w:rsidRDefault="00E52243" w:rsidP="00E52243">
      <w:pPr>
        <w:spacing w:line="480" w:lineRule="auto"/>
        <w:jc w:val="both"/>
        <w:rPr>
          <w:color w:val="000000" w:themeColor="text1"/>
          <w:sz w:val="22"/>
          <w:szCs w:val="22"/>
        </w:rPr>
      </w:pPr>
    </w:p>
    <w:p w14:paraId="39E45ACC" w14:textId="77777777" w:rsidR="00E52243" w:rsidRPr="00EA2663" w:rsidRDefault="00E52243" w:rsidP="00E52243">
      <w:pPr>
        <w:spacing w:line="480" w:lineRule="auto"/>
        <w:jc w:val="both"/>
        <w:rPr>
          <w:rFonts w:cs="Calibri"/>
          <w:color w:val="000000" w:themeColor="text1"/>
          <w:sz w:val="22"/>
          <w:szCs w:val="22"/>
        </w:rPr>
      </w:pPr>
      <w:r w:rsidRPr="00EA2663">
        <w:rPr>
          <w:rFonts w:cs="Calibri"/>
          <w:color w:val="000000" w:themeColor="text1"/>
          <w:sz w:val="22"/>
          <w:szCs w:val="22"/>
        </w:rPr>
        <w:t xml:space="preserve">Our findings heavily prioritise elements of the adaptive immune response, in particular development and activation of T cells. This signal was seen across all three gene sets examined (Human, Rodent, ARDS). And for BPD is not without foundation within the literature.  A recent study of potential transcriptomic endotypes in BPD focused on the Pietrzyk dataset included in </w:t>
      </w:r>
      <w:r w:rsidRPr="00EA2663">
        <w:rPr>
          <w:rFonts w:cs="Calibri"/>
          <w:color w:val="000000" w:themeColor="text1"/>
          <w:sz w:val="22"/>
          <w:szCs w:val="22"/>
        </w:rPr>
        <w:lastRenderedPageBreak/>
        <w:t>our analysis</w:t>
      </w:r>
      <w:r w:rsidRPr="00EA2663">
        <w:rPr>
          <w:rFonts w:cs="Calibri"/>
          <w:color w:val="000000" w:themeColor="text1"/>
          <w:sz w:val="22"/>
          <w:szCs w:val="22"/>
        </w:rPr>
        <w:fldChar w:fldCharType="begin"/>
      </w:r>
      <w:r w:rsidRPr="00EA2663">
        <w:rPr>
          <w:rFonts w:cs="Calibri"/>
          <w:color w:val="000000" w:themeColor="text1"/>
          <w:sz w:val="22"/>
          <w:szCs w:val="22"/>
        </w:rPr>
        <w:instrText xml:space="preserve"> ADDIN ZOTERO_ITEM CSL_CITATION {"citationID":"m8civNmW","properties":{"formattedCitation":"\\super 17,39\\nosupersub{}","plainCitation":"17,39","noteIndex":0},"citationItems":[{"id":1738,"uris":["http://zotero.org/users/14418362/items/4FM3ID98"],"itemData":{"id":1738,"type":"article-journal","abstract":"IMPACT: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EA2663">
        <w:rPr>
          <w:rFonts w:cs="Calibri"/>
          <w:color w:val="000000" w:themeColor="text1"/>
          <w:sz w:val="22"/>
          <w:szCs w:val="22"/>
        </w:rPr>
        <w:fldChar w:fldCharType="separate"/>
      </w:r>
      <w:r w:rsidRPr="00EA2663">
        <w:rPr>
          <w:rFonts w:ascii="Aptos" w:cs="Times New Roman"/>
          <w:color w:val="000000"/>
          <w:sz w:val="22"/>
          <w:szCs w:val="22"/>
          <w:vertAlign w:val="superscript"/>
        </w:rPr>
        <w:t>17,39</w:t>
      </w:r>
      <w:r w:rsidRPr="00EA2663">
        <w:rPr>
          <w:rFonts w:cs="Calibri"/>
          <w:color w:val="000000" w:themeColor="text1"/>
          <w:sz w:val="22"/>
          <w:szCs w:val="22"/>
        </w:rPr>
        <w:fldChar w:fldCharType="end"/>
      </w:r>
      <w:r w:rsidRPr="00EA2663">
        <w:rPr>
          <w:rFonts w:cs="Calibri"/>
          <w:color w:val="000000" w:themeColor="text1"/>
          <w:sz w:val="22"/>
          <w:szCs w:val="22"/>
        </w:rPr>
        <w:t xml:space="preserve">. and identified 4 potential endotypes underlying BPD progression. T helper 17 (Th17) differentiation </w:t>
      </w:r>
      <w:r w:rsidRPr="00EA2663">
        <w:rPr>
          <w:color w:val="000000" w:themeColor="text1"/>
          <w:sz w:val="22"/>
          <w:szCs w:val="22"/>
        </w:rPr>
        <w:t>emerged as the most significant pathway distinguishing the BPD endotypes.</w:t>
      </w:r>
      <w:r w:rsidRPr="00EA2663">
        <w:rPr>
          <w:rFonts w:cs="Calibri"/>
          <w:color w:val="000000" w:themeColor="text1"/>
          <w:sz w:val="22"/>
          <w:szCs w:val="22"/>
        </w:rPr>
        <w:t xml:space="preserve">  </w:t>
      </w:r>
      <w:r w:rsidRPr="00EA2663">
        <w:rPr>
          <w:color w:val="000000" w:themeColor="text1"/>
          <w:sz w:val="22"/>
          <w:szCs w:val="22"/>
        </w:rPr>
        <w:t>CD4+ T cells were shown to be reduced in infants who develop BPD.</w:t>
      </w:r>
      <w:r w:rsidRPr="00EA2663">
        <w:rPr>
          <w:color w:val="000000" w:themeColor="text1"/>
          <w:sz w:val="22"/>
          <w:szCs w:val="22"/>
        </w:rPr>
        <w:fldChar w:fldCharType="begin"/>
      </w:r>
      <w:r w:rsidRPr="00EA2663">
        <w:rPr>
          <w:color w:val="000000" w:themeColor="text1"/>
          <w:sz w:val="22"/>
          <w:szCs w:val="22"/>
        </w:rPr>
        <w:instrText xml:space="preserve"> ADDIN ZOTERO_ITEM CSL_CITATION {"citationID":"xkktLkc9","properties":{"formattedCitation":"\\super 63\\nosupersub{}","plainCitation":"63","noteIndex":0},"citationItems":[{"id":2504,"uris":["http://zotero.org/users/14418362/items/BGIG42DF"],"itemData":{"id":2504,"type":"article-journal","container-title":"American Journal of Perinatology","DOI":"10.1055/s-2003-45387","ISSN":"0735-1631, 1098-8785","issue":"8","journalAbbreviation":"Am J Perinatol","language":"en","page":"465-476","source":"DOI.org (Crossref)","title":"Lymphocyte Subpopulations in Bronchopulmonary Dysplasia","URL":"http://www.thieme-connect.de/DOI/DOI?10.1055/s-2003-45387","volume":"20","accessed":{"date-parts":[["2025",9,8]]},"issued":{"date-parts":[["2003"]]}}}],"schema":"https://github.com/citation-style-language/schema/raw/master/csl-citation.json"} </w:instrText>
      </w:r>
      <w:r w:rsidRPr="00EA2663">
        <w:rPr>
          <w:color w:val="000000" w:themeColor="text1"/>
          <w:sz w:val="22"/>
          <w:szCs w:val="22"/>
        </w:rPr>
        <w:fldChar w:fldCharType="separate"/>
      </w:r>
      <w:r w:rsidRPr="00EA2663">
        <w:rPr>
          <w:rFonts w:ascii="Aptos" w:cs="Times New Roman"/>
          <w:color w:val="000000"/>
          <w:sz w:val="22"/>
          <w:szCs w:val="22"/>
          <w:vertAlign w:val="superscript"/>
        </w:rPr>
        <w:t>63</w:t>
      </w:r>
      <w:r w:rsidRPr="00EA2663">
        <w:rPr>
          <w:color w:val="000000" w:themeColor="text1"/>
          <w:sz w:val="22"/>
          <w:szCs w:val="22"/>
        </w:rPr>
        <w:fldChar w:fldCharType="end"/>
      </w:r>
      <w:r w:rsidRPr="00EA2663">
        <w:rPr>
          <w:color w:val="000000" w:themeColor="text1"/>
          <w:sz w:val="22"/>
          <w:szCs w:val="22"/>
        </w:rPr>
        <w:t xml:space="preserve">  While, a lower CD4/CD8 ratio has been observed in adults with a history of BPD</w:t>
      </w:r>
      <w:r w:rsidRPr="00EA2663">
        <w:rPr>
          <w:color w:val="000000" w:themeColor="text1"/>
          <w:sz w:val="22"/>
          <w:szCs w:val="22"/>
        </w:rPr>
        <w:fldChar w:fldCharType="begin"/>
      </w:r>
      <w:r w:rsidRPr="00EA2663">
        <w:rPr>
          <w:color w:val="000000" w:themeColor="text1"/>
          <w:sz w:val="22"/>
          <w:szCs w:val="22"/>
        </w:rPr>
        <w:instrText xml:space="preserve"> ADDIN ZOTERO_ITEM CSL_CITATION {"citationID":"PD1cnCT2","properties":{"formattedCitation":"\\super 64\\nosupersub{}","plainCitation":"64","noteIndex":0},"citationItems":[{"id":2271,"uris":["http://zotero.org/users/14418362/items/EGCZQ2BF"],"itemData":{"id":2271,"type":"article-journal","abstract":"Objectives To characterise the distribution of airway T-cell subsets in adults with a history of BPD.\nMethods Young adults with former BPD (n=22; median age 19.6 years), age-matched adults born preterm (n=22), patients with allergic asthma born at term (n=22) and healthy control subjects born at term (n=24) underwent bronchoalveolar lavage (BAL). T-cell subsets in BAL were analysed using flow cytometry.\nResults The total number of cells and the differential cell counts in BAL were similar among the study groups. The percentage of CD3+CD8+ T-cells was higher ( p=0.005) and the proportion of CD3+CD4+ Tcells was reduced ( p=0.01) in the BPD group, resulting in a lower CD4/CD8 ratio ( p=0.007) compared to the healthy controls (median 2.2 versus 5.3). In BPD and preterm-born study subjects, both CD3+CD4+ Tcells (rs=0.38, p=0.03) and CD4/CD8 ratio (rs=0.44, p=0.01) correlated positively with forced expiratory volume in 1 s (FEV1). Furthermore, CD3+CD8+ T-cells were negatively correlated with both FEV1 and FEV1/forced vital capacity (rs= −0.44, p=0.09 and rs= −0.41, p=0.01, respectively).\nConclusions Young adults with former BPD have a T-cell subset pattern in the airways resembling features of COPD. Our findings are compatible with the hypothesis that CD3+CD8+ T-cells are involved in mechanisms behind chronic airway obstruction in these patients.","container-title":"European Respiratory Journal","DOI":"10.1183/13993003.02531-2021","ISSN":"0903-1936, 1399-3003","issue":"3","journalAbbreviation":"Eur Respir J","language":"en","page":"2102531","source":"DOI.org (Crossref)","title":"Increased cytotoxic T-cells in the airways of adults with former bronchopulmonary dysplasia","URL":"http://publications.ersnet.org/lookup/doi/10.1183/13993003.02531-2021","volume":"60","author":[{"family":"Um-Bergström","given":"Petra"},{"family":"Pourbazargan","given":"Melvin"},{"family":"Brundin","given":"Bettina"},{"family":"Ström","given":"Marika"},{"family":"Ezerskyte","given":"Monika"},{"family":"Gao","given":"Jing"},{"family":"Berggren Broström","given":"Eva"},{"family":"Melén","given":"Erik"},{"family":"Wheelock","given":"Åsa M."},{"family":"Lindén","given":"Anders"},{"family":"Sköld","given":"C. Magnus"}],"accessed":{"date-parts":[["2025",2,21]]},"issued":{"date-parts":[["2022",9]]}}}],"schema":"https://github.com/citation-style-language/schema/raw/master/csl-citation.json"} </w:instrText>
      </w:r>
      <w:r w:rsidRPr="00EA2663">
        <w:rPr>
          <w:color w:val="000000" w:themeColor="text1"/>
          <w:sz w:val="22"/>
          <w:szCs w:val="22"/>
        </w:rPr>
        <w:fldChar w:fldCharType="separate"/>
      </w:r>
      <w:r w:rsidRPr="00EA2663">
        <w:rPr>
          <w:rFonts w:ascii="Aptos" w:cs="Times New Roman"/>
          <w:color w:val="000000"/>
          <w:sz w:val="22"/>
          <w:szCs w:val="22"/>
          <w:vertAlign w:val="superscript"/>
        </w:rPr>
        <w:t>64</w:t>
      </w:r>
      <w:r w:rsidRPr="00EA2663">
        <w:rPr>
          <w:color w:val="000000" w:themeColor="text1"/>
          <w:sz w:val="22"/>
          <w:szCs w:val="22"/>
        </w:rPr>
        <w:fldChar w:fldCharType="end"/>
      </w:r>
      <w:r w:rsidRPr="00EA2663">
        <w:rPr>
          <w:color w:val="000000" w:themeColor="text1"/>
          <w:sz w:val="22"/>
          <w:szCs w:val="22"/>
        </w:rPr>
        <w:t>. These taken together with our results, suggest a central role for T cells in the progression and of BPD</w:t>
      </w:r>
      <w:commentRangeStart w:id="1"/>
      <w:r w:rsidRPr="00EA2663">
        <w:rPr>
          <w:color w:val="000000" w:themeColor="text1"/>
          <w:sz w:val="22"/>
          <w:szCs w:val="22"/>
        </w:rPr>
        <w:t>.</w:t>
      </w:r>
      <w:commentRangeEnd w:id="1"/>
      <w:r>
        <w:rPr>
          <w:rStyle w:val="CommentReference"/>
        </w:rPr>
        <w:commentReference w:id="1"/>
      </w:r>
    </w:p>
    <w:p w14:paraId="087C12DD" w14:textId="77777777" w:rsidR="00E52243" w:rsidRPr="00EA2663" w:rsidRDefault="00E52243" w:rsidP="00E52243">
      <w:pPr>
        <w:spacing w:line="480" w:lineRule="auto"/>
        <w:jc w:val="both"/>
        <w:rPr>
          <w:color w:val="000000" w:themeColor="text1"/>
          <w:sz w:val="22"/>
          <w:szCs w:val="22"/>
        </w:rPr>
      </w:pPr>
    </w:p>
    <w:p w14:paraId="1AEC5818"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Only 12% of the prioritised BPD gene set overlapped with the ARDS gene set. This was surprising given the shared aetiologies and similarity in sample type between both studies but may reflect the ages of the populations studied and divergence in underlying causes.</w:t>
      </w:r>
    </w:p>
    <w:p w14:paraId="77FC3FD8"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 xml:space="preserve">Despite the limited overlap, comparison of the ARDS and BPD gene sets further highlighted the role of lymphoid cells in ventilator associated injury. </w:t>
      </w:r>
      <w:proofErr w:type="gramStart"/>
      <w:r w:rsidRPr="00EA2663">
        <w:rPr>
          <w:color w:val="000000" w:themeColor="text1"/>
          <w:sz w:val="22"/>
          <w:szCs w:val="22"/>
        </w:rPr>
        <w:t>In particular, emphasis</w:t>
      </w:r>
      <w:proofErr w:type="gramEnd"/>
      <w:r w:rsidRPr="00EA2663">
        <w:rPr>
          <w:color w:val="000000" w:themeColor="text1"/>
          <w:sz w:val="22"/>
          <w:szCs w:val="22"/>
        </w:rPr>
        <w:t xml:space="preserve"> is placed on the activation of leukocytes, their role in antigen presentation and innate/adaptive crosstalk. Lymphocyte differentiation is notably absent in ARDS.</w:t>
      </w:r>
    </w:p>
    <w:p w14:paraId="232A4B57" w14:textId="77777777" w:rsidR="00E52243" w:rsidRPr="00EA2663" w:rsidRDefault="00E52243" w:rsidP="00E52243">
      <w:pPr>
        <w:spacing w:line="480" w:lineRule="auto"/>
        <w:jc w:val="both"/>
        <w:rPr>
          <w:color w:val="000000" w:themeColor="text1"/>
          <w:sz w:val="22"/>
          <w:szCs w:val="22"/>
        </w:rPr>
      </w:pPr>
    </w:p>
    <w:p w14:paraId="2899047A"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The primary goal of carrying out parallel MAIC analyses between human and animal model BPD studies was to differentiate species-specific responses to injury, from core conserved disease mechanisms. The rodent analysis showed a more pronounced focus on pathways associated with extracellular matrix (ECM) remodelling, and wound healing (Figure 4A). The cause of this divergence is multifactorial but may be driven partly by the sample source bias inherent in the existing literature. Over half of the human studies used circulating blood samples (52.4%), which is ideal for capturing systemic immune and biomarker signals. Conversely, most of the rodent studies (19/20) used whole lung tissue, directly capturing the local pathology and the extensive tissue remodelling inherent to the structural component of BPD</w:t>
      </w:r>
      <w:commentRangeStart w:id="2"/>
      <w:r w:rsidRPr="00EA2663">
        <w:rPr>
          <w:color w:val="000000" w:themeColor="text1"/>
          <w:sz w:val="22"/>
          <w:szCs w:val="22"/>
        </w:rPr>
        <w:t xml:space="preserve">. </w:t>
      </w:r>
      <w:commentRangeEnd w:id="2"/>
      <w:r w:rsidRPr="00EA2663">
        <w:rPr>
          <w:rStyle w:val="CommentReference"/>
          <w:sz w:val="22"/>
          <w:szCs w:val="22"/>
        </w:rPr>
        <w:commentReference w:id="2"/>
      </w:r>
    </w:p>
    <w:p w14:paraId="114D74D2" w14:textId="77777777" w:rsidR="00E52243" w:rsidRPr="00EA2663" w:rsidRDefault="00E52243" w:rsidP="00E52243">
      <w:pPr>
        <w:spacing w:line="480" w:lineRule="auto"/>
        <w:jc w:val="both"/>
        <w:rPr>
          <w:color w:val="000000" w:themeColor="text1"/>
          <w:sz w:val="22"/>
          <w:szCs w:val="22"/>
        </w:rPr>
      </w:pPr>
    </w:p>
    <w:p w14:paraId="63874E1D"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 xml:space="preserve">Despite the difference in their systemic and local pathologies, the significant overlap between the prioritised human and rodent lists (163 genes) points towards a conserved set of critical </w:t>
      </w:r>
      <w:r w:rsidRPr="00EA2663">
        <w:rPr>
          <w:color w:val="000000" w:themeColor="text1"/>
          <w:sz w:val="22"/>
          <w:szCs w:val="22"/>
        </w:rPr>
        <w:lastRenderedPageBreak/>
        <w:t>mechanisms. This convergence is most clearly demonstrated by the shared presence of Interleukin-1 Receptor Type 2 (IL1R2) in the top ranked genes of the human (rank = 3) and rodent (rank = 3) datasets. This finding anchors the disease in the context of the perinatal hypoxic-inflammatory environment. IL1R2 is upregulated in acute hypoxia,</w:t>
      </w:r>
      <w:r w:rsidRPr="00EA2663">
        <w:rPr>
          <w:color w:val="000000" w:themeColor="text1"/>
          <w:sz w:val="22"/>
          <w:szCs w:val="22"/>
        </w:rPr>
        <w:fldChar w:fldCharType="begin"/>
      </w:r>
      <w:r w:rsidRPr="00EA2663">
        <w:rPr>
          <w:color w:val="000000" w:themeColor="text1"/>
          <w:sz w:val="22"/>
          <w:szCs w:val="22"/>
        </w:rPr>
        <w:instrText xml:space="preserve"> ADDIN ZOTERO_ITEM CSL_CITATION {"citationID":"8Cr45T4i","properties":{"formattedCitation":"\\super 67\\nosupersub{}","plainCitation":"67","noteIndex":0},"citationItems":[{"id":2453,"uris":["http://zotero.org/users/14418362/items/BBNNCKGM"],"itemData":{"id":2453,"type":"article-journal","abstract":"Acute hypoxia is experienced in an array of ailments and conditions, including asthma, chronic obstructive pulmonary disease, heart failure, sleep apnea, acute hypotension, and blast lung injury. Classically, infection activates the neuroimmune system, causing loss of interest in the social environment. We report that the non-infectious stimulus acute hypoxia triggers neuroimmune system activation (NSA), causing loss of interest in the social environment, and that recovery from hypoxia-induced NSA is impaired in a mouse model of type 2 diabetes. Importantly, recovery from the behavioral consequences of hypoxia-induced NSA was nearly ablated in MyD88 (myeloid differentiation factor 88) knock-out mice and in mice intracerebroventricularly administered the caspase-1 inhibitor ac-YVAD-CMK (ac-Tyr-Val-Asp-2,6-dimethylbenzoyloxymethylketone). Diabetic mice had prolonged recovery from NSA that could be halved by administration of subcutaneous interleukin-1 (IL-1) receptor antagonist (RA). These results show that acute hypoxia activates the IL-1beta arm of the neuroimmune system, which diabetes exacerbates and treatment with IL-1RA ameliorates.","container-title":"The Journal of Neuroscience: The Official Journal of the Society for Neuroscience","DOI":"10.1523/JNEUROSCI.4560-06.2007","ISSN":"1529-2401","issue":"5","journalAbbreviation":"J Neurosci","language":"eng","note":"PMID: 17267571\nPMCID: PMC6673177","page":"1161-1166","source":"PubMed","title":"Acute hypoxia activates the neuroimmune system, which diabetes exacerbates","volume":"27","author":[{"family":"Johnson","given":"Daniel R."},{"family":"O'Connor","given":"Jason C."},{"family":"Hartman","given":"Matthew E."},{"family":"Tapping","given":"Richard I."},{"family":"Freund","given":"Gregory G."}],"issued":{"date-parts":[["2007",1,31]]}}}],"schema":"https://github.com/citation-style-language/schema/raw/master/csl-citation.json"} </w:instrText>
      </w:r>
      <w:r w:rsidRPr="00EA2663">
        <w:rPr>
          <w:color w:val="000000" w:themeColor="text1"/>
          <w:sz w:val="22"/>
          <w:szCs w:val="22"/>
        </w:rPr>
        <w:fldChar w:fldCharType="separate"/>
      </w:r>
      <w:r w:rsidRPr="00EA2663">
        <w:rPr>
          <w:rFonts w:ascii="Aptos" w:cs="Times New Roman"/>
          <w:color w:val="000000"/>
          <w:sz w:val="22"/>
          <w:szCs w:val="22"/>
          <w:vertAlign w:val="superscript"/>
        </w:rPr>
        <w:t>67</w:t>
      </w:r>
      <w:r w:rsidRPr="00EA2663">
        <w:rPr>
          <w:color w:val="000000" w:themeColor="text1"/>
          <w:sz w:val="22"/>
          <w:szCs w:val="22"/>
        </w:rPr>
        <w:fldChar w:fldCharType="end"/>
      </w:r>
      <w:r w:rsidRPr="00EA2663">
        <w:rPr>
          <w:color w:val="000000" w:themeColor="text1"/>
          <w:sz w:val="22"/>
          <w:szCs w:val="22"/>
        </w:rPr>
        <w:t xml:space="preserve">  and functions as a decoy receptor, acting as a crucial endogenous brake on the potent pro-inflammatory signalling cascade initiated by Interleukin-1 (IL-1) </w:t>
      </w:r>
      <w:r w:rsidRPr="00EA2663">
        <w:rPr>
          <w:color w:val="000000" w:themeColor="text1"/>
          <w:sz w:val="22"/>
          <w:szCs w:val="22"/>
        </w:rPr>
        <w:fldChar w:fldCharType="begin"/>
      </w:r>
      <w:r w:rsidRPr="00EA2663">
        <w:rPr>
          <w:color w:val="000000" w:themeColor="text1"/>
          <w:sz w:val="22"/>
          <w:szCs w:val="22"/>
        </w:rPr>
        <w:instrText xml:space="preserve"> ADDIN ZOTERO_ITEM CSL_CITATION {"citationID":"LXWmnGnp","properties":{"formattedCitation":"\\super 68\\nosupersub{}","plainCitation":"68","noteIndex":0},"citationItems":[{"id":2488,"uris":["http://zotero.org/users/14418362/items/TSD7RPJ5"],"itemData":{"id":2488,"type":"article-journal","abstract":"The cytokine IL-1 is critical to the pathogenesis of a variety of human conditions and diseases. Unlike most other cytokines, IL-1 is counterbalanced by two endogenous inhibitors. The functional significance of IL-1 receptor antagonist (IL-1RA) is well documented due to the clinical utilization of the recombinant human IL-1RA analog, anakinra. In contrast, much less is known about the type 2 IL-1 receptor (IL-1R2), which acts as a decoy receptor for IL-1. While IL-1R2 is structurally similar to the type 1 IL-1 receptor (IL-1R1) responsible for IL-1 signal transduction, its truncated cytoplasmic domain and lack of Toll-IL-1 receptor (TIR) region renders IL-1R2 incapable of transmembrane signaling. IL-1R2 competes with IL-1R1 for ligands and for the IL-1R1 co-receptor, IL-1 receptor accessory protein (IL-1RAP). Additionally, IL-1R2 exists in both a membrane bound and soluble form (sIL-1R2) that has biological properties similar to both a decoy receptor and a binding protein. Thus far, IL-1R2 has been implicated in arthritis, endometriosis, organ transplantation, sepsis/sickness behavior, diabetes, atherosclerosis, autoimmune inner ear disease (AIED), Alzheimer's disease and ulcerative colitis. In this review, we will detail the functional properties of IL-1R2 and examine its role in human disease.","container-title":"Brain, Behavior, and Immunity","DOI":"10.1016/j.bbi.2012.11.006","ISSN":"1090-2139","journalAbbreviation":"Brain Behav Immun","language":"eng","note":"PMID: 23195532\nPMCID: PMC3610842","page":"1-8","source":"PubMed","title":"IL-1 receptor 2 (IL-1R2) and its role in immune regulation","volume":"32","author":[{"family":"Peters","given":"Vanessa A."},{"family":"Joesting","given":"Jennifer J."},{"family":"Freund","given":"Gregory G."}],"issued":{"date-parts":[["2013",8]]}}}],"schema":"https://github.com/citation-style-language/schema/raw/master/csl-citation.json"} </w:instrText>
      </w:r>
      <w:r w:rsidRPr="00EA2663">
        <w:rPr>
          <w:color w:val="000000" w:themeColor="text1"/>
          <w:sz w:val="22"/>
          <w:szCs w:val="22"/>
        </w:rPr>
        <w:fldChar w:fldCharType="separate"/>
      </w:r>
      <w:r w:rsidRPr="00EA2663">
        <w:rPr>
          <w:rFonts w:ascii="Aptos" w:cs="Times New Roman"/>
          <w:color w:val="000000"/>
          <w:sz w:val="22"/>
          <w:szCs w:val="22"/>
          <w:vertAlign w:val="superscript"/>
        </w:rPr>
        <w:t>68</w:t>
      </w:r>
      <w:r w:rsidRPr="00EA2663">
        <w:rPr>
          <w:color w:val="000000" w:themeColor="text1"/>
          <w:sz w:val="22"/>
          <w:szCs w:val="22"/>
        </w:rPr>
        <w:fldChar w:fldCharType="end"/>
      </w:r>
      <w:r w:rsidRPr="00EA2663">
        <w:rPr>
          <w:color w:val="000000" w:themeColor="text1"/>
          <w:sz w:val="22"/>
          <w:szCs w:val="22"/>
        </w:rPr>
        <w:t>. The preterm lung is uniquely vulnerable to hypoxia, which can trigger a dangerous, self-amplifying cycle of injury and inflammation</w:t>
      </w:r>
      <w:r w:rsidRPr="00EA2663">
        <w:rPr>
          <w:color w:val="000000" w:themeColor="text1"/>
          <w:sz w:val="22"/>
          <w:szCs w:val="22"/>
        </w:rPr>
        <w:fldChar w:fldCharType="begin"/>
      </w:r>
      <w:r w:rsidRPr="00EA2663">
        <w:rPr>
          <w:color w:val="000000" w:themeColor="text1"/>
          <w:sz w:val="22"/>
          <w:szCs w:val="22"/>
        </w:rPr>
        <w:instrText xml:space="preserve"> ADDIN ZOTERO_ITEM CSL_CITATION {"citationID":"oNmHuXWk","properties":{"formattedCitation":"\\super 69\\nosupersub{}","plainCitation":"69","noteIndex":0},"citationItems":[{"id":2491,"uris":["http://zotero.org/users/14418362/items/C37FAQ8G"],"itemData":{"id":2491,"type":"article-journal","container-title":"The New England Journal of Medicine","DOI":"10.1056/NEJMra0910283","ISSN":"1533-4406","issue":"7","journalAbbreviation":"N Engl J Med","language":"eng","note":"PMID: 21323543\nPMCID: PMC3930928","page":"656-665","source":"PubMed","title":"Hypoxia and inflammation","volume":"364","author":[{"family":"Eltzschig","given":"Holger K."},{"family":"Carmeliet","given":"Peter"}],"issued":{"date-parts":[["2011",2,17]]}}}],"schema":"https://github.com/citation-style-language/schema/raw/master/csl-citation.json"} </w:instrText>
      </w:r>
      <w:r w:rsidRPr="00EA2663">
        <w:rPr>
          <w:color w:val="000000" w:themeColor="text1"/>
          <w:sz w:val="22"/>
          <w:szCs w:val="22"/>
        </w:rPr>
        <w:fldChar w:fldCharType="separate"/>
      </w:r>
      <w:r w:rsidRPr="00EA2663">
        <w:rPr>
          <w:rFonts w:ascii="Aptos" w:cs="Times New Roman"/>
          <w:color w:val="000000"/>
          <w:sz w:val="22"/>
          <w:szCs w:val="22"/>
          <w:vertAlign w:val="superscript"/>
        </w:rPr>
        <w:t>69</w:t>
      </w:r>
      <w:r w:rsidRPr="00EA2663">
        <w:rPr>
          <w:color w:val="000000" w:themeColor="text1"/>
          <w:sz w:val="22"/>
          <w:szCs w:val="22"/>
        </w:rPr>
        <w:fldChar w:fldCharType="end"/>
      </w:r>
      <w:r w:rsidRPr="00EA2663">
        <w:rPr>
          <w:color w:val="000000" w:themeColor="text1"/>
          <w:sz w:val="22"/>
          <w:szCs w:val="22"/>
        </w:rPr>
        <w:t xml:space="preserve">. IL-1 antagonism has been shown to confer protection in rodent models of BPD (Bui et al., 2019; Nold et al., 2013), suggesting that IL1R2 may exert a protective role as an anti-inflammatory ‘brake’ protein in this context. </w:t>
      </w:r>
    </w:p>
    <w:p w14:paraId="58CCA6B8" w14:textId="77777777" w:rsidR="00E52243" w:rsidRPr="00EA2663" w:rsidRDefault="00E52243" w:rsidP="00E52243">
      <w:pPr>
        <w:spacing w:line="480" w:lineRule="auto"/>
        <w:jc w:val="both"/>
        <w:rPr>
          <w:color w:val="000000" w:themeColor="text1"/>
          <w:sz w:val="22"/>
          <w:szCs w:val="22"/>
        </w:rPr>
      </w:pPr>
    </w:p>
    <w:p w14:paraId="3E24C82C"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Throughout, the differential immune signal (</w:t>
      </w:r>
      <w:r>
        <w:rPr>
          <w:color w:val="000000" w:themeColor="text1"/>
          <w:sz w:val="22"/>
          <w:szCs w:val="22"/>
        </w:rPr>
        <w:t>leukocyte</w:t>
      </w:r>
      <w:r w:rsidRPr="00EA2663">
        <w:rPr>
          <w:color w:val="000000" w:themeColor="text1"/>
          <w:sz w:val="22"/>
          <w:szCs w:val="22"/>
        </w:rPr>
        <w:t>-cell-related immunity versus lymphoid-cell-related immunity) may represent a genuine biological difference occurring over the disease time course. While the leukocyte signal may represent the acute, innate driven injury phase</w:t>
      </w:r>
      <w:r>
        <w:rPr>
          <w:color w:val="000000" w:themeColor="text1"/>
          <w:sz w:val="22"/>
          <w:szCs w:val="22"/>
        </w:rPr>
        <w:t>,</w:t>
      </w:r>
      <w:r w:rsidRPr="00EA2663">
        <w:rPr>
          <w:color w:val="000000" w:themeColor="text1"/>
          <w:sz w:val="22"/>
          <w:szCs w:val="22"/>
        </w:rPr>
        <w:t xml:space="preserve"> as BPD </w:t>
      </w:r>
      <w:proofErr w:type="gramStart"/>
      <w:r w:rsidRPr="00EA2663">
        <w:rPr>
          <w:color w:val="000000" w:themeColor="text1"/>
          <w:sz w:val="22"/>
          <w:szCs w:val="22"/>
        </w:rPr>
        <w:t>continues on</w:t>
      </w:r>
      <w:proofErr w:type="gramEnd"/>
      <w:r w:rsidRPr="00EA2663">
        <w:rPr>
          <w:color w:val="000000" w:themeColor="text1"/>
          <w:sz w:val="22"/>
          <w:szCs w:val="22"/>
        </w:rPr>
        <w:t xml:space="preserve"> a prolonged course it involves a broader and more protracted inflammatory process where the cells of the lymphoid lineage play a more influential, and potentially damaging role.</w:t>
      </w:r>
    </w:p>
    <w:p w14:paraId="242005F8" w14:textId="77777777" w:rsidR="00E52243" w:rsidRPr="00EA2663" w:rsidRDefault="00E52243" w:rsidP="00E52243">
      <w:pPr>
        <w:spacing w:line="480" w:lineRule="auto"/>
        <w:jc w:val="both"/>
        <w:rPr>
          <w:color w:val="000000" w:themeColor="text1"/>
          <w:sz w:val="22"/>
          <w:szCs w:val="22"/>
        </w:rPr>
      </w:pPr>
    </w:p>
    <w:p w14:paraId="7B91C798" w14:textId="77777777" w:rsidR="00E52243" w:rsidRPr="00EA2663" w:rsidRDefault="00E52243" w:rsidP="00E52243">
      <w:pPr>
        <w:spacing w:line="480" w:lineRule="auto"/>
        <w:jc w:val="both"/>
        <w:rPr>
          <w:color w:val="000000" w:themeColor="text1"/>
          <w:sz w:val="22"/>
          <w:szCs w:val="22"/>
        </w:rPr>
      </w:pPr>
      <w:r w:rsidRPr="00EA2663">
        <w:rPr>
          <w:color w:val="000000" w:themeColor="text1"/>
          <w:sz w:val="22"/>
          <w:szCs w:val="22"/>
        </w:rPr>
        <w:t xml:space="preserve">This study is based on the published literature and is intended to capture the current state of genome-wide BPD research. It is subject to several limitations. Firstly, blood is among the least invasive and most practical biological samples to collect in the NICU setting. As detailed above, this difference in sample source for human and rodent data represents a primary limitation on direct comparability and interpretation of tissue-specific pathology. Secondly, due to experimental methodologies, the rodent models of BPD included in this analysis may not accurately reflect the human disease but summarise the effects of hyperoxia induced during disease. Thirdly, due to key developmental differences - such as timing of alveolarisation and </w:t>
      </w:r>
      <w:r w:rsidRPr="00EA2663">
        <w:rPr>
          <w:color w:val="000000" w:themeColor="text1"/>
          <w:sz w:val="22"/>
          <w:szCs w:val="22"/>
        </w:rPr>
        <w:lastRenderedPageBreak/>
        <w:t>immune system maturation – the results may not be directly comparable between species. It is difficult to determine if some uncommon, enriched pathways reflect rodent-specific responses to experimental injury rather than universally conserved disease mechanisms. Finally, MAIC does not account for direction of effect, thus we are limited on how much we can infer about specific mechanisms.</w:t>
      </w:r>
    </w:p>
    <w:p w14:paraId="22A2FD85" w14:textId="77777777" w:rsidR="00E52243" w:rsidRPr="00EA2663" w:rsidRDefault="00E52243" w:rsidP="00E52243">
      <w:pPr>
        <w:spacing w:line="480" w:lineRule="auto"/>
        <w:jc w:val="both"/>
        <w:rPr>
          <w:color w:val="000000" w:themeColor="text1"/>
          <w:sz w:val="22"/>
          <w:szCs w:val="22"/>
        </w:rPr>
      </w:pPr>
    </w:p>
    <w:p w14:paraId="61E48EFD" w14:textId="77777777" w:rsidR="00E52243" w:rsidRPr="00EA2663" w:rsidRDefault="00E52243" w:rsidP="00E52243">
      <w:pPr>
        <w:spacing w:line="480" w:lineRule="auto"/>
        <w:jc w:val="both"/>
        <w:rPr>
          <w:b/>
          <w:bCs/>
          <w:color w:val="000000" w:themeColor="text1"/>
          <w:sz w:val="22"/>
          <w:szCs w:val="22"/>
        </w:rPr>
      </w:pPr>
      <w:r w:rsidRPr="00EA2663">
        <w:rPr>
          <w:sz w:val="22"/>
          <w:szCs w:val="22"/>
        </w:rPr>
        <w:t>In summary, MAIC offers a validated, integrative strategy capable of navigating the substantial clinical and molecular heterogeneity that characterises BPD. Through this framework, we identified a set of consensus genes across diverse genome-scale datasets. Notably, the aggregated signal is concentrated within lymphoid lineage signatures and underscores key processes involved in T cell activation and development.</w:t>
      </w:r>
    </w:p>
    <w:p w14:paraId="184E582E" w14:textId="77777777" w:rsidR="00E52243" w:rsidRPr="00EA2663" w:rsidRDefault="00E52243" w:rsidP="00E52243">
      <w:pPr>
        <w:rPr>
          <w:sz w:val="22"/>
          <w:szCs w:val="22"/>
        </w:rPr>
      </w:pPr>
    </w:p>
    <w:p w14:paraId="02D21737"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column"/>
      </w:r>
      <w:r w:rsidRPr="00270060">
        <w:rPr>
          <w:b/>
          <w:bCs/>
          <w:color w:val="000000" w:themeColor="text1"/>
          <w:sz w:val="22"/>
          <w:szCs w:val="22"/>
        </w:rPr>
        <w:lastRenderedPageBreak/>
        <w:t>Methods</w:t>
      </w:r>
    </w:p>
    <w:p w14:paraId="50D14869" w14:textId="77777777" w:rsidR="005D240B" w:rsidRPr="00270060" w:rsidRDefault="005D240B" w:rsidP="00172688">
      <w:pPr>
        <w:spacing w:line="480" w:lineRule="auto"/>
        <w:jc w:val="both"/>
        <w:rPr>
          <w:b/>
          <w:bCs/>
          <w:color w:val="000000" w:themeColor="text1"/>
          <w:sz w:val="22"/>
          <w:szCs w:val="22"/>
        </w:rPr>
      </w:pPr>
    </w:p>
    <w:p w14:paraId="07D3BD2A" w14:textId="77777777"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Systematic review</w:t>
      </w:r>
    </w:p>
    <w:p w14:paraId="610CB6A5" w14:textId="30AE4BA3"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The systematic review and meta-analysis protocol was registered with the International Prospective Register of Systematic Reviews (PROSPERO; CRD42022306270, </w:t>
      </w:r>
      <w:r w:rsidRPr="00270060">
        <w:rPr>
          <w:rFonts w:cs="Arial"/>
          <w:color w:val="000000" w:themeColor="text1"/>
          <w:sz w:val="22"/>
          <w:szCs w:val="22"/>
          <w:shd w:val="clear" w:color="auto" w:fill="F7F7F7"/>
        </w:rPr>
        <w:t>CRD42024550229</w:t>
      </w:r>
      <w:r w:rsidRPr="00270060">
        <w:rPr>
          <w:color w:val="000000" w:themeColor="text1"/>
          <w:sz w:val="22"/>
          <w:szCs w:val="22"/>
        </w:rPr>
        <w:t>). The review is reported in compliance with the Preferred Reporting Items for Systematic Reviews and Meta-Analyses (PRISMA) guidelines.</w:t>
      </w:r>
      <w:r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{"citationID":"UjS9MYCn","properties":{"formattedCitation":"\\super 70\\nosupersub{}","plainCitation":"70","noteIndex":0},"citationItems":[{"id":2432,"uris":["http://zotero.org/users/14418362/items/UQYLMRCU"],"itemData":{"id":2432,"type":"article-journal","container-title":"BMJ","DOI":"10.1136/bmj.n71","ISSN":"1756-1833","journalAbbreviation":"BMJ","language":"en","page":"n71","source":"DOI.org (Crossref)","title":"The PRISMA 2020 statement: an updated guideline for reporting systematic reviews","title-short":"The PRISMA 2020 statement","URL":"https://www.bmj.com/lookup/doi/10.1136/bmj.n71","author":[{"family":"Page","given":"Matthew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A"},{"family":"Whiting","given":"Penny"},{"family":"Moher","given":"David"}],"accessed":{"date-parts":[["2025",8,6]]},"issued":{"date-parts":[["2021",3,29]]}}}],"schema":"https://github.com/citation-style-language/schema/raw/master/csl-citation.json"} </w:instrText>
      </w:r>
      <w:r w:rsidRPr="00270060">
        <w:rPr>
          <w:color w:val="000000" w:themeColor="text1"/>
          <w:sz w:val="22"/>
          <w:szCs w:val="22"/>
        </w:rPr>
        <w:fldChar w:fldCharType="separate"/>
      </w:r>
      <w:r w:rsidR="00B50BCE" w:rsidRPr="00270060">
        <w:rPr>
          <w:rFonts w:ascii="Aptos" w:cs="Times New Roman"/>
          <w:color w:val="000000"/>
          <w:sz w:val="22"/>
          <w:vertAlign w:val="superscript"/>
        </w:rPr>
        <w:t>70</w:t>
      </w:r>
      <w:r w:rsidRPr="00270060">
        <w:rPr>
          <w:color w:val="000000" w:themeColor="text1"/>
          <w:sz w:val="22"/>
          <w:szCs w:val="22"/>
        </w:rPr>
        <w:fldChar w:fldCharType="end"/>
      </w:r>
    </w:p>
    <w:p w14:paraId="3FC7AF3C" w14:textId="77777777" w:rsidR="005D240B" w:rsidRPr="00270060" w:rsidRDefault="005D240B" w:rsidP="00172688">
      <w:pPr>
        <w:spacing w:line="480" w:lineRule="auto"/>
        <w:jc w:val="both"/>
        <w:rPr>
          <w:i/>
          <w:iCs/>
          <w:color w:val="000000" w:themeColor="text1"/>
          <w:sz w:val="22"/>
          <w:szCs w:val="22"/>
        </w:rPr>
      </w:pPr>
    </w:p>
    <w:p w14:paraId="6A9A5BB9" w14:textId="77777777"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Search strategy and selection criteria</w:t>
      </w:r>
    </w:p>
    <w:p w14:paraId="3EBDBA9F" w14:textId="40C1120E"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A detailed description of our search strategy and eligibility criteria is provided in the Supplementary Methods. Briefly, we searched MEDLINE, Embase without language restrictions on 24/05/2024. We included human genome-wide studies reporting associations between genes, transcripts, or proteins. For human studies we accepted any contemporaneous BPD definition. For rodent studies, definitions of BPD study groups were accepted as </w:t>
      </w:r>
      <w:proofErr w:type="spellStart"/>
      <w:r w:rsidRPr="00270060">
        <w:rPr>
          <w:color w:val="000000" w:themeColor="text1"/>
          <w:sz w:val="22"/>
          <w:szCs w:val="22"/>
        </w:rPr>
        <w:t>hyperoxic</w:t>
      </w:r>
      <w:proofErr w:type="spellEnd"/>
      <w:r w:rsidRPr="00270060">
        <w:rPr>
          <w:color w:val="000000" w:themeColor="text1"/>
          <w:sz w:val="22"/>
          <w:szCs w:val="22"/>
        </w:rPr>
        <w:t xml:space="preserve"> exposure and induced low birth weight. We excluded candidate in vivo or in vitro studies (&lt; 50 genes/proteins), candidate gene associations, and studies with &lt;5 patients per arm. Following deduplication, titles were initially screened using Screenatron.</w:t>
      </w:r>
      <w:r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{"citationID":"9WLeeDPb","properties":{"formattedCitation":"\\super 71\\nosupersub{}","plainCitation":"71","noteIndex":0},"citationItems":[{"id":2434,"uris":["http://zotero.org/users/14418362/items/M47TXJKF"],"itemData":{"id":2434,"type":"article-journal","container-title":"Journal of Clinical Epidemiology","DOI":"10.1016/j.jclinepi.2020.01.008","ISSN":"08954356","journalAbbreviation":"Journal of Clinical Epidemiology","language":"en","page":"81-90","source":"DOI.org (Crossref)","title":"A full systematic review was completed in 2 weeks using automation tools: a case study","title-short":"A full systematic review was completed in 2 weeks using automation tools","URL":"https://linkinghub.elsevier.com/retrieve/pii/S089543561930719X","volume":"121","author":[{"family":"Clark","given":"Justin"},{"family":"Glasziou","given":"Paul"},{"family":"Del Mar","given":"Chris"},{"family":"Bannach-Brown","given":"Alexandra"},{"family":"Stehlik","given":"Paulina"},{"family":"Scott","given":"Anna Mae"}],"accessed":{"date-parts":[["2025",8,6]]},"issued":{"date-parts":[["2020",5]]}}}],"schema":"https://github.com/citation-style-language/schema/raw/master/csl-citation.json"} </w:instrText>
      </w:r>
      <w:r w:rsidRPr="00270060">
        <w:rPr>
          <w:color w:val="000000" w:themeColor="text1"/>
          <w:sz w:val="22"/>
          <w:szCs w:val="22"/>
        </w:rPr>
        <w:fldChar w:fldCharType="separate"/>
      </w:r>
      <w:r w:rsidR="00B50BCE" w:rsidRPr="00270060">
        <w:rPr>
          <w:rFonts w:ascii="Aptos" w:cs="Times New Roman"/>
          <w:color w:val="000000"/>
          <w:sz w:val="22"/>
          <w:vertAlign w:val="superscript"/>
        </w:rPr>
        <w:t>71</w:t>
      </w:r>
      <w:r w:rsidRPr="00270060">
        <w:rPr>
          <w:color w:val="000000" w:themeColor="text1"/>
          <w:sz w:val="22"/>
          <w:szCs w:val="22"/>
        </w:rPr>
        <w:fldChar w:fldCharType="end"/>
      </w:r>
      <w:r w:rsidRPr="00270060">
        <w:rPr>
          <w:color w:val="000000" w:themeColor="text1"/>
          <w:sz w:val="22"/>
          <w:szCs w:val="22"/>
        </w:rPr>
        <w:t xml:space="preserve"> </w:t>
      </w:r>
    </w:p>
    <w:p w14:paraId="0FAD4D9E" w14:textId="77777777" w:rsidR="005D240B" w:rsidRPr="00270060" w:rsidRDefault="005D240B" w:rsidP="00172688">
      <w:pPr>
        <w:spacing w:line="480" w:lineRule="auto"/>
        <w:jc w:val="both"/>
        <w:rPr>
          <w:color w:val="000000" w:themeColor="text1"/>
          <w:sz w:val="22"/>
          <w:szCs w:val="22"/>
        </w:rPr>
      </w:pPr>
    </w:p>
    <w:p w14:paraId="06875070" w14:textId="2D2DEA73"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Abstracts were then screened against eligibility criteria, this included organising the studies into separate collections of human and animal studies, with an independent author resolving inconsistencies. Full texts were retrieved and analysed for inclusion before extraction of gene lists for inclusion in MAIC. Input lists were processed as previously described.</w:t>
      </w:r>
      <w:r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{"citationID":"fx9aLOge","properties":{"formattedCitation":"\\super 20,22,72\\nosupersub{}","plainCitation":"20,22,72","noteIndex":0},"citationItems":[{"id":2377,"uris":["http://zotero.org/users/14418362/items/WBGNVTKH"],"itemData":{"id":2377,"type":"article-journal","abstract":"OR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B50BCE" w:rsidRPr="00270060">
        <w:rPr>
          <w:rFonts w:ascii="Aptos" w:cs="Times New Roman"/>
          <w:color w:val="000000"/>
          <w:sz w:val="22"/>
          <w:vertAlign w:val="superscript"/>
        </w:rPr>
        <w:t>20,22,72</w:t>
      </w:r>
      <w:r w:rsidRPr="00270060">
        <w:rPr>
          <w:color w:val="000000" w:themeColor="text1"/>
          <w:sz w:val="22"/>
          <w:szCs w:val="22"/>
        </w:rPr>
        <w:fldChar w:fldCharType="end"/>
      </w:r>
      <w:r w:rsidRPr="00270060">
        <w:rPr>
          <w:color w:val="000000" w:themeColor="text1"/>
          <w:sz w:val="22"/>
          <w:szCs w:val="22"/>
        </w:rPr>
        <w:t xml:space="preserve"> Briefly, lists were considered ranked if metrics of statistical significance (p-value) and/or fold change (FC) were reported. These lists were ordered by p-value/false discovery rate (low to high) then, where applicable, by absolute fold change or effect size (high to low). Gene names were converted to HGNC gene symbols (or </w:t>
      </w:r>
      <w:proofErr w:type="spellStart"/>
      <w:r w:rsidRPr="00270060">
        <w:rPr>
          <w:color w:val="000000" w:themeColor="text1"/>
          <w:sz w:val="22"/>
          <w:szCs w:val="22"/>
        </w:rPr>
        <w:t>Ensembl</w:t>
      </w:r>
      <w:proofErr w:type="spellEnd"/>
      <w:r w:rsidRPr="00270060">
        <w:rPr>
          <w:color w:val="000000" w:themeColor="text1"/>
          <w:sz w:val="22"/>
          <w:szCs w:val="22"/>
        </w:rPr>
        <w:t>/</w:t>
      </w:r>
      <w:proofErr w:type="spellStart"/>
      <w:r w:rsidRPr="00270060">
        <w:rPr>
          <w:color w:val="000000" w:themeColor="text1"/>
          <w:sz w:val="22"/>
          <w:szCs w:val="22"/>
        </w:rPr>
        <w:t>Refseq</w:t>
      </w:r>
      <w:proofErr w:type="spellEnd"/>
      <w:r w:rsidRPr="00270060">
        <w:rPr>
          <w:color w:val="000000" w:themeColor="text1"/>
          <w:sz w:val="22"/>
          <w:szCs w:val="22"/>
        </w:rPr>
        <w:t xml:space="preserve"> symbols if no HGNC symbol). Rodent data was </w:t>
      </w:r>
      <w:r w:rsidRPr="00270060">
        <w:rPr>
          <w:color w:val="000000" w:themeColor="text1"/>
          <w:sz w:val="22"/>
          <w:szCs w:val="22"/>
        </w:rPr>
        <w:lastRenderedPageBreak/>
        <w:t>mapped to human ortholog symbols using custom scripts to allow for comparison with the human MAIC results.</w:t>
      </w:r>
    </w:p>
    <w:p w14:paraId="10258858" w14:textId="77777777" w:rsidR="005D240B" w:rsidRPr="00270060" w:rsidRDefault="005D240B" w:rsidP="00172688">
      <w:pPr>
        <w:spacing w:line="480" w:lineRule="auto"/>
        <w:jc w:val="both"/>
        <w:rPr>
          <w:color w:val="000000" w:themeColor="text1"/>
          <w:sz w:val="22"/>
          <w:szCs w:val="22"/>
        </w:rPr>
      </w:pPr>
    </w:p>
    <w:p w14:paraId="0AEC5F87" w14:textId="77777777"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MAIC</w:t>
      </w:r>
    </w:p>
    <w:p w14:paraId="2919836E" w14:textId="05B92A86"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The MAIC algorithm has previously been described in detail.</w:t>
      </w:r>
      <w:r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{"citationID":"nqlEemm5","properties":{"formattedCitation":"\\super 19\\uc0\\u8211{}22,72\\nosupersub{}","plainCitation":"19–22,72","noteIndex":0},"citationItems":[{"id":540,"uris":["http://zotero.org/users/14418362/items/2GA2N3ZL"],"itemData":{"id":540,"type":"article-journal","container-title":"Nature","DOI":"10.1038/s41586-020-03065-y","ISSN":"0028-0836, 1476-4687","issue":"7848","journalAbbreviation":"Nature","language":"en","page":"92-98","source":"DOI.org (Crossref)","title":"Genetic mechanisms of critical illness in COVID-19","URL":"https://www.nature.com/articles/s41586-020-03065-y","volume":"591","author":[{"literal":"The GenOMICC Investigators"},{"literal":"The ISARIC4C Investigators"},{"literal":"The COVID-19 Human Genetics Initiative"},{"literal":"23andMe Investigators"},{"literal":"BRACOVID Investigators"},{"literal":"Gen-COVID Investigators"},{"family":"Pairo-Castineira","given":"Erola"},{"family":"Clohisey","given":"Sara"},{"family":"Klaric","given":"Lucija"},{"family":"Bretherick","given":"Andrew D."},{"family":"Rawlik","given":"Konrad"},{"family":"Pasko","given":"Dorota"},{"family":"Walker","given":"Susan"},{"family":"Parkinson","given":"Nick"},{"family":"Fourman","given":"Max Head"},{"family":"Russell","given":"Clark D."},{"family":"Furniss","given":"James"},{"family":"Richmond","given":"Anne"},{"family":"Gountouna","given":"Elvina"},{"family":"Wrobel","given":"Nicola"},{"family":"Harrison","given":"David"},{"family":"Wang","given":"Bo"},{"family":"Wu","given":"Yang"},{"family":"Meynert","given":"Alison"},{"family":"Griffiths","given":"Fiona"},{"family":"Oosthuyzen","given":"Wilna"},{"family":"Kousathanas","given":"Athanasios"},{"family":"Moutsianas","given":"Loukas"},{"family":"Yang","given":"Zhijian"},{"family":"Zhai","given":"Ranran"},{"family":"Zheng","given":"Chenqing"},{"family":"Grimes","given":"Graeme"},{"family":"Beale","given":"Rupert"},{"family":"Millar","given":"Jonathan"},{"family":"Shih","given":"Barbara"},{"family":"Keating","given":"Sean"},{"family":"Zechner","given":"Marie"},{"family":"Haley","given":"Chris"},{"family":"Porteous","given":"David J."},{"family":"Hayward","given":"Caroline"},{"family":"Yang","given":"Jian"},{"family":"Knight","given":"Julian"},{"family":"Summers","given":"Charlotte"},{"family":"Shankar-Hari","given":"Manu"},{"family":"Klenerman","given":"Paul"},{"family":"Turtle","given":"Lance"},{"family":"Ho","given":"Antonia"},{"family":"Moore","given":"Shona C."},{"family":"Hinds","given":"Charles"},{"family":"Horby","given":"Peter"},{"family":"Nichol","given":"Alistair"},{"family":"Maslove","given":"David"},{"family":"Ling","given":"Lowell"},{"family":"McAuley","given":"Danny"},{"family":"Montgomery","given":"Hugh"},{"family":"Walsh","given":"Timothy"},{"family":"Pereira","given":"Alexandre C."},{"family":"Renieri","given":"Alessandra"},{"family":"Shen","given":"Xia"},{"family":"Ponting","given":"Chris P."},{"family":"Fawkes","given":"Angie"},{"family":"Tenesa","given":"Albert"},{"family":"Caulfield","given":"Mark"},{"family":"Scott","given":"Richard"},{"family":"Rowan","given":"Kathy"},{"family":"Murphy","given":"Lee"},{"family":"Openshaw","given":"Peter J. M."},{"family":"Semple","given":"Malcolm G."},{"family":"Law","given":"Andrew"},{"family":"Vitart","given":"Veronique"},{"family":"Wilson","given":"James F."},{"family":"Baillie","given":"J. Kenneth"}],"accessed":{"date-parts":[["2024",6,11]]},"issued":{"date-parts":[["2021",3,4]]}}},{"id":2377,"uris":["http://zotero.org/users/14418362/items/WBGNVTKH"],"itemData":{"id":2377,"type":"article-journal","abstract":"OR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Kenneth"},{"family":"Clohisey","given":"Sara"}],"accessed":{"date-parts":[["2025",3,21]]},"issued":{"date-parts":[["2020",12,18]]}}},{"id":2393,"uris":["http://zotero.org/users/14418362/items/LDUXIVGQ"],"itemData":{"id":2393,"type":"article-journal","abstract":"Motivation: A common experimental output in biomedical science is a list of genes implicated in a given biological process or disease. The gene lists resulting from a group of studies answering the same, or similar, questions can be combined by ranking aggregation methods to ﬁnd a consensus or a more reliable answer. Evaluating a ranking aggregation method on a speciﬁc type of data before using it is required to support the reliability since the property of a dataset can inﬂuence the performance of an algorithm. Such evaluation on gene lists is usually based on a simulated database because of the lack of a known truth for real data. However, simulated datasets tend to be too small compared to experimental data and neglect key features, including heterogeneity of quality, relevance and the inclusion of unranked lists.","container-title":"Bioinformatics","DOI":"10.1093/bioinformatics/btac621","ISSN":"1367-4803, 1367-4811","issue":"21","language":"en","license":"https://creativecommons.org/licenses/by/4.0/","page":"4927-4933","source":"DOI.org (Crossref)","title":"Systematic comparison of ranking aggregation methods for gene lists in experimental results","URL":"https://academic.oup.com/bioinformatics/article/38/21/4927/6696211","volume":"38","author":[{"family":"Wang","given":"Bo"},{"family":"Law","given":"Andy"},{"family":"Regan","given":"Tim"},{"family":"Parkinson","given":"Nicholas"},{"family":"Cole","given":"Joby"},{"family":"Russell","given":"Clark D"},{"family":"Dockrell","given":"David H"},{"family":"Gutmann","given":"Michael U"},{"family":"Baillie","given":"J Kenneth"}],"editor":[{"family":"Lu","given":"Zhiyong"}],"accessed":{"date-parts":[["2025",3,25]]},"issued":{"date-parts":[["2022",10,31]]}}},{"id":2244,"uris":["http://zotero.org/users/14418362/items/WPBH2JSR"],"itemData":{"id":2244,"type":"article","abstract":"Acute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B50BCE" w:rsidRPr="00270060">
        <w:rPr>
          <w:rFonts w:ascii="Aptos" w:cs="Times New Roman"/>
          <w:color w:val="000000"/>
          <w:sz w:val="22"/>
          <w:vertAlign w:val="superscript"/>
        </w:rPr>
        <w:t>19–22,72</w:t>
      </w:r>
      <w:r w:rsidRPr="00270060">
        <w:rPr>
          <w:color w:val="000000" w:themeColor="text1"/>
          <w:sz w:val="22"/>
          <w:szCs w:val="22"/>
        </w:rPr>
        <w:fldChar w:fldCharType="end"/>
      </w:r>
      <w:r w:rsidRPr="00270060">
        <w:rPr>
          <w:color w:val="000000" w:themeColor="text1"/>
          <w:sz w:val="22"/>
          <w:szCs w:val="22"/>
        </w:rPr>
        <w:t xml:space="preserve"> A full description and the source code is available at https://baillielab.net/maic. We implemented </w:t>
      </w:r>
      <w:proofErr w:type="spellStart"/>
      <w:r w:rsidRPr="00270060">
        <w:rPr>
          <w:color w:val="000000" w:themeColor="text1"/>
          <w:sz w:val="22"/>
          <w:szCs w:val="22"/>
        </w:rPr>
        <w:t>pymaic</w:t>
      </w:r>
      <w:proofErr w:type="spellEnd"/>
      <w:r w:rsidRPr="00270060">
        <w:rPr>
          <w:color w:val="000000" w:themeColor="text1"/>
          <w:sz w:val="22"/>
          <w:szCs w:val="22"/>
        </w:rPr>
        <w:t xml:space="preserve"> v0.2 in Python v3.9 and used Technique to categorise input lists. MAIC combines both ranked and unranked lists, of unknown quality, to build a comprehensive ranked list of entities according to 4 basic assumptions.1. There is a set of true positives (genes implicated in BPD), 2.  A gene is more likely to be a true positive if it appears in datasets from more than one source, 3. A gene is more likely to be a true positive if it appears in datasets with a higher proportion of replicated genes. 4. A gene is more likely to be a true positive if it appears in datasets from multiple methods or modalities. </w:t>
      </w:r>
    </w:p>
    <w:p w14:paraId="52D3CE14" w14:textId="77777777" w:rsidR="005D240B" w:rsidRPr="00270060" w:rsidRDefault="005D240B" w:rsidP="00172688">
      <w:pPr>
        <w:spacing w:line="480" w:lineRule="auto"/>
        <w:jc w:val="both"/>
        <w:rPr>
          <w:color w:val="000000" w:themeColor="text1"/>
          <w:sz w:val="22"/>
          <w:szCs w:val="22"/>
        </w:rPr>
      </w:pPr>
    </w:p>
    <w:p w14:paraId="2295BB2C" w14:textId="323E2A89" w:rsidR="005D240B" w:rsidRPr="00270060" w:rsidRDefault="005D240B" w:rsidP="00172688">
      <w:pPr>
        <w:spacing w:line="480" w:lineRule="auto"/>
        <w:jc w:val="both"/>
        <w:rPr>
          <w:rFonts w:cs="Calibri"/>
          <w:b/>
          <w:bCs/>
          <w:i/>
          <w:iCs/>
          <w:color w:val="000000" w:themeColor="text1"/>
          <w:szCs w:val="22"/>
        </w:rPr>
      </w:pPr>
      <w:r w:rsidRPr="00270060">
        <w:rPr>
          <w:rFonts w:cs="Calibri"/>
          <w:b/>
          <w:bCs/>
          <w:i/>
          <w:iCs/>
          <w:color w:val="000000" w:themeColor="text1"/>
          <w:szCs w:val="22"/>
        </w:rPr>
        <w:t>Functional analyses</w:t>
      </w:r>
      <w:r w:rsidR="001045AD" w:rsidRPr="00270060">
        <w:rPr>
          <w:rFonts w:cs="Calibri"/>
          <w:b/>
          <w:bCs/>
          <w:i/>
          <w:iCs/>
          <w:color w:val="000000" w:themeColor="text1"/>
          <w:szCs w:val="22"/>
        </w:rPr>
        <w:t xml:space="preserve"> and tissue expression</w:t>
      </w:r>
    </w:p>
    <w:p w14:paraId="653A3BA8" w14:textId="4C8803A7"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All enrichment and over representation analyses were implemented using </w:t>
      </w:r>
      <w:proofErr w:type="spellStart"/>
      <w:r w:rsidRPr="00270060">
        <w:rPr>
          <w:rFonts w:ascii="Courier New" w:hAnsi="Courier New" w:cs="Courier New"/>
          <w:color w:val="000000" w:themeColor="text1"/>
          <w:sz w:val="22"/>
          <w:szCs w:val="22"/>
        </w:rPr>
        <w:t>clusterProfiler</w:t>
      </w:r>
      <w:proofErr w:type="spellEnd"/>
      <w:r w:rsidRPr="00270060">
        <w:rPr>
          <w:color w:val="000000" w:themeColor="text1"/>
          <w:sz w:val="22"/>
          <w:szCs w:val="22"/>
        </w:rPr>
        <w:t xml:space="preserve"> (v4.0)</w:t>
      </w:r>
      <w:r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{"citationID":"fSOrMzl3","properties":{"formattedCitation":"\\super 43\\nosupersub{}","plainCitation":"43","noteIndex":0},"citationItems":[{"id":2436,"uris":["http://zotero.org/users/14418362/items/M6WCLZNJ"],"itemData":{"id":2436,"type":"article-journal","container-title":"The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Pr="00270060">
        <w:rPr>
          <w:color w:val="000000" w:themeColor="text1"/>
          <w:sz w:val="22"/>
          <w:szCs w:val="22"/>
        </w:rPr>
        <w:fldChar w:fldCharType="separate"/>
      </w:r>
      <w:r w:rsidR="00B50BCE" w:rsidRPr="00270060">
        <w:rPr>
          <w:rFonts w:ascii="Aptos" w:cs="Times New Roman"/>
          <w:color w:val="000000"/>
          <w:sz w:val="22"/>
          <w:vertAlign w:val="superscript"/>
        </w:rPr>
        <w:t>43</w:t>
      </w:r>
      <w:r w:rsidRPr="00270060">
        <w:rPr>
          <w:color w:val="000000" w:themeColor="text1"/>
          <w:sz w:val="22"/>
          <w:szCs w:val="22"/>
        </w:rPr>
        <w:fldChar w:fldCharType="end"/>
      </w:r>
      <w:r w:rsidRPr="00270060">
        <w:rPr>
          <w:color w:val="000000" w:themeColor="text1"/>
          <w:sz w:val="22"/>
          <w:szCs w:val="22"/>
        </w:rPr>
        <w:t xml:space="preserve"> in R (v4.</w:t>
      </w:r>
      <w:r w:rsidR="00B50BCE" w:rsidRPr="00270060">
        <w:rPr>
          <w:color w:val="000000" w:themeColor="text1"/>
          <w:sz w:val="22"/>
          <w:szCs w:val="22"/>
        </w:rPr>
        <w:t>5</w:t>
      </w:r>
      <w:r w:rsidRPr="00270060">
        <w:rPr>
          <w:color w:val="000000" w:themeColor="text1"/>
          <w:sz w:val="22"/>
          <w:szCs w:val="22"/>
        </w:rPr>
        <w:t>.</w:t>
      </w:r>
      <w:r w:rsidR="00B50BCE" w:rsidRPr="00270060">
        <w:rPr>
          <w:color w:val="000000" w:themeColor="text1"/>
          <w:sz w:val="22"/>
          <w:szCs w:val="22"/>
        </w:rPr>
        <w:t>1</w:t>
      </w:r>
      <w:r w:rsidRPr="00270060">
        <w:rPr>
          <w:color w:val="000000" w:themeColor="text1"/>
          <w:sz w:val="22"/>
          <w:szCs w:val="22"/>
        </w:rPr>
        <w:t xml:space="preserve">) and </w:t>
      </w:r>
      <w:r w:rsidRPr="00270060">
        <w:rPr>
          <w:rFonts w:ascii="Aptos" w:hAnsi="Aptos"/>
          <w:color w:val="000000" w:themeColor="text1"/>
          <w:sz w:val="22"/>
          <w:szCs w:val="22"/>
        </w:rPr>
        <w:t xml:space="preserve">visualised using functions in that package. </w:t>
      </w:r>
      <w:r w:rsidRPr="00270060">
        <w:rPr>
          <w:rFonts w:ascii="Aptos" w:hAnsi="Aptos"/>
          <w:color w:val="000000" w:themeColor="text1"/>
          <w:sz w:val="22"/>
          <w:szCs w:val="22"/>
          <w:shd w:val="clear" w:color="auto" w:fill="FFFFFF"/>
        </w:rPr>
        <w:t>Redundancy of enriched GO terms</w:t>
      </w:r>
      <w:r w:rsidRPr="00270060">
        <w:rPr>
          <w:rFonts w:ascii="Aptos" w:hAnsi="Aptos"/>
          <w:color w:val="000000" w:themeColor="text1"/>
          <w:sz w:val="22"/>
          <w:szCs w:val="22"/>
        </w:rPr>
        <w:t xml:space="preserve"> was removed</w:t>
      </w:r>
      <w:r w:rsidRPr="00270060">
        <w:rPr>
          <w:color w:val="000000" w:themeColor="text1"/>
          <w:sz w:val="22"/>
          <w:szCs w:val="22"/>
        </w:rPr>
        <w:t xml:space="preserve"> using the </w:t>
      </w:r>
      <w:r w:rsidRPr="00270060">
        <w:rPr>
          <w:rFonts w:ascii="Courier New" w:hAnsi="Courier New" w:cs="Courier New"/>
          <w:color w:val="000000" w:themeColor="text1"/>
          <w:sz w:val="22"/>
          <w:szCs w:val="22"/>
        </w:rPr>
        <w:t>simplify</w:t>
      </w:r>
      <w:r w:rsidRPr="00270060">
        <w:rPr>
          <w:color w:val="000000" w:themeColor="text1"/>
          <w:sz w:val="22"/>
          <w:szCs w:val="22"/>
        </w:rPr>
        <w:t xml:space="preserve"> function. Hypergeometric tests were implemented with the </w:t>
      </w:r>
      <w:r w:rsidRPr="00270060">
        <w:rPr>
          <w:rFonts w:ascii="Courier New" w:hAnsi="Courier New" w:cs="Courier New"/>
          <w:color w:val="000000" w:themeColor="text1"/>
          <w:sz w:val="22"/>
          <w:szCs w:val="22"/>
        </w:rPr>
        <w:t>1-phyper</w:t>
      </w:r>
      <w:r w:rsidRPr="00270060">
        <w:rPr>
          <w:i/>
          <w:iCs/>
          <w:color w:val="000000" w:themeColor="text1"/>
          <w:sz w:val="22"/>
          <w:szCs w:val="22"/>
        </w:rPr>
        <w:t xml:space="preserve"> </w:t>
      </w:r>
      <w:r w:rsidRPr="00270060">
        <w:rPr>
          <w:color w:val="000000" w:themeColor="text1"/>
          <w:sz w:val="22"/>
          <w:szCs w:val="22"/>
        </w:rPr>
        <w:t xml:space="preserve">function in R. Gene overlaps were visualised using </w:t>
      </w:r>
      <w:proofErr w:type="spellStart"/>
      <w:r w:rsidRPr="00270060">
        <w:rPr>
          <w:rFonts w:ascii="Courier New" w:hAnsi="Courier New" w:cs="Courier New"/>
          <w:color w:val="000000" w:themeColor="text1"/>
          <w:sz w:val="22"/>
          <w:szCs w:val="22"/>
        </w:rPr>
        <w:t>ggvenn</w:t>
      </w:r>
      <w:proofErr w:type="spellEnd"/>
      <w:r w:rsidRPr="00270060">
        <w:rPr>
          <w:color w:val="000000" w:themeColor="text1"/>
          <w:sz w:val="22"/>
          <w:szCs w:val="22"/>
        </w:rPr>
        <w:t>.</w:t>
      </w:r>
      <w:r w:rsidR="001045AD" w:rsidRPr="00270060">
        <w:rPr>
          <w:color w:val="000000" w:themeColor="text1"/>
          <w:sz w:val="22"/>
          <w:szCs w:val="22"/>
        </w:rPr>
        <w:t xml:space="preserve"> We conducted cell-type specific enrichment analysis using </w:t>
      </w:r>
      <w:proofErr w:type="spellStart"/>
      <w:r w:rsidR="001045AD" w:rsidRPr="00270060">
        <w:rPr>
          <w:color w:val="000000" w:themeColor="text1"/>
          <w:sz w:val="22"/>
          <w:szCs w:val="22"/>
        </w:rPr>
        <w:t>WebCSEA</w:t>
      </w:r>
      <w:proofErr w:type="spellEnd"/>
      <w:r w:rsidR="001045AD" w:rsidRPr="00270060">
        <w:rPr>
          <w:color w:val="000000" w:themeColor="text1"/>
          <w:sz w:val="22"/>
          <w:szCs w:val="22"/>
        </w:rPr>
        <w:fldChar w:fldCharType="begin"/>
      </w:r>
      <w:r w:rsidR="001045AD" w:rsidRPr="00270060">
        <w:rPr>
          <w:color w:val="000000" w:themeColor="text1"/>
          <w:sz w:val="22"/>
          <w:szCs w:val="22"/>
        </w:rPr>
        <w:instrText xml:space="preserve"> ADDIN ZOTERO_TEMP </w:instrText>
      </w:r>
      <w:r w:rsidR="001045AD" w:rsidRPr="00270060">
        <w:rPr>
          <w:color w:val="000000" w:themeColor="text1"/>
          <w:sz w:val="22"/>
          <w:szCs w:val="22"/>
        </w:rPr>
        <w:fldChar w:fldCharType="separate"/>
      </w:r>
      <w:r w:rsidR="001045AD" w:rsidRPr="00270060">
        <w:rPr>
          <w:noProof/>
          <w:color w:val="000000" w:themeColor="text1"/>
          <w:sz w:val="22"/>
          <w:szCs w:val="22"/>
        </w:rPr>
        <w:t>{Dai}</w:t>
      </w:r>
      <w:r w:rsidR="001045AD" w:rsidRPr="00270060">
        <w:rPr>
          <w:color w:val="000000" w:themeColor="text1"/>
          <w:sz w:val="22"/>
          <w:szCs w:val="22"/>
        </w:rPr>
        <w:fldChar w:fldCharType="end"/>
      </w:r>
      <w:r w:rsidR="001045AD" w:rsidRPr="00270060">
        <w:rPr>
          <w:color w:val="000000" w:themeColor="text1"/>
          <w:sz w:val="22"/>
          <w:szCs w:val="22"/>
        </w:rPr>
        <w:t xml:space="preserve"> and extracted the top 20 general cell types for each query.</w:t>
      </w:r>
      <w:r w:rsidR="004A2A48" w:rsidRPr="00270060">
        <w:rPr>
          <w:color w:val="000000" w:themeColor="text1"/>
          <w:sz w:val="22"/>
          <w:szCs w:val="22"/>
        </w:rPr>
        <w:t xml:space="preserve"> The Drug Gene Interaction Database (</w:t>
      </w:r>
      <w:proofErr w:type="spellStart"/>
      <w:r w:rsidR="004A2A48" w:rsidRPr="00270060">
        <w:rPr>
          <w:color w:val="000000" w:themeColor="text1"/>
          <w:sz w:val="22"/>
          <w:szCs w:val="22"/>
        </w:rPr>
        <w:t>DGIdb</w:t>
      </w:r>
      <w:proofErr w:type="spellEnd"/>
      <w:r w:rsidR="004A2A48" w:rsidRPr="00270060">
        <w:rPr>
          <w:color w:val="000000" w:themeColor="text1"/>
          <w:sz w:val="22"/>
          <w:szCs w:val="22"/>
        </w:rPr>
        <w:t xml:space="preserve">)  was queried for each ranked gene. </w:t>
      </w:r>
      <w:r w:rsidR="004A2A48" w:rsidRPr="00270060">
        <w:rPr>
          <w:color w:val="000000" w:themeColor="text1"/>
          <w:sz w:val="22"/>
          <w:szCs w:val="22"/>
        </w:rPr>
        <w:fldChar w:fldCharType="begin"/>
      </w:r>
      <w:r w:rsidR="00B50BCE" w:rsidRPr="00270060">
        <w:rPr>
          <w:color w:val="000000" w:themeColor="text1"/>
          <w:sz w:val="22"/>
          <w:szCs w:val="22"/>
        </w:rPr>
        <w:instrText xml:space="preserve"> ADDIN ZOTERO_ITEM CSL_CITATION {"citationID":"paKuPfKo","properties":{"formattedCitation":"\\super 26\\nosupersub{}","plainCitation":"26","noteIndex":0},"citationItems":[{"id":2517,"uris":["http://zotero.org/users/14418362/items/2RAFLB25"],"itemData":{"id":2517,"type":"article-journal","abstract":"The Drug-Gene Interaction Database (DGIdb, www. dgidb.org) is a web resource that provides information on drug-gene interactions and druggable genes from publications, databases, and other web-based sources. Drug, gene, and interaction data are normalized and merged into conceptual groups. The information contained in this resource is available to users through a straightforward search interface, an application programming interface (API), and TSV data downloads. DGIdb 4.0 is the latest major version release of this database. A primary focus of this update was integration with crowdsourced efforts, leveraging the Drug Target Commons for community-contributed interaction data, Wikidata to facilitate term normalization, and export to NDEx for drug-gene interaction network representations. Seven new sources have been added since the last major version release, bringing the total number of sources included to 41. Of the previously aggregated sources, 15 have been updated. DGIdb 4.0 also includes improvements to the process of drug normalization and grouping of imported sources. Other notable updates include the introduction of a more sophisticated Query Score for interaction search results, an updated Interaction Score, the inclusion of interaction directionality, and several additional improvements to search features, data releases, licensing documentation and the application framework.","container-title":"Nucleic Acids Research","DOI":"10.1093/nar/gkaa1084","ISSN":"0305-1048, 1362-4962","issue":"D1","language":"en","license":"http://creativecommons.org/licenses/by/4.0/","page":"D1144-D1151","source":"DOI.org (Crossref)","title":"Integration of the Drug–Gene Interaction Database (DGIdb 4.0) with open crowdsource efforts","URL":"https://academic.oup.com/nar/article/49/D1/D1144/6006193","volume":"49","author":[{"family":"Freshour","given":"Sharon L"},{"family":"Kiwala","given":"Susanna"},{"family":"Cotto","given":"Kelsy C"},{"family":"Coffman","given":"Adam C"},{"family":"McMichael","given":"Joshua F"},{"family":"Song","given":"Jonathan J"},{"family":"Griffith","given":"Malachi"},{"family":"Griffith","given":"Obi L"},{"family":"Wagner","given":"Alex H"}],"accessed":{"date-parts":[["2025",10,16]]},"issued":{"date-parts":[["2021",1,8]]}}}],"schema":"https://github.com/citation-style-language/schema/raw/master/csl-citation.json"} </w:instrText>
      </w:r>
      <w:r w:rsidR="004A2A48" w:rsidRPr="00270060">
        <w:rPr>
          <w:color w:val="000000" w:themeColor="text1"/>
          <w:sz w:val="22"/>
          <w:szCs w:val="22"/>
        </w:rPr>
        <w:fldChar w:fldCharType="separate"/>
      </w:r>
      <w:r w:rsidR="00B50BCE" w:rsidRPr="00270060">
        <w:rPr>
          <w:rFonts w:ascii="Aptos" w:cs="Times New Roman"/>
          <w:color w:val="000000"/>
          <w:sz w:val="22"/>
          <w:vertAlign w:val="superscript"/>
        </w:rPr>
        <w:t>26</w:t>
      </w:r>
      <w:r w:rsidR="004A2A48" w:rsidRPr="00270060">
        <w:rPr>
          <w:color w:val="000000" w:themeColor="text1"/>
          <w:sz w:val="22"/>
          <w:szCs w:val="22"/>
        </w:rPr>
        <w:fldChar w:fldCharType="end"/>
      </w:r>
    </w:p>
    <w:p w14:paraId="060F9079" w14:textId="77777777" w:rsidR="005D240B" w:rsidRPr="00270060" w:rsidRDefault="005D240B" w:rsidP="00172688">
      <w:pPr>
        <w:spacing w:line="480" w:lineRule="auto"/>
        <w:jc w:val="both"/>
        <w:rPr>
          <w:color w:val="000000" w:themeColor="text1"/>
          <w:sz w:val="22"/>
          <w:szCs w:val="22"/>
        </w:rPr>
      </w:pPr>
    </w:p>
    <w:p w14:paraId="1E262FC6" w14:textId="77777777"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Protein Interaction Network</w:t>
      </w:r>
    </w:p>
    <w:p w14:paraId="3A039326" w14:textId="137B5C61"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Prioritised genes were analysed using the online tool STRING (https:// string-db.org) to determine potential protein-protein interactions. For humans 919 genes were mapped, for rodents 1726.  A </w:t>
      </w:r>
      <w:r w:rsidRPr="00270060">
        <w:rPr>
          <w:color w:val="000000" w:themeColor="text1"/>
          <w:sz w:val="22"/>
          <w:szCs w:val="22"/>
        </w:rPr>
        <w:lastRenderedPageBreak/>
        <w:t xml:space="preserve">PPI network was constructed using the MCL (Markov Clustering) algorithm, with an inflation parameter of 3 and focused on high confidence (interaction score of &gt;= 0.7) interactions. The network was exported and hub genes subsequently identified using </w:t>
      </w:r>
      <w:proofErr w:type="spellStart"/>
      <w:r w:rsidRPr="00270060">
        <w:rPr>
          <w:color w:val="000000" w:themeColor="text1"/>
          <w:sz w:val="22"/>
          <w:szCs w:val="22"/>
        </w:rPr>
        <w:t>CytoHubba</w:t>
      </w:r>
      <w:proofErr w:type="spellEnd"/>
      <w:r w:rsidRPr="00270060">
        <w:rPr>
          <w:color w:val="000000" w:themeColor="text1"/>
          <w:sz w:val="22"/>
          <w:szCs w:val="22"/>
        </w:rPr>
        <w:t xml:space="preserve"> 0.1 implemented in </w:t>
      </w:r>
      <w:proofErr w:type="spellStart"/>
      <w:r w:rsidRPr="00270060">
        <w:rPr>
          <w:color w:val="000000" w:themeColor="text1"/>
          <w:sz w:val="22"/>
          <w:szCs w:val="22"/>
        </w:rPr>
        <w:t>CytoScape</w:t>
      </w:r>
      <w:proofErr w:type="spellEnd"/>
      <w:r w:rsidRPr="00270060">
        <w:rPr>
          <w:color w:val="000000" w:themeColor="text1"/>
          <w:sz w:val="22"/>
          <w:szCs w:val="22"/>
        </w:rPr>
        <w:t xml:space="preserve"> 3.10.3. The overlap of the top 100 ranked genes, ranked using 5 common algorithms (MCC, MNC, Degree, EPC and DMNC), was used to evaluate hub genes, apart from overlaps</w:t>
      </w:r>
      <w:r w:rsidR="009F3C8A" w:rsidRPr="00270060">
        <w:rPr>
          <w:color w:val="000000" w:themeColor="text1"/>
          <w:sz w:val="22"/>
          <w:szCs w:val="22"/>
        </w:rPr>
        <w:t xml:space="preserve"> between MAIC analyses</w:t>
      </w:r>
      <w:r w:rsidRPr="00270060">
        <w:rPr>
          <w:color w:val="000000" w:themeColor="text1"/>
          <w:sz w:val="22"/>
          <w:szCs w:val="22"/>
        </w:rPr>
        <w:t xml:space="preserve"> where </w:t>
      </w:r>
      <w:r w:rsidR="009F3C8A" w:rsidRPr="00270060">
        <w:rPr>
          <w:color w:val="000000" w:themeColor="text1"/>
          <w:sz w:val="22"/>
          <w:szCs w:val="22"/>
        </w:rPr>
        <w:t xml:space="preserve">the top 10 ranked genes </w:t>
      </w:r>
      <w:r w:rsidRPr="00270060">
        <w:rPr>
          <w:color w:val="000000" w:themeColor="text1"/>
          <w:sz w:val="22"/>
          <w:szCs w:val="22"/>
        </w:rPr>
        <w:t>were used.</w:t>
      </w:r>
      <w:r w:rsidRPr="00270060">
        <w:rPr>
          <w:color w:val="000000" w:themeColor="text1"/>
          <w:sz w:val="22"/>
          <w:szCs w:val="22"/>
        </w:rPr>
        <w:fldChar w:fldCharType="begin"/>
      </w:r>
      <w:r w:rsidRPr="00270060">
        <w:rPr>
          <w:color w:val="000000" w:themeColor="text1"/>
          <w:sz w:val="22"/>
          <w:szCs w:val="22"/>
        </w:rPr>
        <w:instrText xml:space="preserve"> ADDIN ZOTERO_TEMP </w:instrText>
      </w:r>
      <w:r w:rsidRPr="00270060">
        <w:rPr>
          <w:color w:val="000000" w:themeColor="text1"/>
          <w:sz w:val="22"/>
          <w:szCs w:val="22"/>
        </w:rPr>
        <w:fldChar w:fldCharType="separate"/>
      </w:r>
      <w:r w:rsidRPr="00270060">
        <w:rPr>
          <w:color w:val="000000" w:themeColor="text1"/>
          <w:sz w:val="22"/>
          <w:szCs w:val="22"/>
        </w:rPr>
        <w:fldChar w:fldCharType="end"/>
      </w:r>
      <w:r w:rsidRPr="00270060">
        <w:rPr>
          <w:color w:val="000000" w:themeColor="text1"/>
          <w:sz w:val="22"/>
          <w:szCs w:val="22"/>
        </w:rPr>
        <w:t xml:space="preserve"> </w:t>
      </w:r>
    </w:p>
    <w:p w14:paraId="3630F8F0" w14:textId="77777777" w:rsidR="005D240B" w:rsidRPr="00270060" w:rsidRDefault="005D240B" w:rsidP="00172688">
      <w:pPr>
        <w:spacing w:line="480" w:lineRule="auto"/>
        <w:jc w:val="both"/>
        <w:rPr>
          <w:color w:val="000000" w:themeColor="text1"/>
          <w:sz w:val="22"/>
          <w:szCs w:val="22"/>
        </w:rPr>
      </w:pPr>
    </w:p>
    <w:p w14:paraId="483B6AFA" w14:textId="77777777" w:rsidR="0077789B" w:rsidRPr="00270060" w:rsidRDefault="0077789B" w:rsidP="00172688">
      <w:pPr>
        <w:spacing w:line="480" w:lineRule="auto"/>
        <w:jc w:val="both"/>
        <w:rPr>
          <w:b/>
          <w:bCs/>
          <w:color w:val="000000" w:themeColor="text1"/>
          <w:sz w:val="22"/>
          <w:szCs w:val="22"/>
        </w:rPr>
      </w:pPr>
      <w:r w:rsidRPr="00270060">
        <w:rPr>
          <w:b/>
          <w:bCs/>
          <w:color w:val="000000" w:themeColor="text1"/>
          <w:sz w:val="22"/>
          <w:szCs w:val="22"/>
        </w:rPr>
        <w:t>Overlap Analysis of Ranked Gene Lists</w:t>
      </w:r>
    </w:p>
    <w:p w14:paraId="0FCAEAC1" w14:textId="2A83D582" w:rsidR="005D240B" w:rsidRPr="00270060" w:rsidRDefault="0077789B" w:rsidP="00172688">
      <w:pPr>
        <w:spacing w:line="480" w:lineRule="auto"/>
        <w:jc w:val="both"/>
        <w:rPr>
          <w:color w:val="000000" w:themeColor="text1"/>
          <w:sz w:val="22"/>
          <w:szCs w:val="22"/>
        </w:rPr>
      </w:pPr>
      <w:r w:rsidRPr="00270060">
        <w:rPr>
          <w:color w:val="000000" w:themeColor="text1"/>
          <w:sz w:val="22"/>
          <w:szCs w:val="22"/>
        </w:rPr>
        <w:t>To assess the degree of similarity between ranked lists, we computed the percent overlap at incremental list lengths. Beginning with the top-ranked gene from each list, we iteratively increased the comparison window by one gene until reaching a maximum of n genes. At each step, the proportion of overlapping genes was calculated as the number of shared genes divided by the number of genes included at that step, expressed as a percentage.</w:t>
      </w:r>
    </w:p>
    <w:p w14:paraId="769CA03D" w14:textId="77777777" w:rsidR="005D240B" w:rsidRPr="00270060" w:rsidRDefault="005D240B" w:rsidP="00172688">
      <w:pPr>
        <w:spacing w:line="480" w:lineRule="auto"/>
        <w:jc w:val="both"/>
        <w:rPr>
          <w:color w:val="000000" w:themeColor="text1"/>
          <w:sz w:val="22"/>
          <w:szCs w:val="22"/>
        </w:rPr>
      </w:pPr>
    </w:p>
    <w:p w14:paraId="71BC31DA"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page"/>
      </w:r>
    </w:p>
    <w:p w14:paraId="5BD17566"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lastRenderedPageBreak/>
        <w:t>References</w:t>
      </w:r>
    </w:p>
    <w:p w14:paraId="723D5FD2" w14:textId="77777777" w:rsidR="00B50BCE" w:rsidRPr="00270060" w:rsidRDefault="00983820" w:rsidP="00B50BCE">
      <w:pPr>
        <w:pStyle w:val="Bibliography"/>
      </w:pPr>
      <w:r w:rsidRPr="00270060">
        <w:rPr>
          <w:b/>
          <w:bCs/>
          <w:color w:val="000000" w:themeColor="text1"/>
          <w:sz w:val="22"/>
          <w:szCs w:val="22"/>
        </w:rPr>
        <w:fldChar w:fldCharType="begin"/>
      </w:r>
      <w:r w:rsidR="00246187" w:rsidRPr="00270060">
        <w:rPr>
          <w:b/>
          <w:bCs/>
          <w:color w:val="000000" w:themeColor="text1"/>
          <w:sz w:val="22"/>
          <w:szCs w:val="22"/>
        </w:rPr>
        <w:instrText xml:space="preserve"> ADDIN ZOTERO_BIBL {"uncited":[],"omitted":[],"custom":[]} CSL_BIBLIOGRAPHY </w:instrText>
      </w:r>
      <w:r w:rsidRPr="00270060">
        <w:rPr>
          <w:b/>
          <w:bCs/>
          <w:color w:val="000000" w:themeColor="text1"/>
          <w:sz w:val="22"/>
          <w:szCs w:val="22"/>
        </w:rPr>
        <w:fldChar w:fldCharType="separate"/>
      </w:r>
      <w:r w:rsidR="00B50BCE" w:rsidRPr="00270060">
        <w:t>1.</w:t>
      </w:r>
      <w:r w:rsidR="00B50BCE" w:rsidRPr="00270060">
        <w:tab/>
        <w:t>Neonatal Data Analysis Unit (NDAU). Neonatal Health Intelligence Tool. 2021. Available: https://www.imperial.ac.uk/neonatal-data-analysis-unit/neonatal-data-analysis-unit/neonatal-data-visualisations/.</w:t>
      </w:r>
    </w:p>
    <w:p w14:paraId="379201B6" w14:textId="77777777" w:rsidR="00B50BCE" w:rsidRPr="00270060" w:rsidRDefault="00B50BCE" w:rsidP="00B50BCE">
      <w:pPr>
        <w:pStyle w:val="Bibliography"/>
      </w:pPr>
      <w:r w:rsidRPr="00270060">
        <w:t>2.</w:t>
      </w:r>
      <w:r w:rsidRPr="00270060">
        <w:tab/>
        <w:t xml:space="preserve">Isayama, T. </w:t>
      </w:r>
      <w:r w:rsidRPr="00270060">
        <w:rPr>
          <w:i/>
          <w:iCs/>
        </w:rPr>
        <w:t>et al.</w:t>
      </w:r>
      <w:r w:rsidRPr="00270060">
        <w:t xml:space="preserve"> Revisiting the Definition of Bronchopulmonary Dysplasia: Effect of Changing Panoply of Respiratory Support for Preterm Neonates. </w:t>
      </w:r>
      <w:r w:rsidRPr="00270060">
        <w:rPr>
          <w:i/>
          <w:iCs/>
        </w:rPr>
        <w:t>JAMA Pediatr.</w:t>
      </w:r>
      <w:r w:rsidRPr="00270060">
        <w:t xml:space="preserve"> </w:t>
      </w:r>
      <w:r w:rsidRPr="00270060">
        <w:rPr>
          <w:b/>
          <w:bCs/>
        </w:rPr>
        <w:t>171</w:t>
      </w:r>
      <w:r w:rsidRPr="00270060">
        <w:t>, 271 (2017).</w:t>
      </w:r>
    </w:p>
    <w:p w14:paraId="775877DC" w14:textId="77777777" w:rsidR="00B50BCE" w:rsidRPr="00270060" w:rsidRDefault="00B50BCE" w:rsidP="00B50BCE">
      <w:pPr>
        <w:pStyle w:val="Bibliography"/>
      </w:pPr>
      <w:r w:rsidRPr="00270060">
        <w:t>3.</w:t>
      </w:r>
      <w:r w:rsidRPr="00270060">
        <w:tab/>
        <w:t xml:space="preserve">Jensen, E. A. </w:t>
      </w:r>
      <w:r w:rsidRPr="00270060">
        <w:rPr>
          <w:i/>
          <w:iCs/>
        </w:rPr>
        <w:t>et al.</w:t>
      </w:r>
      <w:r w:rsidRPr="00270060">
        <w:t xml:space="preserve"> The Diagnosis of Bronchopulmonary Dysplasia in Very Preterm Infants. An Evidence-based Approach. </w:t>
      </w:r>
      <w:r w:rsidRPr="00270060">
        <w:rPr>
          <w:i/>
          <w:iCs/>
        </w:rPr>
        <w:t>Am. J. Respir. Crit. Care Med.</w:t>
      </w:r>
      <w:r w:rsidRPr="00270060">
        <w:t xml:space="preserve"> </w:t>
      </w:r>
      <w:r w:rsidRPr="00270060">
        <w:rPr>
          <w:b/>
          <w:bCs/>
        </w:rPr>
        <w:t>200</w:t>
      </w:r>
      <w:r w:rsidRPr="00270060">
        <w:t>, 751–759 (2019).</w:t>
      </w:r>
    </w:p>
    <w:p w14:paraId="17FB1D79" w14:textId="77777777" w:rsidR="00B50BCE" w:rsidRPr="00270060" w:rsidRDefault="00B50BCE" w:rsidP="00B50BCE">
      <w:pPr>
        <w:pStyle w:val="Bibliography"/>
      </w:pPr>
      <w:r w:rsidRPr="00270060">
        <w:t>4.</w:t>
      </w:r>
      <w:r w:rsidRPr="00270060">
        <w:tab/>
        <w:t xml:space="preserve">Gilfillan, M., Bhandari, A. &amp; Bhandari, V. Diagnosis and management of bronchopulmonary dysplasia. </w:t>
      </w:r>
      <w:r w:rsidRPr="00270060">
        <w:rPr>
          <w:i/>
          <w:iCs/>
        </w:rPr>
        <w:t>BMJ</w:t>
      </w:r>
      <w:r w:rsidRPr="00270060">
        <w:t xml:space="preserve"> n1974 (2021) doi:10.1136/bmj.n1974.</w:t>
      </w:r>
    </w:p>
    <w:p w14:paraId="17A669D3" w14:textId="77777777" w:rsidR="00B50BCE" w:rsidRPr="00270060" w:rsidRDefault="00B50BCE" w:rsidP="00B50BCE">
      <w:pPr>
        <w:pStyle w:val="Bibliography"/>
      </w:pPr>
      <w:r w:rsidRPr="00270060">
        <w:t>5.</w:t>
      </w:r>
      <w:r w:rsidRPr="00270060">
        <w:tab/>
        <w:t xml:space="preserve">Thébaud, B. </w:t>
      </w:r>
      <w:r w:rsidRPr="00270060">
        <w:rPr>
          <w:i/>
          <w:iCs/>
        </w:rPr>
        <w:t>et al.</w:t>
      </w:r>
      <w:r w:rsidRPr="00270060">
        <w:t xml:space="preserve"> Bronchopulmonary dysplasia. </w:t>
      </w:r>
      <w:r w:rsidRPr="00270060">
        <w:rPr>
          <w:i/>
          <w:iCs/>
        </w:rPr>
        <w:t>Nat. Rev. Dis. Primer</w:t>
      </w:r>
      <w:r w:rsidRPr="00270060">
        <w:t xml:space="preserve"> </w:t>
      </w:r>
      <w:r w:rsidRPr="00270060">
        <w:rPr>
          <w:b/>
          <w:bCs/>
        </w:rPr>
        <w:t>5</w:t>
      </w:r>
      <w:r w:rsidRPr="00270060">
        <w:t>, 78 (2019).</w:t>
      </w:r>
    </w:p>
    <w:p w14:paraId="66368656" w14:textId="77777777" w:rsidR="00B50BCE" w:rsidRPr="00270060" w:rsidRDefault="00B50BCE" w:rsidP="00B50BCE">
      <w:pPr>
        <w:pStyle w:val="Bibliography"/>
      </w:pPr>
      <w:r w:rsidRPr="00270060">
        <w:t>6.</w:t>
      </w:r>
      <w:r w:rsidRPr="00270060">
        <w:tab/>
        <w:t xml:space="preserve">Greenough, A. Measuring respiratory outcome. </w:t>
      </w:r>
      <w:r w:rsidRPr="00270060">
        <w:rPr>
          <w:i/>
          <w:iCs/>
        </w:rPr>
        <w:t>Semin. Neonatol.</w:t>
      </w:r>
      <w:r w:rsidRPr="00270060">
        <w:t xml:space="preserve"> </w:t>
      </w:r>
      <w:r w:rsidRPr="00270060">
        <w:rPr>
          <w:b/>
          <w:bCs/>
        </w:rPr>
        <w:t>5</w:t>
      </w:r>
      <w:r w:rsidRPr="00270060">
        <w:t>, 119–126 (2000).</w:t>
      </w:r>
    </w:p>
    <w:p w14:paraId="54CC8468" w14:textId="77777777" w:rsidR="00B50BCE" w:rsidRPr="00270060" w:rsidRDefault="00B50BCE" w:rsidP="00B50BCE">
      <w:pPr>
        <w:pStyle w:val="Bibliography"/>
      </w:pPr>
      <w:r w:rsidRPr="00270060">
        <w:t>7.</w:t>
      </w:r>
      <w:r w:rsidRPr="00270060">
        <w:tab/>
        <w:t xml:space="preserve">Greenough, A. Bronchopulmonary dysplasia – Long term follow up. </w:t>
      </w:r>
      <w:r w:rsidRPr="00270060">
        <w:rPr>
          <w:i/>
          <w:iCs/>
        </w:rPr>
        <w:t>Paediatr. Respir. Rev.</w:t>
      </w:r>
      <w:r w:rsidRPr="00270060">
        <w:t xml:space="preserve"> </w:t>
      </w:r>
      <w:r w:rsidRPr="00270060">
        <w:rPr>
          <w:b/>
          <w:bCs/>
        </w:rPr>
        <w:t>7</w:t>
      </w:r>
      <w:r w:rsidRPr="00270060">
        <w:t>, S189–S191 (2006).</w:t>
      </w:r>
    </w:p>
    <w:p w14:paraId="45006A97" w14:textId="77777777" w:rsidR="00B50BCE" w:rsidRPr="00270060" w:rsidRDefault="00B50BCE" w:rsidP="00B50BCE">
      <w:pPr>
        <w:pStyle w:val="Bibliography"/>
      </w:pPr>
      <w:r w:rsidRPr="00270060">
        <w:t>8.</w:t>
      </w:r>
      <w:r w:rsidRPr="00270060">
        <w:tab/>
        <w:t xml:space="preserve">Dassios, T. &amp; Greenough, A. Long-term sequelae of bronchopulmonary dysplasia. in </w:t>
      </w:r>
      <w:r w:rsidRPr="00270060">
        <w:rPr>
          <w:i/>
          <w:iCs/>
        </w:rPr>
        <w:t>Respiratory Diseases of the Newborn Infant</w:t>
      </w:r>
      <w:r w:rsidRPr="00270060">
        <w:t xml:space="preserve"> (eds Sinha, I. P., Bhatt, J. M., Cleator, A. &amp; Wallace, H.) 68–78 (European Respiratory Society, Sheffield, United Kingdom, 2021). doi:10.1183/2312508X.10013720.</w:t>
      </w:r>
    </w:p>
    <w:p w14:paraId="3C05F068" w14:textId="77777777" w:rsidR="00B50BCE" w:rsidRPr="00270060" w:rsidRDefault="00B50BCE" w:rsidP="00B50BCE">
      <w:pPr>
        <w:pStyle w:val="Bibliography"/>
      </w:pPr>
      <w:r w:rsidRPr="00270060">
        <w:t>9.</w:t>
      </w:r>
      <w:r w:rsidRPr="00270060">
        <w:tab/>
        <w:t xml:space="preserve">Sun, T., Yu, H.-Y., Yang, M., Song, Y.-F. &amp; Fu, J.-H. Risk of asthma in preterm infants with bronchopulmonary dysplasia: a systematic review and meta-analysis. </w:t>
      </w:r>
      <w:r w:rsidRPr="00270060">
        <w:rPr>
          <w:i/>
          <w:iCs/>
        </w:rPr>
        <w:t>World J. Pediatr.</w:t>
      </w:r>
      <w:r w:rsidRPr="00270060">
        <w:t xml:space="preserve"> </w:t>
      </w:r>
      <w:r w:rsidRPr="00270060">
        <w:rPr>
          <w:b/>
          <w:bCs/>
        </w:rPr>
        <w:t>19</w:t>
      </w:r>
      <w:r w:rsidRPr="00270060">
        <w:t>, 549–556 (2023).</w:t>
      </w:r>
    </w:p>
    <w:p w14:paraId="4AE49F8C" w14:textId="77777777" w:rsidR="00B50BCE" w:rsidRPr="00270060" w:rsidRDefault="00B50BCE" w:rsidP="00B50BCE">
      <w:pPr>
        <w:pStyle w:val="Bibliography"/>
      </w:pPr>
      <w:r w:rsidRPr="00270060">
        <w:lastRenderedPageBreak/>
        <w:t>10.</w:t>
      </w:r>
      <w:r w:rsidRPr="00270060">
        <w:tab/>
        <w:t xml:space="preserve">Lavoie, P. M., Pham, C. &amp; Jang, K. L. Heritability of Bronchopulmonary Dysplasia, Defined According to the Consensus Statement of the National Institutes of Health. </w:t>
      </w:r>
      <w:r w:rsidRPr="00270060">
        <w:rPr>
          <w:i/>
          <w:iCs/>
        </w:rPr>
        <w:t>Pediatrics</w:t>
      </w:r>
      <w:r w:rsidRPr="00270060">
        <w:t xml:space="preserve"> </w:t>
      </w:r>
      <w:r w:rsidRPr="00270060">
        <w:rPr>
          <w:b/>
          <w:bCs/>
        </w:rPr>
        <w:t>122</w:t>
      </w:r>
      <w:r w:rsidRPr="00270060">
        <w:t>, 479–485 (2008).</w:t>
      </w:r>
    </w:p>
    <w:p w14:paraId="3FC98890" w14:textId="77777777" w:rsidR="00B50BCE" w:rsidRPr="00270060" w:rsidRDefault="00B50BCE" w:rsidP="00B50BCE">
      <w:pPr>
        <w:pStyle w:val="Bibliography"/>
      </w:pPr>
      <w:r w:rsidRPr="00270060">
        <w:t>11.</w:t>
      </w:r>
      <w:r w:rsidRPr="00270060">
        <w:tab/>
        <w:t xml:space="preserve">Bhandari, V. </w:t>
      </w:r>
      <w:r w:rsidRPr="00270060">
        <w:rPr>
          <w:i/>
          <w:iCs/>
        </w:rPr>
        <w:t>et al.</w:t>
      </w:r>
      <w:r w:rsidRPr="00270060">
        <w:t xml:space="preserve"> Familial and Genetic Susceptibility to Major Neonatal Morbidities in Preterm Twins. </w:t>
      </w:r>
      <w:r w:rsidRPr="00270060">
        <w:rPr>
          <w:i/>
          <w:iCs/>
        </w:rPr>
        <w:t>Pediatrics</w:t>
      </w:r>
      <w:r w:rsidRPr="00270060">
        <w:t xml:space="preserve"> </w:t>
      </w:r>
      <w:r w:rsidRPr="00270060">
        <w:rPr>
          <w:b/>
          <w:bCs/>
        </w:rPr>
        <w:t>117</w:t>
      </w:r>
      <w:r w:rsidRPr="00270060">
        <w:t>, 1901–1906 (2006).</w:t>
      </w:r>
    </w:p>
    <w:p w14:paraId="3188D9D3" w14:textId="77777777" w:rsidR="00B50BCE" w:rsidRPr="00270060" w:rsidRDefault="00B50BCE" w:rsidP="00B50BCE">
      <w:pPr>
        <w:pStyle w:val="Bibliography"/>
      </w:pPr>
      <w:r w:rsidRPr="00270060">
        <w:t>12.</w:t>
      </w:r>
      <w:r w:rsidRPr="00270060">
        <w:tab/>
        <w:t xml:space="preserve">Hadchouel, A. </w:t>
      </w:r>
      <w:r w:rsidRPr="00270060">
        <w:rPr>
          <w:i/>
          <w:iCs/>
        </w:rPr>
        <w:t>et al.</w:t>
      </w:r>
      <w:r w:rsidRPr="00270060">
        <w:t xml:space="preserve"> Identification of </w:t>
      </w:r>
      <w:r w:rsidRPr="00270060">
        <w:rPr>
          <w:i/>
          <w:iCs/>
        </w:rPr>
        <w:t>SPOCK2</w:t>
      </w:r>
      <w:r w:rsidRPr="00270060">
        <w:t xml:space="preserve"> As a Susceptibility Gene for Bronchopulmonary Dysplasia. </w:t>
      </w:r>
      <w:r w:rsidRPr="00270060">
        <w:rPr>
          <w:i/>
          <w:iCs/>
        </w:rPr>
        <w:t>Am. J. Respir. Crit. Care Med.</w:t>
      </w:r>
      <w:r w:rsidRPr="00270060">
        <w:t xml:space="preserve"> </w:t>
      </w:r>
      <w:r w:rsidRPr="00270060">
        <w:rPr>
          <w:b/>
          <w:bCs/>
        </w:rPr>
        <w:t>184</w:t>
      </w:r>
      <w:r w:rsidRPr="00270060">
        <w:t>, 1164–1170 (2011).</w:t>
      </w:r>
    </w:p>
    <w:p w14:paraId="6A194180" w14:textId="77777777" w:rsidR="00B50BCE" w:rsidRPr="00270060" w:rsidRDefault="00B50BCE" w:rsidP="00B50BCE">
      <w:pPr>
        <w:pStyle w:val="Bibliography"/>
      </w:pPr>
      <w:r w:rsidRPr="00270060">
        <w:t>13.</w:t>
      </w:r>
      <w:r w:rsidRPr="00270060">
        <w:tab/>
        <w:t xml:space="preserve">Mahlman, M. </w:t>
      </w:r>
      <w:r w:rsidRPr="00270060">
        <w:rPr>
          <w:i/>
          <w:iCs/>
        </w:rPr>
        <w:t>et al.</w:t>
      </w:r>
      <w:r w:rsidRPr="00270060">
        <w:t xml:space="preserve"> Genome-wide association study of bronchopulmonary dysplasia: a potential role for variants near the CRP gene. </w:t>
      </w:r>
      <w:r w:rsidRPr="00270060">
        <w:rPr>
          <w:i/>
          <w:iCs/>
        </w:rPr>
        <w:t>Sci. Rep.</w:t>
      </w:r>
      <w:r w:rsidRPr="00270060">
        <w:t xml:space="preserve"> </w:t>
      </w:r>
      <w:r w:rsidRPr="00270060">
        <w:rPr>
          <w:b/>
          <w:bCs/>
        </w:rPr>
        <w:t>7</w:t>
      </w:r>
      <w:r w:rsidRPr="00270060">
        <w:t>, 9271 (2017).</w:t>
      </w:r>
    </w:p>
    <w:p w14:paraId="65F2C123" w14:textId="77777777" w:rsidR="00B50BCE" w:rsidRPr="00270060" w:rsidRDefault="00B50BCE" w:rsidP="00B50BCE">
      <w:pPr>
        <w:pStyle w:val="Bibliography"/>
      </w:pPr>
      <w:r w:rsidRPr="00270060">
        <w:t>14.</w:t>
      </w:r>
      <w:r w:rsidRPr="00270060">
        <w:tab/>
        <w:t xml:space="preserve">Wang, H. </w:t>
      </w:r>
      <w:r w:rsidRPr="00270060">
        <w:rPr>
          <w:i/>
          <w:iCs/>
        </w:rPr>
        <w:t>et al.</w:t>
      </w:r>
      <w:r w:rsidRPr="00270060">
        <w:t xml:space="preserve"> A Genome-Wide Association Study (GWAS) for Bronchopulmonary Dysplasia. </w:t>
      </w:r>
      <w:r w:rsidRPr="00270060">
        <w:rPr>
          <w:i/>
          <w:iCs/>
        </w:rPr>
        <w:t>Pediatrics</w:t>
      </w:r>
      <w:r w:rsidRPr="00270060">
        <w:t xml:space="preserve"> </w:t>
      </w:r>
      <w:r w:rsidRPr="00270060">
        <w:rPr>
          <w:b/>
          <w:bCs/>
        </w:rPr>
        <w:t>132</w:t>
      </w:r>
      <w:r w:rsidRPr="00270060">
        <w:t>, 290–297 (2013).</w:t>
      </w:r>
    </w:p>
    <w:p w14:paraId="2CE83C4D" w14:textId="77777777" w:rsidR="00B50BCE" w:rsidRPr="00270060" w:rsidRDefault="00B50BCE" w:rsidP="00B50BCE">
      <w:pPr>
        <w:pStyle w:val="Bibliography"/>
      </w:pPr>
      <w:r w:rsidRPr="00270060">
        <w:t>15.</w:t>
      </w:r>
      <w:r w:rsidRPr="00270060">
        <w:tab/>
        <w:t xml:space="preserve">Ambalavanan, N. </w:t>
      </w:r>
      <w:r w:rsidRPr="00270060">
        <w:rPr>
          <w:i/>
          <w:iCs/>
        </w:rPr>
        <w:t>et al.</w:t>
      </w:r>
      <w:r w:rsidRPr="00270060">
        <w:t xml:space="preserve"> Integrated Genomic Analyses in Bronchopulmonary Dysplasia. </w:t>
      </w:r>
      <w:r w:rsidRPr="00270060">
        <w:rPr>
          <w:i/>
          <w:iCs/>
        </w:rPr>
        <w:t>J. Pediatr.</w:t>
      </w:r>
      <w:r w:rsidRPr="00270060">
        <w:t xml:space="preserve"> </w:t>
      </w:r>
      <w:r w:rsidRPr="00270060">
        <w:rPr>
          <w:b/>
          <w:bCs/>
        </w:rPr>
        <w:t>166</w:t>
      </w:r>
      <w:r w:rsidRPr="00270060">
        <w:t>, 531-537.e13 (2015).</w:t>
      </w:r>
    </w:p>
    <w:p w14:paraId="645E0E9E" w14:textId="77777777" w:rsidR="00B50BCE" w:rsidRPr="00270060" w:rsidRDefault="00B50BCE" w:rsidP="00B50BCE">
      <w:pPr>
        <w:pStyle w:val="Bibliography"/>
      </w:pPr>
      <w:r w:rsidRPr="00270060">
        <w:t>16.</w:t>
      </w:r>
      <w:r w:rsidRPr="00270060">
        <w:tab/>
        <w:t xml:space="preserve">Torgerson, D. G. </w:t>
      </w:r>
      <w:r w:rsidRPr="00270060">
        <w:rPr>
          <w:i/>
          <w:iCs/>
        </w:rPr>
        <w:t>et al.</w:t>
      </w:r>
      <w:r w:rsidRPr="00270060">
        <w:t xml:space="preserve"> Ancestry and genetic associations with bronchopulmonary dysplasia in preterm infants. </w:t>
      </w:r>
      <w:r w:rsidRPr="00270060">
        <w:rPr>
          <w:i/>
          <w:iCs/>
        </w:rPr>
        <w:t>Am. J. Physiol.-Lung Cell. Mol. Physiol.</w:t>
      </w:r>
      <w:r w:rsidRPr="00270060">
        <w:t xml:space="preserve"> </w:t>
      </w:r>
      <w:r w:rsidRPr="00270060">
        <w:rPr>
          <w:b/>
          <w:bCs/>
        </w:rPr>
        <w:t>315</w:t>
      </w:r>
      <w:r w:rsidRPr="00270060">
        <w:t>, L858–L869 (2018).</w:t>
      </w:r>
    </w:p>
    <w:p w14:paraId="0763A988" w14:textId="77777777" w:rsidR="00B50BCE" w:rsidRPr="00270060" w:rsidRDefault="00B50BCE" w:rsidP="00B50BCE">
      <w:pPr>
        <w:pStyle w:val="Bibliography"/>
      </w:pPr>
      <w:r w:rsidRPr="00270060">
        <w:t>17.</w:t>
      </w:r>
      <w:r w:rsidRPr="00270060">
        <w:tab/>
        <w:t xml:space="preserve">Moreira, A. G. </w:t>
      </w:r>
      <w:r w:rsidRPr="00270060">
        <w:rPr>
          <w:i/>
          <w:iCs/>
        </w:rPr>
        <w:t>et al.</w:t>
      </w:r>
      <w:r w:rsidRPr="00270060">
        <w:t xml:space="preserve"> Leveraging transcriptomics to develop bronchopulmonary dysplasia endotypes: a concept paper. </w:t>
      </w:r>
      <w:r w:rsidRPr="00270060">
        <w:rPr>
          <w:i/>
          <w:iCs/>
        </w:rPr>
        <w:t>Respir. Res.</w:t>
      </w:r>
      <w:r w:rsidRPr="00270060">
        <w:t xml:space="preserve"> </w:t>
      </w:r>
      <w:r w:rsidRPr="00270060">
        <w:rPr>
          <w:b/>
          <w:bCs/>
        </w:rPr>
        <w:t>24</w:t>
      </w:r>
      <w:r w:rsidRPr="00270060">
        <w:t>, (2023).</w:t>
      </w:r>
    </w:p>
    <w:p w14:paraId="156B69A0" w14:textId="77777777" w:rsidR="00B50BCE" w:rsidRPr="00270060" w:rsidRDefault="00B50BCE" w:rsidP="00B50BCE">
      <w:pPr>
        <w:pStyle w:val="Bibliography"/>
      </w:pPr>
      <w:r w:rsidRPr="00270060">
        <w:t>18.</w:t>
      </w:r>
      <w:r w:rsidRPr="00270060">
        <w:tab/>
        <w:t xml:space="preserve">Hurskainen, M. </w:t>
      </w:r>
      <w:r w:rsidRPr="00270060">
        <w:rPr>
          <w:i/>
          <w:iCs/>
        </w:rPr>
        <w:t>et al.</w:t>
      </w:r>
      <w:r w:rsidRPr="00270060">
        <w:t xml:space="preserve"> Single cell transcriptomic analysis of murine lung development on hyperoxia-induced damage. </w:t>
      </w:r>
      <w:r w:rsidRPr="00270060">
        <w:rPr>
          <w:i/>
          <w:iCs/>
        </w:rPr>
        <w:t>Nat. Commun.</w:t>
      </w:r>
      <w:r w:rsidRPr="00270060">
        <w:t xml:space="preserve"> </w:t>
      </w:r>
      <w:r w:rsidRPr="00270060">
        <w:rPr>
          <w:b/>
          <w:bCs/>
        </w:rPr>
        <w:t>12</w:t>
      </w:r>
      <w:r w:rsidRPr="00270060">
        <w:t>, (2021).</w:t>
      </w:r>
    </w:p>
    <w:p w14:paraId="54BFE0D6" w14:textId="77777777" w:rsidR="00B50BCE" w:rsidRPr="00270060" w:rsidRDefault="00B50BCE" w:rsidP="00B50BCE">
      <w:pPr>
        <w:pStyle w:val="Bibliography"/>
      </w:pPr>
      <w:r w:rsidRPr="00270060">
        <w:t>19.</w:t>
      </w:r>
      <w:r w:rsidRPr="00270060">
        <w:tab/>
        <w:t xml:space="preserve">The GenOMICC Investigators </w:t>
      </w:r>
      <w:r w:rsidRPr="00270060">
        <w:rPr>
          <w:i/>
          <w:iCs/>
        </w:rPr>
        <w:t>et al.</w:t>
      </w:r>
      <w:r w:rsidRPr="00270060">
        <w:t xml:space="preserve"> Genetic mechanisms of critical illness in COVID-19. </w:t>
      </w:r>
      <w:r w:rsidRPr="00270060">
        <w:rPr>
          <w:i/>
          <w:iCs/>
        </w:rPr>
        <w:t>Nature</w:t>
      </w:r>
      <w:r w:rsidRPr="00270060">
        <w:t xml:space="preserve"> </w:t>
      </w:r>
      <w:r w:rsidRPr="00270060">
        <w:rPr>
          <w:b/>
          <w:bCs/>
        </w:rPr>
        <w:t>591</w:t>
      </w:r>
      <w:r w:rsidRPr="00270060">
        <w:t>, 92–98 (2021).</w:t>
      </w:r>
    </w:p>
    <w:p w14:paraId="6021570B" w14:textId="77777777" w:rsidR="00B50BCE" w:rsidRPr="00270060" w:rsidRDefault="00B50BCE" w:rsidP="00B50BCE">
      <w:pPr>
        <w:pStyle w:val="Bibliography"/>
      </w:pPr>
      <w:r w:rsidRPr="00270060">
        <w:t>20.</w:t>
      </w:r>
      <w:r w:rsidRPr="00270060">
        <w:tab/>
        <w:t xml:space="preserve">Parkinson, N. </w:t>
      </w:r>
      <w:r w:rsidRPr="00270060">
        <w:rPr>
          <w:i/>
          <w:iCs/>
        </w:rPr>
        <w:t>et al.</w:t>
      </w:r>
      <w:r w:rsidRPr="00270060">
        <w:t xml:space="preserve"> Dynamic data-driven meta-analysis for prioritisation of host genes implicated in COVID-19. </w:t>
      </w:r>
      <w:r w:rsidRPr="00270060">
        <w:rPr>
          <w:i/>
          <w:iCs/>
        </w:rPr>
        <w:t>Sci. Rep.</w:t>
      </w:r>
      <w:r w:rsidRPr="00270060">
        <w:t xml:space="preserve"> </w:t>
      </w:r>
      <w:r w:rsidRPr="00270060">
        <w:rPr>
          <w:b/>
          <w:bCs/>
        </w:rPr>
        <w:t>10</w:t>
      </w:r>
      <w:r w:rsidRPr="00270060">
        <w:t>, 22303 (2020).</w:t>
      </w:r>
    </w:p>
    <w:p w14:paraId="7A153103" w14:textId="77777777" w:rsidR="00B50BCE" w:rsidRPr="00270060" w:rsidRDefault="00B50BCE" w:rsidP="00B50BCE">
      <w:pPr>
        <w:pStyle w:val="Bibliography"/>
      </w:pPr>
      <w:r w:rsidRPr="00270060">
        <w:lastRenderedPageBreak/>
        <w:t>21.</w:t>
      </w:r>
      <w:r w:rsidRPr="00270060">
        <w:tab/>
        <w:t xml:space="preserve">Wang, B. </w:t>
      </w:r>
      <w:r w:rsidRPr="00270060">
        <w:rPr>
          <w:i/>
          <w:iCs/>
        </w:rPr>
        <w:t>et al.</w:t>
      </w:r>
      <w:r w:rsidRPr="00270060">
        <w:t xml:space="preserve"> Systematic comparison of ranking aggregation methods for gene lists in experimental results. </w:t>
      </w:r>
      <w:r w:rsidRPr="00270060">
        <w:rPr>
          <w:i/>
          <w:iCs/>
        </w:rPr>
        <w:t>Bioinformatics</w:t>
      </w:r>
      <w:r w:rsidRPr="00270060">
        <w:t xml:space="preserve"> </w:t>
      </w:r>
      <w:r w:rsidRPr="00270060">
        <w:rPr>
          <w:b/>
          <w:bCs/>
        </w:rPr>
        <w:t>38</w:t>
      </w:r>
      <w:r w:rsidRPr="00270060">
        <w:t>, 4927–4933 (2022).</w:t>
      </w:r>
    </w:p>
    <w:p w14:paraId="1A062F23" w14:textId="77777777" w:rsidR="00B50BCE" w:rsidRPr="00270060" w:rsidRDefault="00B50BCE" w:rsidP="00B50BCE">
      <w:pPr>
        <w:pStyle w:val="Bibliography"/>
      </w:pPr>
      <w:r w:rsidRPr="00270060">
        <w:t>22.</w:t>
      </w:r>
      <w:r w:rsidRPr="00270060">
        <w:tab/>
        <w:t xml:space="preserve">Millar, J. E. </w:t>
      </w:r>
      <w:r w:rsidRPr="00270060">
        <w:rPr>
          <w:i/>
          <w:iCs/>
        </w:rPr>
        <w:t>et al.</w:t>
      </w:r>
      <w:r w:rsidRPr="00270060">
        <w:t xml:space="preserve"> The genomic landscape of Acute Respiratory Distress Syndrome: a meta-analysis by information content of genome-wide studies of the host response. Preprint at https://doi.org/10.1101/2024.02.13.24301089 (2024).</w:t>
      </w:r>
    </w:p>
    <w:p w14:paraId="7A4B0CAE" w14:textId="77777777" w:rsidR="00B50BCE" w:rsidRPr="00270060" w:rsidRDefault="00B50BCE" w:rsidP="00B50BCE">
      <w:pPr>
        <w:pStyle w:val="Bibliography"/>
      </w:pPr>
      <w:r w:rsidRPr="00270060">
        <w:t>23.</w:t>
      </w:r>
      <w:r w:rsidRPr="00270060">
        <w:tab/>
        <w:t xml:space="preserve">Eiby, Y. A. </w:t>
      </w:r>
      <w:r w:rsidRPr="00270060">
        <w:rPr>
          <w:i/>
          <w:iCs/>
        </w:rPr>
        <w:t>et al.</w:t>
      </w:r>
      <w:r w:rsidRPr="00270060">
        <w:t xml:space="preserve"> A Pig Model of the Preterm Neonate: Anthropometric and Physiological Characteristics. </w:t>
      </w:r>
      <w:r w:rsidRPr="00270060">
        <w:rPr>
          <w:i/>
          <w:iCs/>
        </w:rPr>
        <w:t>PLoS ONE</w:t>
      </w:r>
      <w:r w:rsidRPr="00270060">
        <w:t xml:space="preserve"> </w:t>
      </w:r>
      <w:r w:rsidRPr="00270060">
        <w:rPr>
          <w:b/>
          <w:bCs/>
        </w:rPr>
        <w:t>8</w:t>
      </w:r>
      <w:r w:rsidRPr="00270060">
        <w:t>, e68763 (2013).</w:t>
      </w:r>
    </w:p>
    <w:p w14:paraId="2C326D8B" w14:textId="77777777" w:rsidR="00B50BCE" w:rsidRPr="00270060" w:rsidRDefault="00B50BCE" w:rsidP="00B50BCE">
      <w:pPr>
        <w:pStyle w:val="Bibliography"/>
      </w:pPr>
      <w:r w:rsidRPr="00270060">
        <w:t>24.</w:t>
      </w:r>
      <w:r w:rsidRPr="00270060">
        <w:tab/>
        <w:t xml:space="preserve">Rozance, P. J. </w:t>
      </w:r>
      <w:r w:rsidRPr="00270060">
        <w:rPr>
          <w:i/>
          <w:iCs/>
        </w:rPr>
        <w:t>et al.</w:t>
      </w:r>
      <w:r w:rsidRPr="00270060">
        <w:t xml:space="preserve"> Intrauterine growth restriction decreases pulmonary alveolar and vessel growth and causes pulmonary artery endothelial cell dysfunction in vitro in fetal sheep. </w:t>
      </w:r>
      <w:r w:rsidRPr="00270060">
        <w:rPr>
          <w:i/>
          <w:iCs/>
        </w:rPr>
        <w:t>Am. J. Physiol.-Lung Cell. Mol. Physiol.</w:t>
      </w:r>
      <w:r w:rsidRPr="00270060">
        <w:t xml:space="preserve"> </w:t>
      </w:r>
      <w:r w:rsidRPr="00270060">
        <w:rPr>
          <w:b/>
          <w:bCs/>
        </w:rPr>
        <w:t>301</w:t>
      </w:r>
      <w:r w:rsidRPr="00270060">
        <w:t>, L860–L871 (2011).</w:t>
      </w:r>
    </w:p>
    <w:p w14:paraId="25A12A91" w14:textId="77777777" w:rsidR="00B50BCE" w:rsidRPr="00270060" w:rsidRDefault="00B50BCE" w:rsidP="00B50BCE">
      <w:pPr>
        <w:pStyle w:val="Bibliography"/>
      </w:pPr>
      <w:r w:rsidRPr="00270060">
        <w:t>25.</w:t>
      </w:r>
      <w:r w:rsidRPr="00270060">
        <w:tab/>
        <w:t xml:space="preserve">Tsotakos, N. </w:t>
      </w:r>
      <w:r w:rsidRPr="00270060">
        <w:rPr>
          <w:i/>
          <w:iCs/>
        </w:rPr>
        <w:t>et al.</w:t>
      </w:r>
      <w:r w:rsidRPr="00270060">
        <w:t xml:space="preserve"> All trans-retinoic acid modulates hyperoxia-induced suppression of NF-kB-dependent Wnt signaling in alveolar A549 epithelial cells. </w:t>
      </w:r>
      <w:r w:rsidRPr="00270060">
        <w:rPr>
          <w:i/>
          <w:iCs/>
        </w:rPr>
        <w:t>PloS One</w:t>
      </w:r>
      <w:r w:rsidRPr="00270060">
        <w:t xml:space="preserve"> </w:t>
      </w:r>
      <w:r w:rsidRPr="00270060">
        <w:rPr>
          <w:b/>
          <w:bCs/>
        </w:rPr>
        <w:t>17</w:t>
      </w:r>
      <w:r w:rsidRPr="00270060">
        <w:t>, (2022).</w:t>
      </w:r>
    </w:p>
    <w:p w14:paraId="32EAB194" w14:textId="77777777" w:rsidR="00B50BCE" w:rsidRPr="00270060" w:rsidRDefault="00B50BCE" w:rsidP="00B50BCE">
      <w:pPr>
        <w:pStyle w:val="Bibliography"/>
      </w:pPr>
      <w:r w:rsidRPr="00270060">
        <w:t>26.</w:t>
      </w:r>
      <w:r w:rsidRPr="00270060">
        <w:tab/>
        <w:t xml:space="preserve">Freshour, S. L. </w:t>
      </w:r>
      <w:r w:rsidRPr="00270060">
        <w:rPr>
          <w:i/>
          <w:iCs/>
        </w:rPr>
        <w:t>et al.</w:t>
      </w:r>
      <w:r w:rsidRPr="00270060">
        <w:t xml:space="preserve"> Integration of the Drug–Gene Interaction Database (DGIdb 4.0) with open crowdsource efforts. </w:t>
      </w:r>
      <w:r w:rsidRPr="00270060">
        <w:rPr>
          <w:i/>
          <w:iCs/>
        </w:rPr>
        <w:t>Nucleic Acids Res.</w:t>
      </w:r>
      <w:r w:rsidRPr="00270060">
        <w:t xml:space="preserve"> </w:t>
      </w:r>
      <w:r w:rsidRPr="00270060">
        <w:rPr>
          <w:b/>
          <w:bCs/>
        </w:rPr>
        <w:t>49</w:t>
      </w:r>
      <w:r w:rsidRPr="00270060">
        <w:t>, D1144–D1151 (2021).</w:t>
      </w:r>
    </w:p>
    <w:p w14:paraId="70AB3761" w14:textId="77777777" w:rsidR="00B50BCE" w:rsidRPr="00270060" w:rsidRDefault="00B50BCE" w:rsidP="00B50BCE">
      <w:pPr>
        <w:pStyle w:val="Bibliography"/>
      </w:pPr>
      <w:r w:rsidRPr="00270060">
        <w:t>27.</w:t>
      </w:r>
      <w:r w:rsidRPr="00270060">
        <w:tab/>
        <w:t xml:space="preserve">Dai, Y. </w:t>
      </w:r>
      <w:r w:rsidRPr="00270060">
        <w:rPr>
          <w:i/>
          <w:iCs/>
        </w:rPr>
        <w:t>et al.</w:t>
      </w:r>
      <w:r w:rsidRPr="00270060">
        <w:t xml:space="preserve"> WebCSEA: web-based cell-type-specific enrichment analysis of genes. </w:t>
      </w:r>
      <w:r w:rsidRPr="00270060">
        <w:rPr>
          <w:i/>
          <w:iCs/>
        </w:rPr>
        <w:t>Nucleic Acids Res.</w:t>
      </w:r>
      <w:r w:rsidRPr="00270060">
        <w:t xml:space="preserve"> </w:t>
      </w:r>
      <w:r w:rsidRPr="00270060">
        <w:rPr>
          <w:b/>
          <w:bCs/>
        </w:rPr>
        <w:t>50</w:t>
      </w:r>
      <w:r w:rsidRPr="00270060">
        <w:t>, W782–W790 (2022).</w:t>
      </w:r>
    </w:p>
    <w:p w14:paraId="7378826A" w14:textId="77777777" w:rsidR="00B50BCE" w:rsidRPr="00270060" w:rsidRDefault="00B50BCE" w:rsidP="00B50BCE">
      <w:pPr>
        <w:pStyle w:val="Bibliography"/>
      </w:pPr>
      <w:r w:rsidRPr="00270060">
        <w:t>28.</w:t>
      </w:r>
      <w:r w:rsidRPr="00270060">
        <w:tab/>
        <w:t xml:space="preserve">Ahmed, S. </w:t>
      </w:r>
      <w:r w:rsidRPr="00270060">
        <w:rPr>
          <w:i/>
          <w:iCs/>
        </w:rPr>
        <w:t>et al.</w:t>
      </w:r>
      <w:r w:rsidRPr="00270060">
        <w:t xml:space="preserve"> Proteomics-Based Mapping of Bronchopulmonary Dysplasia-Associated Changes in Noninvasively Accessible Oral Secretions. </w:t>
      </w:r>
      <w:r w:rsidRPr="00270060">
        <w:rPr>
          <w:i/>
          <w:iCs/>
        </w:rPr>
        <w:t>J. Pediatr.</w:t>
      </w:r>
      <w:r w:rsidRPr="00270060">
        <w:t xml:space="preserve"> </w:t>
      </w:r>
      <w:r w:rsidRPr="00270060">
        <w:rPr>
          <w:b/>
          <w:bCs/>
        </w:rPr>
        <w:t>270</w:t>
      </w:r>
      <w:r w:rsidRPr="00270060">
        <w:t>, (2023).</w:t>
      </w:r>
    </w:p>
    <w:p w14:paraId="71301836" w14:textId="77777777" w:rsidR="00B50BCE" w:rsidRPr="00270060" w:rsidRDefault="00B50BCE" w:rsidP="00B50BCE">
      <w:pPr>
        <w:pStyle w:val="Bibliography"/>
      </w:pPr>
      <w:r w:rsidRPr="00270060">
        <w:t>29.</w:t>
      </w:r>
      <w:r w:rsidRPr="00270060">
        <w:tab/>
        <w:t xml:space="preserve">Bhattacharya, S. </w:t>
      </w:r>
      <w:r w:rsidRPr="00270060">
        <w:rPr>
          <w:i/>
          <w:iCs/>
        </w:rPr>
        <w:t>et al.</w:t>
      </w:r>
      <w:r w:rsidRPr="00270060">
        <w:t xml:space="preserve"> Genome-wide transcriptional profiling reveals connective tissue mast cell accumulation in bronchopulmonary dysplasia. </w:t>
      </w:r>
      <w:r w:rsidRPr="00270060">
        <w:rPr>
          <w:i/>
          <w:iCs/>
        </w:rPr>
        <w:t>Am. J. Respir. Crit. Care Med.</w:t>
      </w:r>
      <w:r w:rsidRPr="00270060">
        <w:t xml:space="preserve"> </w:t>
      </w:r>
      <w:r w:rsidRPr="00270060">
        <w:rPr>
          <w:b/>
          <w:bCs/>
        </w:rPr>
        <w:t>186</w:t>
      </w:r>
      <w:r w:rsidRPr="00270060">
        <w:t>, (2012).</w:t>
      </w:r>
    </w:p>
    <w:p w14:paraId="5D1DCB9F" w14:textId="77777777" w:rsidR="00B50BCE" w:rsidRPr="00270060" w:rsidRDefault="00B50BCE" w:rsidP="00B50BCE">
      <w:pPr>
        <w:pStyle w:val="Bibliography"/>
      </w:pPr>
      <w:r w:rsidRPr="00270060">
        <w:lastRenderedPageBreak/>
        <w:t>30.</w:t>
      </w:r>
      <w:r w:rsidRPr="00270060">
        <w:tab/>
        <w:t xml:space="preserve">Bhattacharya, S. </w:t>
      </w:r>
      <w:r w:rsidRPr="00270060">
        <w:rPr>
          <w:i/>
          <w:iCs/>
        </w:rPr>
        <w:t>et al.</w:t>
      </w:r>
      <w:r w:rsidRPr="00270060">
        <w:t xml:space="preserve"> Lymphocyte-Specific Biomarkers Associated With Preterm Birth and Bronchopulmonary Dysplasia. </w:t>
      </w:r>
      <w:r w:rsidRPr="00270060">
        <w:rPr>
          <w:i/>
          <w:iCs/>
        </w:rPr>
        <w:t>Front. Immunol.</w:t>
      </w:r>
      <w:r w:rsidRPr="00270060">
        <w:t xml:space="preserve"> </w:t>
      </w:r>
      <w:r w:rsidRPr="00270060">
        <w:rPr>
          <w:b/>
          <w:bCs/>
        </w:rPr>
        <w:t>11</w:t>
      </w:r>
      <w:r w:rsidRPr="00270060">
        <w:t>, (2020).</w:t>
      </w:r>
    </w:p>
    <w:p w14:paraId="5B198447" w14:textId="77777777" w:rsidR="00B50BCE" w:rsidRPr="00270060" w:rsidRDefault="00B50BCE" w:rsidP="00B50BCE">
      <w:pPr>
        <w:pStyle w:val="Bibliography"/>
      </w:pPr>
      <w:r w:rsidRPr="00270060">
        <w:t>31.</w:t>
      </w:r>
      <w:r w:rsidRPr="00270060">
        <w:tab/>
        <w:t xml:space="preserve">De Paepe, M. E., Greco, D. &amp; Mao, Q. Angiogenesis-related gene expression profiling in ventilated preterm human lungs. </w:t>
      </w:r>
      <w:r w:rsidRPr="00270060">
        <w:rPr>
          <w:i/>
          <w:iCs/>
        </w:rPr>
        <w:t>Exp. Lung Res.</w:t>
      </w:r>
      <w:r w:rsidRPr="00270060">
        <w:t xml:space="preserve"> </w:t>
      </w:r>
      <w:r w:rsidRPr="00270060">
        <w:rPr>
          <w:b/>
          <w:bCs/>
        </w:rPr>
        <w:t>36</w:t>
      </w:r>
      <w:r w:rsidRPr="00270060">
        <w:t>, (2010).</w:t>
      </w:r>
    </w:p>
    <w:p w14:paraId="7CF478BF" w14:textId="77777777" w:rsidR="00B50BCE" w:rsidRPr="00270060" w:rsidRDefault="00B50BCE" w:rsidP="00B50BCE">
      <w:pPr>
        <w:pStyle w:val="Bibliography"/>
      </w:pPr>
      <w:r w:rsidRPr="00270060">
        <w:t>32.</w:t>
      </w:r>
      <w:r w:rsidRPr="00270060">
        <w:tab/>
        <w:t xml:space="preserve">Dai, D. </w:t>
      </w:r>
      <w:r w:rsidRPr="00270060">
        <w:rPr>
          <w:i/>
          <w:iCs/>
        </w:rPr>
        <w:t>et al.</w:t>
      </w:r>
      <w:r w:rsidRPr="00270060">
        <w:t xml:space="preserve"> Bronchopulmonary Dysplasia Predicted by Developing a Machine Learning Model of Genetic and Clinical Information. </w:t>
      </w:r>
      <w:r w:rsidRPr="00270060">
        <w:rPr>
          <w:i/>
          <w:iCs/>
        </w:rPr>
        <w:t>Front. Genet.</w:t>
      </w:r>
      <w:r w:rsidRPr="00270060">
        <w:t xml:space="preserve"> </w:t>
      </w:r>
      <w:r w:rsidRPr="00270060">
        <w:rPr>
          <w:b/>
          <w:bCs/>
        </w:rPr>
        <w:t>12</w:t>
      </w:r>
      <w:r w:rsidRPr="00270060">
        <w:t>, (2021).</w:t>
      </w:r>
    </w:p>
    <w:p w14:paraId="49C9393D" w14:textId="77777777" w:rsidR="00B50BCE" w:rsidRPr="00270060" w:rsidRDefault="00B50BCE" w:rsidP="00B50BCE">
      <w:pPr>
        <w:pStyle w:val="Bibliography"/>
      </w:pPr>
      <w:r w:rsidRPr="00270060">
        <w:t>33.</w:t>
      </w:r>
      <w:r w:rsidRPr="00270060">
        <w:tab/>
        <w:t xml:space="preserve">Fulton, C. T., Cui, T. X., Goldsmith, A. M., Bermick, J. &amp; Popova, A. P. Gene Expression Signatures Point to a Male Sex-Specific Lung Mesenchymal Cell PDGF Receptor Signaling Defect in Infants Developing Bronchopulmonary Dysplasia. </w:t>
      </w:r>
      <w:r w:rsidRPr="00270060">
        <w:rPr>
          <w:i/>
          <w:iCs/>
        </w:rPr>
        <w:t>Sci. Rep.</w:t>
      </w:r>
      <w:r w:rsidRPr="00270060">
        <w:t xml:space="preserve"> </w:t>
      </w:r>
      <w:r w:rsidRPr="00270060">
        <w:rPr>
          <w:b/>
          <w:bCs/>
        </w:rPr>
        <w:t>8</w:t>
      </w:r>
      <w:r w:rsidRPr="00270060">
        <w:t>, (2018).</w:t>
      </w:r>
    </w:p>
    <w:p w14:paraId="47A5AAC2" w14:textId="77777777" w:rsidR="00B50BCE" w:rsidRPr="00270060" w:rsidRDefault="00B50BCE" w:rsidP="00B50BCE">
      <w:pPr>
        <w:pStyle w:val="Bibliography"/>
      </w:pPr>
      <w:r w:rsidRPr="00270060">
        <w:t>34.</w:t>
      </w:r>
      <w:r w:rsidRPr="00270060">
        <w:tab/>
        <w:t xml:space="preserve">Gong, X., Qiu, J., Qiu, G. &amp; Cai, C. Adrenomedullin regulated by miRNA-574-3p protects premature infants with bronchopulmonary dysplasia. </w:t>
      </w:r>
      <w:r w:rsidRPr="00270060">
        <w:rPr>
          <w:i/>
          <w:iCs/>
        </w:rPr>
        <w:t>Biosci. Rep.</w:t>
      </w:r>
      <w:r w:rsidRPr="00270060">
        <w:t xml:space="preserve"> </w:t>
      </w:r>
      <w:r w:rsidRPr="00270060">
        <w:rPr>
          <w:b/>
          <w:bCs/>
        </w:rPr>
        <w:t>40</w:t>
      </w:r>
      <w:r w:rsidRPr="00270060">
        <w:t>, (2020).</w:t>
      </w:r>
    </w:p>
    <w:p w14:paraId="3994A6E6" w14:textId="77777777" w:rsidR="00B50BCE" w:rsidRPr="00270060" w:rsidRDefault="00B50BCE" w:rsidP="00B50BCE">
      <w:pPr>
        <w:pStyle w:val="Bibliography"/>
      </w:pPr>
      <w:r w:rsidRPr="00270060">
        <w:t>35.</w:t>
      </w:r>
      <w:r w:rsidRPr="00270060">
        <w:tab/>
        <w:t xml:space="preserve">Hamvas, A. </w:t>
      </w:r>
      <w:r w:rsidRPr="00270060">
        <w:rPr>
          <w:i/>
          <w:iCs/>
        </w:rPr>
        <w:t>et al.</w:t>
      </w:r>
      <w:r w:rsidRPr="00270060">
        <w:t xml:space="preserve"> Exome sequencing identifies gene variants and networks associated with extreme respiratory outcomes following preterm birth. </w:t>
      </w:r>
      <w:r w:rsidRPr="00270060">
        <w:rPr>
          <w:i/>
          <w:iCs/>
        </w:rPr>
        <w:t>BMC Genet.</w:t>
      </w:r>
      <w:r w:rsidRPr="00270060">
        <w:t xml:space="preserve"> </w:t>
      </w:r>
      <w:r w:rsidRPr="00270060">
        <w:rPr>
          <w:b/>
          <w:bCs/>
        </w:rPr>
        <w:t>19</w:t>
      </w:r>
      <w:r w:rsidRPr="00270060">
        <w:t>, (2018).</w:t>
      </w:r>
    </w:p>
    <w:p w14:paraId="16D397E7" w14:textId="77777777" w:rsidR="00B50BCE" w:rsidRPr="00270060" w:rsidRDefault="00B50BCE" w:rsidP="00B50BCE">
      <w:pPr>
        <w:pStyle w:val="Bibliography"/>
      </w:pPr>
      <w:r w:rsidRPr="00270060">
        <w:t>36.</w:t>
      </w:r>
      <w:r w:rsidRPr="00270060">
        <w:tab/>
        <w:t xml:space="preserve">Li A. </w:t>
      </w:r>
      <w:r w:rsidRPr="00270060">
        <w:rPr>
          <w:i/>
          <w:iCs/>
        </w:rPr>
        <w:t>et al.</w:t>
      </w:r>
      <w:r w:rsidRPr="00270060">
        <w:t xml:space="preserve"> Investigating the early mechanisms leading from ventilation-induced lung injury to bronchopulmonary dysplasia using in vitro lung cell over-distension. </w:t>
      </w:r>
      <w:r w:rsidRPr="00270060">
        <w:rPr>
          <w:i/>
          <w:iCs/>
        </w:rPr>
        <w:t>J. Paediatr. Child Health</w:t>
      </w:r>
      <w:r w:rsidRPr="00270060">
        <w:t xml:space="preserve"> </w:t>
      </w:r>
      <w:r w:rsidRPr="00270060">
        <w:rPr>
          <w:b/>
          <w:bCs/>
        </w:rPr>
        <w:t>51</w:t>
      </w:r>
      <w:r w:rsidRPr="00270060">
        <w:t>, (2015).</w:t>
      </w:r>
    </w:p>
    <w:p w14:paraId="4E77444C" w14:textId="77777777" w:rsidR="00B50BCE" w:rsidRPr="00270060" w:rsidRDefault="00B50BCE" w:rsidP="00B50BCE">
      <w:pPr>
        <w:pStyle w:val="Bibliography"/>
      </w:pPr>
      <w:r w:rsidRPr="00270060">
        <w:t>37.</w:t>
      </w:r>
      <w:r w:rsidRPr="00270060">
        <w:tab/>
        <w:t xml:space="preserve">Luo, X. </w:t>
      </w:r>
      <w:r w:rsidRPr="00270060">
        <w:rPr>
          <w:i/>
          <w:iCs/>
        </w:rPr>
        <w:t>et al.</w:t>
      </w:r>
      <w:r w:rsidRPr="00270060">
        <w:t xml:space="preserve"> Identification of genetic susceptibility in preterm newborns with bronchopulmonary dysplasia by whole-exome sequencing: BIVM gene may play a role. </w:t>
      </w:r>
      <w:r w:rsidRPr="00270060">
        <w:rPr>
          <w:i/>
          <w:iCs/>
        </w:rPr>
        <w:t>Eur. J. Pediatr.</w:t>
      </w:r>
      <w:r w:rsidRPr="00270060">
        <w:t xml:space="preserve"> </w:t>
      </w:r>
      <w:r w:rsidRPr="00270060">
        <w:rPr>
          <w:b/>
          <w:bCs/>
        </w:rPr>
        <w:t>182</w:t>
      </w:r>
      <w:r w:rsidRPr="00270060">
        <w:t>, (2023).</w:t>
      </w:r>
    </w:p>
    <w:p w14:paraId="5083E71C" w14:textId="77777777" w:rsidR="00B50BCE" w:rsidRPr="00270060" w:rsidRDefault="00B50BCE" w:rsidP="00B50BCE">
      <w:pPr>
        <w:pStyle w:val="Bibliography"/>
      </w:pPr>
      <w:r w:rsidRPr="00270060">
        <w:lastRenderedPageBreak/>
        <w:t>38.</w:t>
      </w:r>
      <w:r w:rsidRPr="00270060">
        <w:tab/>
        <w:t xml:space="preserve">Oji-Mmuo, C. N. </w:t>
      </w:r>
      <w:r w:rsidRPr="00270060">
        <w:rPr>
          <w:i/>
          <w:iCs/>
        </w:rPr>
        <w:t>et al.</w:t>
      </w:r>
      <w:r w:rsidRPr="00270060">
        <w:t xml:space="preserve"> Tracheal aspirate transcriptomic and miRNA signatures of extreme premature birth with bronchopulmonary dysplasia. </w:t>
      </w:r>
      <w:r w:rsidRPr="00270060">
        <w:rPr>
          <w:i/>
          <w:iCs/>
        </w:rPr>
        <w:t>J. Perinatol. Off. J. Calif. Perinat. Assoc.</w:t>
      </w:r>
      <w:r w:rsidRPr="00270060">
        <w:t xml:space="preserve"> </w:t>
      </w:r>
      <w:r w:rsidRPr="00270060">
        <w:rPr>
          <w:b/>
          <w:bCs/>
        </w:rPr>
        <w:t>41</w:t>
      </w:r>
      <w:r w:rsidRPr="00270060">
        <w:t>, (2021).</w:t>
      </w:r>
    </w:p>
    <w:p w14:paraId="6F45EC4B" w14:textId="77777777" w:rsidR="00B50BCE" w:rsidRPr="00270060" w:rsidRDefault="00B50BCE" w:rsidP="00B50BCE">
      <w:pPr>
        <w:pStyle w:val="Bibliography"/>
      </w:pPr>
      <w:r w:rsidRPr="00270060">
        <w:t>39.</w:t>
      </w:r>
      <w:r w:rsidRPr="00270060">
        <w:tab/>
        <w:t xml:space="preserve">Pietrzyk, J. J. </w:t>
      </w:r>
      <w:r w:rsidRPr="00270060">
        <w:rPr>
          <w:i/>
          <w:iCs/>
        </w:rPr>
        <w:t>et al.</w:t>
      </w:r>
      <w:r w:rsidRPr="00270060">
        <w:t xml:space="preserve"> Gene expression profiling in preterm infants: new aspects of bronchopulmonary dysplasia development. </w:t>
      </w:r>
      <w:r w:rsidRPr="00270060">
        <w:rPr>
          <w:i/>
          <w:iCs/>
        </w:rPr>
        <w:t>PloS One</w:t>
      </w:r>
      <w:r w:rsidRPr="00270060">
        <w:t xml:space="preserve"> </w:t>
      </w:r>
      <w:r w:rsidRPr="00270060">
        <w:rPr>
          <w:b/>
          <w:bCs/>
        </w:rPr>
        <w:t>8</w:t>
      </w:r>
      <w:r w:rsidRPr="00270060">
        <w:t>, (2013).</w:t>
      </w:r>
    </w:p>
    <w:p w14:paraId="6886F241" w14:textId="77777777" w:rsidR="00B50BCE" w:rsidRPr="00270060" w:rsidRDefault="00B50BCE" w:rsidP="00B50BCE">
      <w:pPr>
        <w:pStyle w:val="Bibliography"/>
      </w:pPr>
      <w:r w:rsidRPr="00270060">
        <w:t>40.</w:t>
      </w:r>
      <w:r w:rsidRPr="00270060">
        <w:tab/>
        <w:t xml:space="preserve">Siddaiah, R. </w:t>
      </w:r>
      <w:r w:rsidRPr="00270060">
        <w:rPr>
          <w:i/>
          <w:iCs/>
        </w:rPr>
        <w:t>et al.</w:t>
      </w:r>
      <w:r w:rsidRPr="00270060">
        <w:t xml:space="preserve"> Multiomics endotyping of preterm infants with bronchopulmonary dysplasia and pulmonary hypertension-A pilot study. </w:t>
      </w:r>
      <w:r w:rsidRPr="00270060">
        <w:rPr>
          <w:i/>
          <w:iCs/>
        </w:rPr>
        <w:t>Pulm. Circ.</w:t>
      </w:r>
      <w:r w:rsidRPr="00270060">
        <w:t xml:space="preserve"> </w:t>
      </w:r>
      <w:r w:rsidRPr="00270060">
        <w:rPr>
          <w:b/>
          <w:bCs/>
        </w:rPr>
        <w:t>13</w:t>
      </w:r>
      <w:r w:rsidRPr="00270060">
        <w:t>, (2023).</w:t>
      </w:r>
    </w:p>
    <w:p w14:paraId="1C088EF1" w14:textId="77777777" w:rsidR="00B50BCE" w:rsidRPr="00270060" w:rsidRDefault="00B50BCE" w:rsidP="00B50BCE">
      <w:pPr>
        <w:pStyle w:val="Bibliography"/>
      </w:pPr>
      <w:r w:rsidRPr="00270060">
        <w:t>41.</w:t>
      </w:r>
      <w:r w:rsidRPr="00270060">
        <w:tab/>
        <w:t xml:space="preserve">Windhorst, A. C. </w:t>
      </w:r>
      <w:r w:rsidRPr="00270060">
        <w:rPr>
          <w:i/>
          <w:iCs/>
        </w:rPr>
        <w:t>et al.</w:t>
      </w:r>
      <w:r w:rsidRPr="00270060">
        <w:t xml:space="preserve"> Monocyte signature as a predictor of chronic lung disease in the preterm infant. </w:t>
      </w:r>
      <w:r w:rsidRPr="00270060">
        <w:rPr>
          <w:i/>
          <w:iCs/>
        </w:rPr>
        <w:t>Front. Immunol.</w:t>
      </w:r>
      <w:r w:rsidRPr="00270060">
        <w:t xml:space="preserve"> </w:t>
      </w:r>
      <w:r w:rsidRPr="00270060">
        <w:rPr>
          <w:b/>
          <w:bCs/>
        </w:rPr>
        <w:t>14</w:t>
      </w:r>
      <w:r w:rsidRPr="00270060">
        <w:t>, (2023).</w:t>
      </w:r>
    </w:p>
    <w:p w14:paraId="0F607989" w14:textId="77777777" w:rsidR="00B50BCE" w:rsidRPr="00270060" w:rsidRDefault="00B50BCE" w:rsidP="00B50BCE">
      <w:pPr>
        <w:pStyle w:val="Bibliography"/>
      </w:pPr>
      <w:r w:rsidRPr="00270060">
        <w:t>42.</w:t>
      </w:r>
      <w:r w:rsidRPr="00270060">
        <w:tab/>
        <w:t xml:space="preserve">Zasada, M. </w:t>
      </w:r>
      <w:r w:rsidRPr="00270060">
        <w:rPr>
          <w:i/>
          <w:iCs/>
        </w:rPr>
        <w:t>et al.</w:t>
      </w:r>
      <w:r w:rsidRPr="00270060">
        <w:t xml:space="preserve"> Comparative two time-point proteome analysis of the plasma from preterm infants with and without bronchopulmonary dysplasia. </w:t>
      </w:r>
      <w:r w:rsidRPr="00270060">
        <w:rPr>
          <w:i/>
          <w:iCs/>
        </w:rPr>
        <w:t>Ital. J. Pediatr.</w:t>
      </w:r>
      <w:r w:rsidRPr="00270060">
        <w:t xml:space="preserve"> </w:t>
      </w:r>
      <w:r w:rsidRPr="00270060">
        <w:rPr>
          <w:b/>
          <w:bCs/>
        </w:rPr>
        <w:t>45</w:t>
      </w:r>
      <w:r w:rsidRPr="00270060">
        <w:t>, (2019).</w:t>
      </w:r>
    </w:p>
    <w:p w14:paraId="03234946" w14:textId="77777777" w:rsidR="00B50BCE" w:rsidRPr="00270060" w:rsidRDefault="00B50BCE" w:rsidP="00B50BCE">
      <w:pPr>
        <w:pStyle w:val="Bibliography"/>
      </w:pPr>
      <w:r w:rsidRPr="00270060">
        <w:t>43.</w:t>
      </w:r>
      <w:r w:rsidRPr="00270060">
        <w:tab/>
        <w:t xml:space="preserve">Wu, T. </w:t>
      </w:r>
      <w:r w:rsidRPr="00270060">
        <w:rPr>
          <w:i/>
          <w:iCs/>
        </w:rPr>
        <w:t>et al.</w:t>
      </w:r>
      <w:r w:rsidRPr="00270060">
        <w:t xml:space="preserve"> clusterProfiler 4.0: A universal enrichment tool for interpreting omics data. </w:t>
      </w:r>
      <w:r w:rsidRPr="00270060">
        <w:rPr>
          <w:i/>
          <w:iCs/>
        </w:rPr>
        <w:t>The Innovation</w:t>
      </w:r>
      <w:r w:rsidRPr="00270060">
        <w:t xml:space="preserve"> </w:t>
      </w:r>
      <w:r w:rsidRPr="00270060">
        <w:rPr>
          <w:b/>
          <w:bCs/>
        </w:rPr>
        <w:t>2</w:t>
      </w:r>
      <w:r w:rsidRPr="00270060">
        <w:t>, 100141 (2021).</w:t>
      </w:r>
    </w:p>
    <w:p w14:paraId="7BBEC75C" w14:textId="77777777" w:rsidR="00B50BCE" w:rsidRPr="00270060" w:rsidRDefault="00B50BCE" w:rsidP="00B50BCE">
      <w:pPr>
        <w:pStyle w:val="Bibliography"/>
      </w:pPr>
      <w:r w:rsidRPr="00270060">
        <w:t>44.</w:t>
      </w:r>
      <w:r w:rsidRPr="00270060">
        <w:tab/>
        <w:t xml:space="preserve">Al-Mudares, F. </w:t>
      </w:r>
      <w:r w:rsidRPr="00270060">
        <w:rPr>
          <w:i/>
          <w:iCs/>
        </w:rPr>
        <w:t>et al.</w:t>
      </w:r>
      <w:r w:rsidRPr="00270060">
        <w:t xml:space="preserve"> Loss of growth differentiation factor 15 exacerbates lung injury in neonatal mice. </w:t>
      </w:r>
      <w:r w:rsidRPr="00270060">
        <w:rPr>
          <w:i/>
          <w:iCs/>
        </w:rPr>
        <w:t>Am. J. Physiol. Lung Cell. Mol. Physiol.</w:t>
      </w:r>
      <w:r w:rsidRPr="00270060">
        <w:t xml:space="preserve"> </w:t>
      </w:r>
      <w:r w:rsidRPr="00270060">
        <w:rPr>
          <w:b/>
          <w:bCs/>
        </w:rPr>
        <w:t>325</w:t>
      </w:r>
      <w:r w:rsidRPr="00270060">
        <w:t>, (2023).</w:t>
      </w:r>
    </w:p>
    <w:p w14:paraId="60F318D2" w14:textId="77777777" w:rsidR="00B50BCE" w:rsidRPr="00270060" w:rsidRDefault="00B50BCE" w:rsidP="00B50BCE">
      <w:pPr>
        <w:pStyle w:val="Bibliography"/>
      </w:pPr>
      <w:r w:rsidRPr="00270060">
        <w:t>45.</w:t>
      </w:r>
      <w:r w:rsidRPr="00270060">
        <w:tab/>
        <w:t xml:space="preserve">Bao, T.-P., Wu, R., Cheng, H.-P., Cui, X.-W. &amp; Tian, Z.-F. Differential expression of long non-coding RNAs in hyperoxia-induced bronchopulmonary dysplasia. </w:t>
      </w:r>
      <w:r w:rsidRPr="00270060">
        <w:rPr>
          <w:i/>
          <w:iCs/>
        </w:rPr>
        <w:t>Cell Biochem. Funct.</w:t>
      </w:r>
      <w:r w:rsidRPr="00270060">
        <w:t xml:space="preserve"> </w:t>
      </w:r>
      <w:r w:rsidRPr="00270060">
        <w:rPr>
          <w:b/>
          <w:bCs/>
        </w:rPr>
        <w:t>34</w:t>
      </w:r>
      <w:r w:rsidRPr="00270060">
        <w:t>, (2016).</w:t>
      </w:r>
    </w:p>
    <w:p w14:paraId="690C1F8E" w14:textId="77777777" w:rsidR="00B50BCE" w:rsidRPr="00270060" w:rsidRDefault="00B50BCE" w:rsidP="00B50BCE">
      <w:pPr>
        <w:pStyle w:val="Bibliography"/>
      </w:pPr>
      <w:r w:rsidRPr="00270060">
        <w:t>46.</w:t>
      </w:r>
      <w:r w:rsidRPr="00270060">
        <w:tab/>
        <w:t xml:space="preserve">Bhaskaran, M. </w:t>
      </w:r>
      <w:r w:rsidRPr="00270060">
        <w:rPr>
          <w:i/>
          <w:iCs/>
        </w:rPr>
        <w:t>et al.</w:t>
      </w:r>
      <w:r w:rsidRPr="00270060">
        <w:t xml:space="preserve"> Identification of microRNAs changed in the neonatal lungs in response to hyperoxia exposure. </w:t>
      </w:r>
      <w:r w:rsidRPr="00270060">
        <w:rPr>
          <w:i/>
          <w:iCs/>
        </w:rPr>
        <w:t>Physiol. Genomics</w:t>
      </w:r>
      <w:r w:rsidRPr="00270060">
        <w:t xml:space="preserve"> </w:t>
      </w:r>
      <w:r w:rsidRPr="00270060">
        <w:rPr>
          <w:b/>
          <w:bCs/>
        </w:rPr>
        <w:t>44</w:t>
      </w:r>
      <w:r w:rsidRPr="00270060">
        <w:t>, (2012).</w:t>
      </w:r>
    </w:p>
    <w:p w14:paraId="112380AD" w14:textId="77777777" w:rsidR="00B50BCE" w:rsidRPr="00270060" w:rsidRDefault="00B50BCE" w:rsidP="00B50BCE">
      <w:pPr>
        <w:pStyle w:val="Bibliography"/>
      </w:pPr>
      <w:r w:rsidRPr="00270060">
        <w:t>47.</w:t>
      </w:r>
      <w:r w:rsidRPr="00270060">
        <w:tab/>
        <w:t xml:space="preserve">Chao C.-M. </w:t>
      </w:r>
      <w:r w:rsidRPr="00270060">
        <w:rPr>
          <w:i/>
          <w:iCs/>
        </w:rPr>
        <w:t>et al.</w:t>
      </w:r>
      <w:r w:rsidRPr="00270060">
        <w:t xml:space="preserve"> </w:t>
      </w:r>
      <w:r w:rsidRPr="00270060">
        <w:rPr>
          <w:i/>
          <w:iCs/>
        </w:rPr>
        <w:t>Fgf10 Deficiency Leads to Disturbed Formation of Alveolar Epithelial Cell Type II (AEC II) Which Causes Lethality in a Mouse Model of Bronchopulmonary Dysplasia</w:t>
      </w:r>
      <w:r w:rsidRPr="00270060">
        <w:t xml:space="preserve">. vol. 4 </w:t>
      </w:r>
      <w:r w:rsidRPr="00270060">
        <w:lastRenderedPageBreak/>
        <w:t>http://ovidsp.ovid.com/ovidweb.cgi?T=JS&amp;PAGE=reference&amp;D=emed18&amp;NEWS=N&amp;AN=616934541 (2017).</w:t>
      </w:r>
    </w:p>
    <w:p w14:paraId="1A0C2A84" w14:textId="77777777" w:rsidR="00B50BCE" w:rsidRPr="00270060" w:rsidRDefault="00B50BCE" w:rsidP="00B50BCE">
      <w:pPr>
        <w:pStyle w:val="Bibliography"/>
      </w:pPr>
      <w:r w:rsidRPr="00270060">
        <w:t>48.</w:t>
      </w:r>
      <w:r w:rsidRPr="00270060">
        <w:tab/>
        <w:t xml:space="preserve">Chen, K., Jiang, P., Deng, S. &amp; Wang, N. [Expression of thyroid transcription factor-1 and vimentin in neonatal mice with bronchopulmonary dysplasia]. </w:t>
      </w:r>
      <w:r w:rsidRPr="00270060">
        <w:rPr>
          <w:i/>
          <w:iCs/>
        </w:rPr>
        <w:t>Nan Fang Yi Ke Da Xue Xue Bao</w:t>
      </w:r>
      <w:r w:rsidRPr="00270060">
        <w:t xml:space="preserve"> </w:t>
      </w:r>
      <w:r w:rsidRPr="00270060">
        <w:rPr>
          <w:b/>
          <w:bCs/>
        </w:rPr>
        <w:t>32</w:t>
      </w:r>
      <w:r w:rsidRPr="00270060">
        <w:t>, (2012).</w:t>
      </w:r>
    </w:p>
    <w:p w14:paraId="5FC7D03C" w14:textId="77777777" w:rsidR="00B50BCE" w:rsidRPr="00270060" w:rsidRDefault="00B50BCE" w:rsidP="00B50BCE">
      <w:pPr>
        <w:pStyle w:val="Bibliography"/>
      </w:pPr>
      <w:r w:rsidRPr="00270060">
        <w:t>49.</w:t>
      </w:r>
      <w:r w:rsidRPr="00270060">
        <w:tab/>
        <w:t xml:space="preserve">Cheng, H.-R. </w:t>
      </w:r>
      <w:r w:rsidRPr="00270060">
        <w:rPr>
          <w:i/>
          <w:iCs/>
        </w:rPr>
        <w:t>et al.</w:t>
      </w:r>
      <w:r w:rsidRPr="00270060">
        <w:t xml:space="preserve"> Deep Illumina sequencing reveals differential expression of long non-coding RNAs in hyperoxia induced bronchopulmonary dysplasia in a rat model. </w:t>
      </w:r>
      <w:r w:rsidRPr="00270060">
        <w:rPr>
          <w:i/>
          <w:iCs/>
        </w:rPr>
        <w:t>Am. J. Transl. Res.</w:t>
      </w:r>
      <w:r w:rsidRPr="00270060">
        <w:t xml:space="preserve"> </w:t>
      </w:r>
      <w:r w:rsidRPr="00270060">
        <w:rPr>
          <w:b/>
          <w:bCs/>
        </w:rPr>
        <w:t>9</w:t>
      </w:r>
      <w:r w:rsidRPr="00270060">
        <w:t>, (2017).</w:t>
      </w:r>
    </w:p>
    <w:p w14:paraId="0F8C762D" w14:textId="77777777" w:rsidR="00B50BCE" w:rsidRPr="00270060" w:rsidRDefault="00B50BCE" w:rsidP="00B50BCE">
      <w:pPr>
        <w:pStyle w:val="Bibliography"/>
      </w:pPr>
      <w:r w:rsidRPr="00270060">
        <w:t>50.</w:t>
      </w:r>
      <w:r w:rsidRPr="00270060">
        <w:tab/>
        <w:t xml:space="preserve">Coarfa, C. </w:t>
      </w:r>
      <w:r w:rsidRPr="00270060">
        <w:rPr>
          <w:i/>
          <w:iCs/>
        </w:rPr>
        <w:t>et al.</w:t>
      </w:r>
      <w:r w:rsidRPr="00270060">
        <w:t xml:space="preserve"> Sexual dimorphism of the pulmonary transcriptome in neonatal hyperoxic lung injury: identification of angiogenesis as a key pathway. </w:t>
      </w:r>
      <w:r w:rsidRPr="00270060">
        <w:rPr>
          <w:i/>
          <w:iCs/>
        </w:rPr>
        <w:t>Am. J. Physiol. Lung Cell. Mol. Physiol.</w:t>
      </w:r>
      <w:r w:rsidRPr="00270060">
        <w:t xml:space="preserve"> </w:t>
      </w:r>
      <w:r w:rsidRPr="00270060">
        <w:rPr>
          <w:b/>
          <w:bCs/>
        </w:rPr>
        <w:t>313</w:t>
      </w:r>
      <w:r w:rsidRPr="00270060">
        <w:t>, (2017).</w:t>
      </w:r>
    </w:p>
    <w:p w14:paraId="1A9E50CD" w14:textId="77777777" w:rsidR="00B50BCE" w:rsidRPr="00270060" w:rsidRDefault="00B50BCE" w:rsidP="00B50BCE">
      <w:pPr>
        <w:pStyle w:val="Bibliography"/>
      </w:pPr>
      <w:r w:rsidRPr="00270060">
        <w:t>51.</w:t>
      </w:r>
      <w:r w:rsidRPr="00270060">
        <w:tab/>
        <w:t xml:space="preserve">Denervaud, V., Gremlich, S., Trummer-Menzi, E., Schittny, J. C. &amp; Roth-Kleiner, M. Gene expression profile in newborn rat lungs after two days of recovery of mechanical ventilation. </w:t>
      </w:r>
      <w:r w:rsidRPr="00270060">
        <w:rPr>
          <w:i/>
          <w:iCs/>
        </w:rPr>
        <w:t>Pediatr. Res.</w:t>
      </w:r>
      <w:r w:rsidRPr="00270060">
        <w:t xml:space="preserve"> </w:t>
      </w:r>
      <w:r w:rsidRPr="00270060">
        <w:rPr>
          <w:b/>
          <w:bCs/>
        </w:rPr>
        <w:t>78</w:t>
      </w:r>
      <w:r w:rsidRPr="00270060">
        <w:t>, (2015).</w:t>
      </w:r>
    </w:p>
    <w:p w14:paraId="468E81A5" w14:textId="77777777" w:rsidR="00B50BCE" w:rsidRPr="00270060" w:rsidRDefault="00B50BCE" w:rsidP="00B50BCE">
      <w:pPr>
        <w:pStyle w:val="Bibliography"/>
      </w:pPr>
      <w:r w:rsidRPr="00270060">
        <w:t>52.</w:t>
      </w:r>
      <w:r w:rsidRPr="00270060">
        <w:tab/>
        <w:t xml:space="preserve">Dong, N. </w:t>
      </w:r>
      <w:r w:rsidRPr="00270060">
        <w:rPr>
          <w:i/>
          <w:iCs/>
        </w:rPr>
        <w:t>et al.</w:t>
      </w:r>
      <w:r w:rsidRPr="00270060">
        <w:t xml:space="preserve"> Intratracheal administration of umbilical cord-derived mesenchymal stem cells attenuates hyperoxia-induced multi-organ injury via heme oxygenase-1 and JAK/STAT pathways. </w:t>
      </w:r>
      <w:r w:rsidRPr="00270060">
        <w:rPr>
          <w:i/>
          <w:iCs/>
        </w:rPr>
        <w:t>World J. Stem Cells</w:t>
      </w:r>
      <w:r w:rsidRPr="00270060">
        <w:t xml:space="preserve"> </w:t>
      </w:r>
      <w:r w:rsidRPr="00270060">
        <w:rPr>
          <w:b/>
          <w:bCs/>
        </w:rPr>
        <w:t>14</w:t>
      </w:r>
      <w:r w:rsidRPr="00270060">
        <w:t>, (2022).</w:t>
      </w:r>
    </w:p>
    <w:p w14:paraId="6410611E" w14:textId="77777777" w:rsidR="00B50BCE" w:rsidRPr="00270060" w:rsidRDefault="00B50BCE" w:rsidP="00B50BCE">
      <w:pPr>
        <w:pStyle w:val="Bibliography"/>
      </w:pPr>
      <w:r w:rsidRPr="00270060">
        <w:t>53.</w:t>
      </w:r>
      <w:r w:rsidRPr="00270060">
        <w:tab/>
        <w:t xml:space="preserve">Dravet-Gounot, P. </w:t>
      </w:r>
      <w:r w:rsidRPr="00270060">
        <w:rPr>
          <w:i/>
          <w:iCs/>
        </w:rPr>
        <w:t>et al.</w:t>
      </w:r>
      <w:r w:rsidRPr="00270060">
        <w:t xml:space="preserve"> Lung microRNA deregulation associated with impaired alveolarization in rats after intrauterine growth restriction. </w:t>
      </w:r>
      <w:r w:rsidRPr="00270060">
        <w:rPr>
          <w:i/>
          <w:iCs/>
        </w:rPr>
        <w:t>PloS One</w:t>
      </w:r>
      <w:r w:rsidRPr="00270060">
        <w:t xml:space="preserve"> </w:t>
      </w:r>
      <w:r w:rsidRPr="00270060">
        <w:rPr>
          <w:b/>
          <w:bCs/>
        </w:rPr>
        <w:t>12</w:t>
      </w:r>
      <w:r w:rsidRPr="00270060">
        <w:t>, (2017).</w:t>
      </w:r>
    </w:p>
    <w:p w14:paraId="636AB55B" w14:textId="77777777" w:rsidR="00B50BCE" w:rsidRPr="00270060" w:rsidRDefault="00B50BCE" w:rsidP="00B50BCE">
      <w:pPr>
        <w:pStyle w:val="Bibliography"/>
      </w:pPr>
      <w:r w:rsidRPr="00270060">
        <w:t>54.</w:t>
      </w:r>
      <w:r w:rsidRPr="00270060">
        <w:tab/>
        <w:t xml:space="preserve">El Saie, A. </w:t>
      </w:r>
      <w:r w:rsidRPr="00270060">
        <w:rPr>
          <w:i/>
          <w:iCs/>
        </w:rPr>
        <w:t>et al.</w:t>
      </w:r>
      <w:r w:rsidRPr="00270060">
        <w:t xml:space="preserve"> Metabolome and microbiome multi-omics integration from a murine lung inflammation model of bronchopulmonary dysplasia. </w:t>
      </w:r>
      <w:r w:rsidRPr="00270060">
        <w:rPr>
          <w:i/>
          <w:iCs/>
        </w:rPr>
        <w:t>Pediatr. Res.</w:t>
      </w:r>
      <w:r w:rsidRPr="00270060">
        <w:t xml:space="preserve"> </w:t>
      </w:r>
      <w:r w:rsidRPr="00270060">
        <w:rPr>
          <w:b/>
          <w:bCs/>
        </w:rPr>
        <w:t>92</w:t>
      </w:r>
      <w:r w:rsidRPr="00270060">
        <w:t>, (2022).</w:t>
      </w:r>
    </w:p>
    <w:p w14:paraId="0FBC4EC2" w14:textId="77777777" w:rsidR="00B50BCE" w:rsidRPr="00270060" w:rsidRDefault="00B50BCE" w:rsidP="00B50BCE">
      <w:pPr>
        <w:pStyle w:val="Bibliography"/>
      </w:pPr>
      <w:r w:rsidRPr="00270060">
        <w:t>55.</w:t>
      </w:r>
      <w:r w:rsidRPr="00270060">
        <w:tab/>
        <w:t xml:space="preserve">Natarajan, V. </w:t>
      </w:r>
      <w:r w:rsidRPr="00270060">
        <w:rPr>
          <w:i/>
          <w:iCs/>
        </w:rPr>
        <w:t>et al.</w:t>
      </w:r>
      <w:r w:rsidRPr="00270060">
        <w:t xml:space="preserve"> </w:t>
      </w:r>
      <w:r w:rsidRPr="00270060">
        <w:rPr>
          <w:i/>
          <w:iCs/>
        </w:rPr>
        <w:t xml:space="preserve">Expression Profiling of Genes Regulated by Sphingosine Kinase1 Signaling in a Murine Model of Hyperoxia Induced Neonatal Bronchopulmonary </w:t>
      </w:r>
      <w:r w:rsidRPr="00270060">
        <w:rPr>
          <w:i/>
          <w:iCs/>
        </w:rPr>
        <w:lastRenderedPageBreak/>
        <w:t>Dysplasia.</w:t>
      </w:r>
      <w:r w:rsidRPr="00270060">
        <w:t xml:space="preserve"> vol. 18 http://ovidsp.ovid.com/ovidweb.cgi?T=JS&amp;PAGE=reference&amp;D=med14&amp;NEWS=N&amp;AN=28851267 (2017).</w:t>
      </w:r>
    </w:p>
    <w:p w14:paraId="46263521" w14:textId="77777777" w:rsidR="00B50BCE" w:rsidRPr="00270060" w:rsidRDefault="00B50BCE" w:rsidP="00B50BCE">
      <w:pPr>
        <w:pStyle w:val="Bibliography"/>
      </w:pPr>
      <w:r w:rsidRPr="00270060">
        <w:t>56.</w:t>
      </w:r>
      <w:r w:rsidRPr="00270060">
        <w:tab/>
        <w:t xml:space="preserve">Nichols, J. L. </w:t>
      </w:r>
      <w:r w:rsidRPr="00270060">
        <w:rPr>
          <w:i/>
          <w:iCs/>
        </w:rPr>
        <w:t>et al.</w:t>
      </w:r>
      <w:r w:rsidRPr="00270060">
        <w:t xml:space="preserve"> Genome-wide association mapping of acute lung injury in neonatal inbred mice. </w:t>
      </w:r>
      <w:r w:rsidRPr="00270060">
        <w:rPr>
          <w:i/>
          <w:iCs/>
        </w:rPr>
        <w:t>FASEB J. Off. Publ. Fed. Am. Soc. Exp. Biol.</w:t>
      </w:r>
      <w:r w:rsidRPr="00270060">
        <w:t xml:space="preserve"> </w:t>
      </w:r>
      <w:r w:rsidRPr="00270060">
        <w:rPr>
          <w:b/>
          <w:bCs/>
        </w:rPr>
        <w:t>28</w:t>
      </w:r>
      <w:r w:rsidRPr="00270060">
        <w:t>, (2014).</w:t>
      </w:r>
    </w:p>
    <w:p w14:paraId="42D105DC" w14:textId="77777777" w:rsidR="00B50BCE" w:rsidRPr="00270060" w:rsidRDefault="00B50BCE" w:rsidP="00B50BCE">
      <w:pPr>
        <w:pStyle w:val="Bibliography"/>
      </w:pPr>
      <w:r w:rsidRPr="00270060">
        <w:t>57.</w:t>
      </w:r>
      <w:r w:rsidRPr="00270060">
        <w:tab/>
        <w:t xml:space="preserve">Nitkin, C. R. </w:t>
      </w:r>
      <w:r w:rsidRPr="00270060">
        <w:rPr>
          <w:i/>
          <w:iCs/>
        </w:rPr>
        <w:t>et al.</w:t>
      </w:r>
      <w:r w:rsidRPr="00270060">
        <w:t xml:space="preserve"> FOSL1 is a novel mediator of endotoxin/lipopolysaccharide-induced pulmonary angiogenic signaling. </w:t>
      </w:r>
      <w:r w:rsidRPr="00270060">
        <w:rPr>
          <w:i/>
          <w:iCs/>
        </w:rPr>
        <w:t>Sci. Rep.</w:t>
      </w:r>
      <w:r w:rsidRPr="00270060">
        <w:t xml:space="preserve"> </w:t>
      </w:r>
      <w:r w:rsidRPr="00270060">
        <w:rPr>
          <w:b/>
          <w:bCs/>
        </w:rPr>
        <w:t>10</w:t>
      </w:r>
      <w:r w:rsidRPr="00270060">
        <w:t>, (2020).</w:t>
      </w:r>
    </w:p>
    <w:p w14:paraId="67DA9EB6" w14:textId="77777777" w:rsidR="00B50BCE" w:rsidRPr="00270060" w:rsidRDefault="00B50BCE" w:rsidP="00B50BCE">
      <w:pPr>
        <w:pStyle w:val="Bibliography"/>
      </w:pPr>
      <w:r w:rsidRPr="00270060">
        <w:t>58.</w:t>
      </w:r>
      <w:r w:rsidRPr="00270060">
        <w:tab/>
        <w:t xml:space="preserve">Rao, S., Liu, M., Iosef, C., Knutsen, C. &amp; Alvira, C. M. Endothelial-specific loss of IKKbeta disrupts pulmonary endothelial angiogenesis and impairs postnatal lung growth. </w:t>
      </w:r>
      <w:r w:rsidRPr="00270060">
        <w:rPr>
          <w:i/>
          <w:iCs/>
        </w:rPr>
        <w:t>Am. J. Physiol. Lung Cell. Mol. Physiol.</w:t>
      </w:r>
      <w:r w:rsidRPr="00270060">
        <w:t xml:space="preserve"> </w:t>
      </w:r>
      <w:r w:rsidRPr="00270060">
        <w:rPr>
          <w:b/>
          <w:bCs/>
        </w:rPr>
        <w:t>325</w:t>
      </w:r>
      <w:r w:rsidRPr="00270060">
        <w:t>, (2023).</w:t>
      </w:r>
    </w:p>
    <w:p w14:paraId="4907AB7F" w14:textId="77777777" w:rsidR="00B50BCE" w:rsidRPr="00270060" w:rsidRDefault="00B50BCE" w:rsidP="00B50BCE">
      <w:pPr>
        <w:pStyle w:val="Bibliography"/>
      </w:pPr>
      <w:r w:rsidRPr="00270060">
        <w:t>59.</w:t>
      </w:r>
      <w:r w:rsidRPr="00270060">
        <w:tab/>
        <w:t xml:space="preserve">Revhaug, C. </w:t>
      </w:r>
      <w:r w:rsidRPr="00270060">
        <w:rPr>
          <w:i/>
          <w:iCs/>
        </w:rPr>
        <w:t>et al.</w:t>
      </w:r>
      <w:r w:rsidRPr="00270060">
        <w:t xml:space="preserve"> Immune System Regulation Affected by a Murine Experimental Model of Bronchopulmonary Dysplasia: Genomic and Epigenetic Findings. </w:t>
      </w:r>
      <w:r w:rsidRPr="00270060">
        <w:rPr>
          <w:i/>
          <w:iCs/>
        </w:rPr>
        <w:t>Neonatology</w:t>
      </w:r>
      <w:r w:rsidRPr="00270060">
        <w:t xml:space="preserve"> </w:t>
      </w:r>
      <w:r w:rsidRPr="00270060">
        <w:rPr>
          <w:b/>
          <w:bCs/>
        </w:rPr>
        <w:t>116</w:t>
      </w:r>
      <w:r w:rsidRPr="00270060">
        <w:t>, (2019).</w:t>
      </w:r>
    </w:p>
    <w:p w14:paraId="464AF8E2" w14:textId="77777777" w:rsidR="00B50BCE" w:rsidRPr="00270060" w:rsidRDefault="00B50BCE" w:rsidP="00B50BCE">
      <w:pPr>
        <w:pStyle w:val="Bibliography"/>
      </w:pPr>
      <w:r w:rsidRPr="00270060">
        <w:t>60.</w:t>
      </w:r>
      <w:r w:rsidRPr="00270060">
        <w:tab/>
        <w:t xml:space="preserve">Scaffa, A. </w:t>
      </w:r>
      <w:r w:rsidRPr="00270060">
        <w:rPr>
          <w:i/>
          <w:iCs/>
        </w:rPr>
        <w:t>et al.</w:t>
      </w:r>
      <w:r w:rsidRPr="00270060">
        <w:t xml:space="preserve"> Single-cell transcriptomics reveals lasting changes in the lung cellular landscape into adulthood after neonatal hyperoxic exposure. </w:t>
      </w:r>
      <w:r w:rsidRPr="00270060">
        <w:rPr>
          <w:i/>
          <w:iCs/>
        </w:rPr>
        <w:t>Redox Biol.</w:t>
      </w:r>
      <w:r w:rsidRPr="00270060">
        <w:t xml:space="preserve"> </w:t>
      </w:r>
      <w:r w:rsidRPr="00270060">
        <w:rPr>
          <w:b/>
          <w:bCs/>
        </w:rPr>
        <w:t>48</w:t>
      </w:r>
      <w:r w:rsidRPr="00270060">
        <w:t>, (2021).</w:t>
      </w:r>
    </w:p>
    <w:p w14:paraId="453AD676" w14:textId="77777777" w:rsidR="00B50BCE" w:rsidRPr="00270060" w:rsidRDefault="00B50BCE" w:rsidP="00B50BCE">
      <w:pPr>
        <w:pStyle w:val="Bibliography"/>
      </w:pPr>
      <w:r w:rsidRPr="00270060">
        <w:t>61.</w:t>
      </w:r>
      <w:r w:rsidRPr="00270060">
        <w:tab/>
        <w:t xml:space="preserve">Shrestha, A. K. </w:t>
      </w:r>
      <w:r w:rsidRPr="00270060">
        <w:rPr>
          <w:i/>
          <w:iCs/>
        </w:rPr>
        <w:t>et al.</w:t>
      </w:r>
      <w:r w:rsidRPr="00270060">
        <w:t xml:space="preserve"> Interactive and independent effects of early lipopolysaccharide and hyperoxia exposure on developing murine lungs. </w:t>
      </w:r>
      <w:r w:rsidRPr="00270060">
        <w:rPr>
          <w:i/>
          <w:iCs/>
        </w:rPr>
        <w:t>Am. J. Physiol. Lung Cell. Mol. Physiol.</w:t>
      </w:r>
      <w:r w:rsidRPr="00270060">
        <w:t xml:space="preserve"> </w:t>
      </w:r>
      <w:r w:rsidRPr="00270060">
        <w:rPr>
          <w:b/>
          <w:bCs/>
        </w:rPr>
        <w:t>319</w:t>
      </w:r>
      <w:r w:rsidRPr="00270060">
        <w:t>, (2020).</w:t>
      </w:r>
    </w:p>
    <w:p w14:paraId="7D4236F8" w14:textId="77777777" w:rsidR="00B50BCE" w:rsidRPr="00270060" w:rsidRDefault="00B50BCE" w:rsidP="00B50BCE">
      <w:pPr>
        <w:pStyle w:val="Bibliography"/>
      </w:pPr>
      <w:r w:rsidRPr="00270060">
        <w:t>62.</w:t>
      </w:r>
      <w:r w:rsidRPr="00270060">
        <w:tab/>
        <w:t xml:space="preserve">Hendriks, J. </w:t>
      </w:r>
      <w:r w:rsidRPr="00270060">
        <w:rPr>
          <w:i/>
          <w:iCs/>
        </w:rPr>
        <w:t>et al.</w:t>
      </w:r>
      <w:r w:rsidRPr="00270060">
        <w:t xml:space="preserve"> CD27 is required for generation and long-term maintenance of T cell immunity. </w:t>
      </w:r>
      <w:r w:rsidRPr="00270060">
        <w:rPr>
          <w:i/>
          <w:iCs/>
        </w:rPr>
        <w:t>Nat. Immunol.</w:t>
      </w:r>
      <w:r w:rsidRPr="00270060">
        <w:t xml:space="preserve"> </w:t>
      </w:r>
      <w:r w:rsidRPr="00270060">
        <w:rPr>
          <w:b/>
          <w:bCs/>
        </w:rPr>
        <w:t>1</w:t>
      </w:r>
      <w:r w:rsidRPr="00270060">
        <w:t>, 433–440 (2000).</w:t>
      </w:r>
    </w:p>
    <w:p w14:paraId="7043BA95" w14:textId="77777777" w:rsidR="00B50BCE" w:rsidRPr="00270060" w:rsidRDefault="00B50BCE" w:rsidP="00B50BCE">
      <w:pPr>
        <w:pStyle w:val="Bibliography"/>
      </w:pPr>
      <w:r w:rsidRPr="00270060">
        <w:t>63.</w:t>
      </w:r>
      <w:r w:rsidRPr="00270060">
        <w:tab/>
        <w:t xml:space="preserve">Lymphocyte Subpopulations in Bronchopulmonary Dysplasia. </w:t>
      </w:r>
      <w:r w:rsidRPr="00270060">
        <w:rPr>
          <w:i/>
          <w:iCs/>
        </w:rPr>
        <w:t>Am. J. Perinatol.</w:t>
      </w:r>
      <w:r w:rsidRPr="00270060">
        <w:t xml:space="preserve"> </w:t>
      </w:r>
      <w:r w:rsidRPr="00270060">
        <w:rPr>
          <w:b/>
          <w:bCs/>
        </w:rPr>
        <w:t>20</w:t>
      </w:r>
      <w:r w:rsidRPr="00270060">
        <w:t>, 465–476 (2003).</w:t>
      </w:r>
    </w:p>
    <w:p w14:paraId="7159D4F2" w14:textId="77777777" w:rsidR="00B50BCE" w:rsidRPr="00270060" w:rsidRDefault="00B50BCE" w:rsidP="00B50BCE">
      <w:pPr>
        <w:pStyle w:val="Bibliography"/>
      </w:pPr>
      <w:r w:rsidRPr="00270060">
        <w:lastRenderedPageBreak/>
        <w:t>64.</w:t>
      </w:r>
      <w:r w:rsidRPr="00270060">
        <w:tab/>
        <w:t xml:space="preserve">Um-Bergström, P. </w:t>
      </w:r>
      <w:r w:rsidRPr="00270060">
        <w:rPr>
          <w:i/>
          <w:iCs/>
        </w:rPr>
        <w:t>et al.</w:t>
      </w:r>
      <w:r w:rsidRPr="00270060">
        <w:t xml:space="preserve"> Increased cytotoxic T-cells in the airways of adults with former bronchopulmonary dysplasia. </w:t>
      </w:r>
      <w:r w:rsidRPr="00270060">
        <w:rPr>
          <w:i/>
          <w:iCs/>
        </w:rPr>
        <w:t>Eur. Respir. J.</w:t>
      </w:r>
      <w:r w:rsidRPr="00270060">
        <w:t xml:space="preserve"> </w:t>
      </w:r>
      <w:r w:rsidRPr="00270060">
        <w:rPr>
          <w:b/>
          <w:bCs/>
        </w:rPr>
        <w:t>60</w:t>
      </w:r>
      <w:r w:rsidRPr="00270060">
        <w:t>, 2102531 (2022).</w:t>
      </w:r>
    </w:p>
    <w:p w14:paraId="1E4B3AA2" w14:textId="77777777" w:rsidR="00B50BCE" w:rsidRPr="00270060" w:rsidRDefault="00B50BCE" w:rsidP="00B50BCE">
      <w:pPr>
        <w:pStyle w:val="Bibliography"/>
      </w:pPr>
      <w:r w:rsidRPr="00270060">
        <w:t>65.</w:t>
      </w:r>
      <w:r w:rsidRPr="00270060">
        <w:tab/>
        <w:t xml:space="preserve">Rebhun, J. F., Castro, A. F. &amp; Quilliam, L. A. Identification of Guanine Nucleotide Exchange Factors (GEFs) for the Rap1 GTPase. </w:t>
      </w:r>
      <w:r w:rsidRPr="00270060">
        <w:rPr>
          <w:i/>
          <w:iCs/>
        </w:rPr>
        <w:t>J. Biol. Chem.</w:t>
      </w:r>
      <w:r w:rsidRPr="00270060">
        <w:t xml:space="preserve"> </w:t>
      </w:r>
      <w:r w:rsidRPr="00270060">
        <w:rPr>
          <w:b/>
          <w:bCs/>
        </w:rPr>
        <w:t>275</w:t>
      </w:r>
      <w:r w:rsidRPr="00270060">
        <w:t>, 34901–34908 (2000).</w:t>
      </w:r>
    </w:p>
    <w:p w14:paraId="47150FEC" w14:textId="77777777" w:rsidR="00B50BCE" w:rsidRPr="00270060" w:rsidRDefault="00B50BCE" w:rsidP="00B50BCE">
      <w:pPr>
        <w:pStyle w:val="Bibliography"/>
      </w:pPr>
      <w:r w:rsidRPr="00270060">
        <w:t>66.</w:t>
      </w:r>
      <w:r w:rsidRPr="00270060">
        <w:tab/>
        <w:t xml:space="preserve">Fuller, D. M. </w:t>
      </w:r>
      <w:r w:rsidRPr="00270060">
        <w:rPr>
          <w:i/>
          <w:iCs/>
        </w:rPr>
        <w:t>et al.</w:t>
      </w:r>
      <w:r w:rsidRPr="00270060">
        <w:t xml:space="preserve"> Regulation of RasGRP1 Function in T Cell Development and Activation by Its Unique Tail Domain. </w:t>
      </w:r>
      <w:r w:rsidRPr="00270060">
        <w:rPr>
          <w:i/>
          <w:iCs/>
        </w:rPr>
        <w:t>PLoS ONE</w:t>
      </w:r>
      <w:r w:rsidRPr="00270060">
        <w:t xml:space="preserve"> </w:t>
      </w:r>
      <w:r w:rsidRPr="00270060">
        <w:rPr>
          <w:b/>
          <w:bCs/>
        </w:rPr>
        <w:t>7</w:t>
      </w:r>
      <w:r w:rsidRPr="00270060">
        <w:t>, e38796 (2012).</w:t>
      </w:r>
    </w:p>
    <w:p w14:paraId="0E10BDFC" w14:textId="77777777" w:rsidR="00B50BCE" w:rsidRPr="00270060" w:rsidRDefault="00B50BCE" w:rsidP="00B50BCE">
      <w:pPr>
        <w:pStyle w:val="Bibliography"/>
      </w:pPr>
      <w:r w:rsidRPr="00270060">
        <w:t>67.</w:t>
      </w:r>
      <w:r w:rsidRPr="00270060">
        <w:tab/>
        <w:t xml:space="preserve">Johnson, D. R., O’Connor, J. C., Hartman, M. E., Tapping, R. I. &amp; Freund, G. G. Acute hypoxia activates the neuroimmune system, which diabetes exacerbates. </w:t>
      </w:r>
      <w:r w:rsidRPr="00270060">
        <w:rPr>
          <w:i/>
          <w:iCs/>
        </w:rPr>
        <w:t>J. Neurosci. Off. J. Soc. Neurosci.</w:t>
      </w:r>
      <w:r w:rsidRPr="00270060">
        <w:t xml:space="preserve"> </w:t>
      </w:r>
      <w:r w:rsidRPr="00270060">
        <w:rPr>
          <w:b/>
          <w:bCs/>
        </w:rPr>
        <w:t>27</w:t>
      </w:r>
      <w:r w:rsidRPr="00270060">
        <w:t>, 1161–1166 (2007).</w:t>
      </w:r>
    </w:p>
    <w:p w14:paraId="33551994" w14:textId="77777777" w:rsidR="00B50BCE" w:rsidRPr="00270060" w:rsidRDefault="00B50BCE" w:rsidP="00B50BCE">
      <w:pPr>
        <w:pStyle w:val="Bibliography"/>
      </w:pPr>
      <w:r w:rsidRPr="00270060">
        <w:t>68.</w:t>
      </w:r>
      <w:r w:rsidRPr="00270060">
        <w:tab/>
        <w:t xml:space="preserve">Peters, V. A., Joesting, J. J. &amp; Freund, G. G. IL-1 receptor 2 (IL-1R2) and its role in immune regulation. </w:t>
      </w:r>
      <w:r w:rsidRPr="00270060">
        <w:rPr>
          <w:i/>
          <w:iCs/>
        </w:rPr>
        <w:t>Brain. Behav. Immun.</w:t>
      </w:r>
      <w:r w:rsidRPr="00270060">
        <w:t xml:space="preserve"> </w:t>
      </w:r>
      <w:r w:rsidRPr="00270060">
        <w:rPr>
          <w:b/>
          <w:bCs/>
        </w:rPr>
        <w:t>32</w:t>
      </w:r>
      <w:r w:rsidRPr="00270060">
        <w:t>, 1–8 (2013).</w:t>
      </w:r>
    </w:p>
    <w:p w14:paraId="62C322F9" w14:textId="77777777" w:rsidR="00B50BCE" w:rsidRPr="00270060" w:rsidRDefault="00B50BCE" w:rsidP="00B50BCE">
      <w:pPr>
        <w:pStyle w:val="Bibliography"/>
      </w:pPr>
      <w:r w:rsidRPr="00270060">
        <w:t>69.</w:t>
      </w:r>
      <w:r w:rsidRPr="00270060">
        <w:tab/>
        <w:t xml:space="preserve">Eltzschig, H. K. &amp; Carmeliet, P. Hypoxia and inflammation. </w:t>
      </w:r>
      <w:r w:rsidRPr="00270060">
        <w:rPr>
          <w:i/>
          <w:iCs/>
        </w:rPr>
        <w:t>N. Engl. J. Med.</w:t>
      </w:r>
      <w:r w:rsidRPr="00270060">
        <w:t xml:space="preserve"> </w:t>
      </w:r>
      <w:r w:rsidRPr="00270060">
        <w:rPr>
          <w:b/>
          <w:bCs/>
        </w:rPr>
        <w:t>364</w:t>
      </w:r>
      <w:r w:rsidRPr="00270060">
        <w:t>, 656–665 (2011).</w:t>
      </w:r>
    </w:p>
    <w:p w14:paraId="73218CFC" w14:textId="77777777" w:rsidR="00B50BCE" w:rsidRPr="00270060" w:rsidRDefault="00B50BCE" w:rsidP="00B50BCE">
      <w:pPr>
        <w:pStyle w:val="Bibliography"/>
      </w:pPr>
      <w:r w:rsidRPr="00270060">
        <w:t>70.</w:t>
      </w:r>
      <w:r w:rsidRPr="00270060">
        <w:tab/>
        <w:t xml:space="preserve">Page, M. J. </w:t>
      </w:r>
      <w:r w:rsidRPr="00270060">
        <w:rPr>
          <w:i/>
          <w:iCs/>
        </w:rPr>
        <w:t>et al.</w:t>
      </w:r>
      <w:r w:rsidRPr="00270060">
        <w:t xml:space="preserve"> The PRISMA 2020 statement: an updated guideline for reporting systematic reviews. </w:t>
      </w:r>
      <w:r w:rsidRPr="00270060">
        <w:rPr>
          <w:i/>
          <w:iCs/>
        </w:rPr>
        <w:t>BMJ</w:t>
      </w:r>
      <w:r w:rsidRPr="00270060">
        <w:t xml:space="preserve"> n71 (2021) doi:10.1136/bmj.n71.</w:t>
      </w:r>
    </w:p>
    <w:p w14:paraId="692A9A47" w14:textId="77777777" w:rsidR="00B50BCE" w:rsidRPr="00270060" w:rsidRDefault="00B50BCE" w:rsidP="00B50BCE">
      <w:pPr>
        <w:pStyle w:val="Bibliography"/>
      </w:pPr>
      <w:r w:rsidRPr="00270060">
        <w:t>71.</w:t>
      </w:r>
      <w:r w:rsidRPr="00270060">
        <w:tab/>
        <w:t xml:space="preserve">Clark, J. </w:t>
      </w:r>
      <w:r w:rsidRPr="00270060">
        <w:rPr>
          <w:i/>
          <w:iCs/>
        </w:rPr>
        <w:t>et al.</w:t>
      </w:r>
      <w:r w:rsidRPr="00270060">
        <w:t xml:space="preserve"> A full systematic review was completed in 2 weeks using automation tools: a case study. </w:t>
      </w:r>
      <w:r w:rsidRPr="00270060">
        <w:rPr>
          <w:i/>
          <w:iCs/>
        </w:rPr>
        <w:t>J. Clin. Epidemiol.</w:t>
      </w:r>
      <w:r w:rsidRPr="00270060">
        <w:t xml:space="preserve"> </w:t>
      </w:r>
      <w:r w:rsidRPr="00270060">
        <w:rPr>
          <w:b/>
          <w:bCs/>
        </w:rPr>
        <w:t>121</w:t>
      </w:r>
      <w:r w:rsidRPr="00270060">
        <w:t>, 81–90 (2020).</w:t>
      </w:r>
    </w:p>
    <w:p w14:paraId="226D8404" w14:textId="77777777" w:rsidR="00B50BCE" w:rsidRPr="00270060" w:rsidRDefault="00B50BCE" w:rsidP="00B50BCE">
      <w:pPr>
        <w:pStyle w:val="Bibliography"/>
      </w:pPr>
      <w:r w:rsidRPr="00270060">
        <w:t>72.</w:t>
      </w:r>
      <w:r w:rsidRPr="00270060">
        <w:tab/>
        <w:t xml:space="preserve">Li, B. </w:t>
      </w:r>
      <w:r w:rsidRPr="00270060">
        <w:rPr>
          <w:i/>
          <w:iCs/>
        </w:rPr>
        <w:t>et al.</w:t>
      </w:r>
      <w:r w:rsidRPr="00270060">
        <w:t xml:space="preserve"> Genome-wide CRISPR screen identifies host dependency factors for influenza A virus infection. </w:t>
      </w:r>
      <w:r w:rsidRPr="00270060">
        <w:rPr>
          <w:i/>
          <w:iCs/>
        </w:rPr>
        <w:t>Nat. Commun.</w:t>
      </w:r>
      <w:r w:rsidRPr="00270060">
        <w:t xml:space="preserve"> </w:t>
      </w:r>
      <w:r w:rsidRPr="00270060">
        <w:rPr>
          <w:b/>
          <w:bCs/>
        </w:rPr>
        <w:t>11</w:t>
      </w:r>
      <w:r w:rsidRPr="00270060">
        <w:t>, 164 (2020).</w:t>
      </w:r>
    </w:p>
    <w:p w14:paraId="27B667E2" w14:textId="5E6E4858" w:rsidR="005D240B" w:rsidRPr="00270060" w:rsidRDefault="00983820" w:rsidP="00B50BCE">
      <w:pPr>
        <w:pStyle w:val="Bibliography"/>
        <w:rPr>
          <w:b/>
          <w:bCs/>
          <w:color w:val="000000" w:themeColor="text1"/>
          <w:sz w:val="22"/>
          <w:szCs w:val="22"/>
        </w:rPr>
      </w:pPr>
      <w:r w:rsidRPr="00270060">
        <w:rPr>
          <w:b/>
          <w:bCs/>
          <w:color w:val="000000" w:themeColor="text1"/>
          <w:sz w:val="22"/>
          <w:szCs w:val="22"/>
        </w:rPr>
        <w:fldChar w:fldCharType="end"/>
      </w:r>
    </w:p>
    <w:p w14:paraId="5A4CAA76" w14:textId="77777777" w:rsidR="005D240B" w:rsidRPr="00270060" w:rsidRDefault="005D240B" w:rsidP="00172688">
      <w:pPr>
        <w:spacing w:line="480" w:lineRule="auto"/>
        <w:jc w:val="both"/>
        <w:rPr>
          <w:rFonts w:cs="Calibri"/>
          <w:b/>
          <w:bCs/>
          <w:color w:val="000000" w:themeColor="text1"/>
          <w:sz w:val="22"/>
          <w:szCs w:val="22"/>
        </w:rPr>
      </w:pPr>
      <w:r w:rsidRPr="00270060">
        <w:rPr>
          <w:b/>
          <w:bCs/>
          <w:color w:val="000000" w:themeColor="text1"/>
          <w:sz w:val="22"/>
          <w:szCs w:val="22"/>
        </w:rPr>
        <w:br w:type="column"/>
      </w:r>
      <w:r w:rsidRPr="00270060">
        <w:rPr>
          <w:rFonts w:cs="Calibri"/>
          <w:b/>
          <w:bCs/>
          <w:color w:val="000000" w:themeColor="text1"/>
          <w:sz w:val="22"/>
          <w:szCs w:val="22"/>
        </w:rPr>
        <w:lastRenderedPageBreak/>
        <w:t>CONFLICT OF INTEREST</w:t>
      </w:r>
    </w:p>
    <w:p w14:paraId="4A34556C"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All authors report no conflicts of interest.</w:t>
      </w:r>
    </w:p>
    <w:p w14:paraId="54BDE0EE" w14:textId="77777777" w:rsidR="005D240B" w:rsidRPr="00270060" w:rsidRDefault="005D240B" w:rsidP="00172688">
      <w:pPr>
        <w:spacing w:line="480" w:lineRule="auto"/>
        <w:jc w:val="both"/>
        <w:rPr>
          <w:rFonts w:cs="Calibri"/>
          <w:color w:val="000000" w:themeColor="text1"/>
          <w:sz w:val="22"/>
          <w:szCs w:val="22"/>
        </w:rPr>
      </w:pPr>
    </w:p>
    <w:p w14:paraId="136AFC5B"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FUNDING</w:t>
      </w:r>
    </w:p>
    <w:p w14:paraId="0A5FE622"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&lt;INSERT&gt;</w:t>
      </w:r>
    </w:p>
    <w:p w14:paraId="1C0C6D3C" w14:textId="77777777" w:rsidR="005D240B" w:rsidRPr="00270060" w:rsidRDefault="005D240B" w:rsidP="00172688">
      <w:pPr>
        <w:spacing w:line="480" w:lineRule="auto"/>
        <w:jc w:val="both"/>
        <w:rPr>
          <w:rFonts w:cs="Calibri"/>
          <w:color w:val="000000" w:themeColor="text1"/>
          <w:sz w:val="22"/>
          <w:szCs w:val="22"/>
        </w:rPr>
      </w:pPr>
    </w:p>
    <w:p w14:paraId="23C76A32"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DATA AVAILABILITY</w:t>
      </w:r>
    </w:p>
    <w:p w14:paraId="3441BA02"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The MAIC output is included as supplementary material. All code is available at https://github.com/baillielab/bpd_maic.</w:t>
      </w:r>
    </w:p>
    <w:p w14:paraId="5889C142" w14:textId="77777777" w:rsidR="005D240B" w:rsidRPr="00270060" w:rsidRDefault="005D240B" w:rsidP="00172688">
      <w:pPr>
        <w:spacing w:line="480" w:lineRule="auto"/>
        <w:jc w:val="both"/>
        <w:rPr>
          <w:rFonts w:cs="Calibri"/>
          <w:b/>
          <w:bCs/>
          <w:color w:val="000000" w:themeColor="text1"/>
          <w:sz w:val="22"/>
          <w:szCs w:val="22"/>
        </w:rPr>
      </w:pPr>
    </w:p>
    <w:p w14:paraId="37C7D559"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CONTRIBUTIONS</w:t>
      </w:r>
    </w:p>
    <w:p w14:paraId="08507F0B" w14:textId="0F739C95"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SCH, JKB and JEM conceived the study. PK, CH, JAR, NM, AA, NP, EL, MP</w:t>
      </w:r>
      <w:r w:rsidR="00FC7596" w:rsidRPr="00270060">
        <w:rPr>
          <w:rFonts w:cs="Calibri"/>
          <w:color w:val="000000" w:themeColor="text1"/>
          <w:sz w:val="22"/>
          <w:szCs w:val="22"/>
        </w:rPr>
        <w:t xml:space="preserve"> and SCH</w:t>
      </w:r>
      <w:r w:rsidRPr="00270060">
        <w:rPr>
          <w:rFonts w:cs="Calibri"/>
          <w:color w:val="000000" w:themeColor="text1"/>
          <w:sz w:val="22"/>
          <w:szCs w:val="22"/>
        </w:rPr>
        <w:t xml:space="preserve"> manually reviewed abstracts for inclusion. PK, CH</w:t>
      </w:r>
      <w:r w:rsidR="00FC7596" w:rsidRPr="00270060">
        <w:rPr>
          <w:rFonts w:cs="Calibri"/>
          <w:color w:val="000000" w:themeColor="text1"/>
          <w:sz w:val="22"/>
          <w:szCs w:val="22"/>
        </w:rPr>
        <w:t xml:space="preserve">, SCH, </w:t>
      </w:r>
      <w:r w:rsidRPr="00270060">
        <w:rPr>
          <w:rFonts w:cs="Calibri"/>
          <w:color w:val="000000" w:themeColor="text1"/>
          <w:sz w:val="22"/>
          <w:szCs w:val="22"/>
        </w:rPr>
        <w:t>and CS curated the data. PK</w:t>
      </w:r>
      <w:r w:rsidR="00FC7596" w:rsidRPr="00270060">
        <w:rPr>
          <w:rFonts w:cs="Calibri"/>
          <w:color w:val="000000" w:themeColor="text1"/>
          <w:sz w:val="22"/>
          <w:szCs w:val="22"/>
        </w:rPr>
        <w:t>,</w:t>
      </w:r>
      <w:r w:rsidRPr="00270060">
        <w:rPr>
          <w:rFonts w:cs="Calibri"/>
          <w:color w:val="000000" w:themeColor="text1"/>
          <w:sz w:val="22"/>
          <w:szCs w:val="22"/>
        </w:rPr>
        <w:t xml:space="preserve"> CH </w:t>
      </w:r>
      <w:r w:rsidR="00FC7596" w:rsidRPr="00270060">
        <w:rPr>
          <w:rFonts w:cs="Calibri"/>
          <w:color w:val="000000" w:themeColor="text1"/>
          <w:sz w:val="22"/>
          <w:szCs w:val="22"/>
        </w:rPr>
        <w:t xml:space="preserve">and SCH </w:t>
      </w:r>
      <w:r w:rsidRPr="00270060">
        <w:rPr>
          <w:rFonts w:cs="Calibri"/>
          <w:color w:val="000000" w:themeColor="text1"/>
          <w:sz w:val="22"/>
          <w:szCs w:val="22"/>
        </w:rPr>
        <w:t>did the formal analysis. SCH supervised the study. SCH, PK and CH wrote the original draft of the manuscript. All authors reviewed and edited the manuscript. SCH, PK and CH had access to the raw data. The corresponding author had full access to all the data and final responsibility for the decision to submit for publication.</w:t>
      </w:r>
    </w:p>
    <w:p w14:paraId="132675F5" w14:textId="77777777" w:rsidR="005D240B" w:rsidRPr="00270060" w:rsidRDefault="005D240B" w:rsidP="00172688">
      <w:pPr>
        <w:spacing w:line="480" w:lineRule="auto"/>
        <w:jc w:val="both"/>
        <w:rPr>
          <w:color w:val="000000" w:themeColor="text1"/>
          <w:sz w:val="22"/>
          <w:szCs w:val="22"/>
        </w:rPr>
      </w:pPr>
    </w:p>
    <w:p w14:paraId="4587EAE1" w14:textId="77777777" w:rsidR="005D240B" w:rsidRPr="00270060" w:rsidRDefault="005D240B" w:rsidP="00172688">
      <w:pPr>
        <w:spacing w:line="480" w:lineRule="auto"/>
        <w:jc w:val="both"/>
        <w:rPr>
          <w:color w:val="000000" w:themeColor="text1"/>
          <w:sz w:val="22"/>
          <w:szCs w:val="22"/>
        </w:rPr>
      </w:pPr>
    </w:p>
    <w:p w14:paraId="0AE721B3" w14:textId="77777777" w:rsidR="006323BF" w:rsidRPr="00270060" w:rsidRDefault="006323BF" w:rsidP="00172688">
      <w:pPr>
        <w:spacing w:line="480" w:lineRule="auto"/>
        <w:jc w:val="both"/>
        <w:rPr>
          <w:color w:val="000000" w:themeColor="text1"/>
          <w:sz w:val="22"/>
          <w:szCs w:val="22"/>
        </w:rPr>
      </w:pPr>
    </w:p>
    <w:p w14:paraId="1F6C2CFB" w14:textId="77777777" w:rsidR="006323BF" w:rsidRPr="00270060" w:rsidRDefault="006323BF" w:rsidP="006323BF">
      <w:pPr>
        <w:tabs>
          <w:tab w:val="left" w:pos="8364"/>
        </w:tabs>
        <w:spacing w:line="480" w:lineRule="auto"/>
        <w:jc w:val="both"/>
        <w:rPr>
          <w:color w:val="000000" w:themeColor="text1"/>
          <w:sz w:val="22"/>
          <w:szCs w:val="22"/>
        </w:rPr>
      </w:pPr>
      <w:r w:rsidRPr="00270060">
        <w:rPr>
          <w:color w:val="000000" w:themeColor="text1"/>
          <w:sz w:val="22"/>
          <w:szCs w:val="22"/>
        </w:rPr>
        <w:br w:type="column"/>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31"/>
        <w:gridCol w:w="1995"/>
        <w:gridCol w:w="2836"/>
      </w:tblGrid>
      <w:tr w:rsidR="006323BF" w:rsidRPr="00270060" w14:paraId="53EDDC14" w14:textId="77777777" w:rsidTr="00EB4257">
        <w:trPr>
          <w:trHeight w:val="320"/>
        </w:trPr>
        <w:tc>
          <w:tcPr>
            <w:tcW w:w="9072" w:type="dxa"/>
            <w:gridSpan w:val="4"/>
            <w:shd w:val="clear" w:color="auto" w:fill="E8E8E8" w:themeFill="background2"/>
            <w:noWrap/>
            <w:vAlign w:val="bottom"/>
          </w:tcPr>
          <w:p w14:paraId="14066218"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1</w:t>
            </w:r>
          </w:p>
        </w:tc>
      </w:tr>
      <w:tr w:rsidR="006323BF" w:rsidRPr="00270060" w14:paraId="3FB860CC" w14:textId="77777777" w:rsidTr="00EB4257">
        <w:trPr>
          <w:trHeight w:val="320"/>
        </w:trPr>
        <w:tc>
          <w:tcPr>
            <w:tcW w:w="2410" w:type="dxa"/>
            <w:shd w:val="clear" w:color="auto" w:fill="E8E8E8" w:themeFill="background2"/>
            <w:noWrap/>
            <w:vAlign w:val="center"/>
            <w:hideMark/>
          </w:tcPr>
          <w:p w14:paraId="6720CF4B"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831" w:type="dxa"/>
            <w:shd w:val="clear" w:color="auto" w:fill="E8E8E8" w:themeFill="background2"/>
            <w:noWrap/>
            <w:vAlign w:val="center"/>
            <w:hideMark/>
          </w:tcPr>
          <w:p w14:paraId="70BD5CE4"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995" w:type="dxa"/>
            <w:shd w:val="clear" w:color="auto" w:fill="E8E8E8" w:themeFill="background2"/>
            <w:noWrap/>
            <w:vAlign w:val="center"/>
            <w:hideMark/>
          </w:tcPr>
          <w:p w14:paraId="2BA17F34"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2836" w:type="dxa"/>
            <w:shd w:val="clear" w:color="auto" w:fill="E8E8E8" w:themeFill="background2"/>
            <w:noWrap/>
            <w:vAlign w:val="center"/>
            <w:hideMark/>
          </w:tcPr>
          <w:p w14:paraId="6D99C8C7"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BPD Definition</w:t>
            </w:r>
          </w:p>
        </w:tc>
      </w:tr>
      <w:tr w:rsidR="006323BF" w:rsidRPr="00270060" w14:paraId="5568FBAB" w14:textId="77777777" w:rsidTr="00EB4257">
        <w:trPr>
          <w:trHeight w:val="320"/>
        </w:trPr>
        <w:tc>
          <w:tcPr>
            <w:tcW w:w="2410" w:type="dxa"/>
            <w:noWrap/>
            <w:vAlign w:val="center"/>
            <w:hideMark/>
          </w:tcPr>
          <w:p w14:paraId="1F66382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Ahmed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{"citationID":"uJULmJ9j","properties":{"formattedCitation":"\\super 28\\nosupersub{}","plainCitation":"28","noteIndex":0},"citationItems":[{"id":1777,"uris":["http://zotero.org/users/14418362/items/FSZBEJT8"],"itemData":{"id":1777,"type":"article-journal","abstract":"OBJECTIVE: To determine if oral secretions (OS) can be used as a noninvasively collected body fluid, in lieu of tracheal aspirates (TA), to track respiratory status and predict bronchopulmonary dysplasia (BPD) development in infants born &lt;32 weeks., STUDY DESIGN: This was a retrospective, single center cohort study that included data and convenience samples from week-of-life (WoL) 3 from 2 independent preterm infant cohorts. Using previously banked samples, we applied our sample-sparing, high-throughput proteomics technology to compare OS and TA proteomes in infants born &lt;32 weeks admitted to the Neonatal Intensive Care Unit (NICU) (Cohort 1; n = 23 infants). In a separate similar cohort, we mapped the BPD-associated changes in the OS proteome (Cohort 2; n = 17 infants including 8 with BPD)., RESULTS: In samples collected during the first month of life, we identified 607 proteins unique to OS, 327 proteins unique to TA, and 687 overlapping proteins belonging to pathways involved in immune effector processes, neutrophil degranulation, leukocyte mediated immunity, and metabolic processes. Furthermore, we identified 37 OS proteins that showed significantly differential abundance between BPD cases and controls: 13 were associated with metabolic and immune dysregulation, 10 of which (eg, SERPINC1, CSTA, BPI) have been linked to BPD or other prematurity-related lung disease based on blood or TA investigations, but not OS., CONCLUSIONS: OS are a noninvasive, easily accessible alternative to TA and amenable to high-throughput proteomic analysis in preterm newborns. OS samples hold promise to yield actionable biomarkers of BPD development, particularly for prospective categorization and timely tailored treatment of at-risk infants with novel therapies. Copyright © 2023 Elsevier Inc. All rights reserved.","archive":"Ovid MEDLINE(R) Epub Ahead of Print","container-title":"The Journal of pediatrics","DOI":"10.1016/j.jpeds.2023.113774","ISSN":"0022-3476","title":"Proteomics-Based Mapping of Bronchopulmonary Dysplasia-Associated Changes in Noninvasively Accessible Oral Secretions.","URL":"http://ovidsp.ovid.com/ovidweb.cgi?T=JS&amp;PAGE=reference&amp;D=medp&amp;NEWS=N&amp;AN=37839510","volume":"270","author":[{"family":"Ahmed","given":"Saima"},{"family":"Odumade","given":"Oludare A"},{"family":"Zalm","given":"Patrick","non-dropping-particle":"van"},{"family":"Fatou","given":"Benoit"},{"family":"Hansen","given":"Rachel"},{"family":"Martin","given":"Camilia R"},{"family":"Angelidou","given":"Asimenia"},{"family":"Steen","given":"Hanno"}],"issued":{"date-parts":[["2023"]]}}}],"schema":"https://github.com/citation-style-language/schema/raw/master/csl-citation.json"}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28</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F859D18"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33E8628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7518D9D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0D0AC31" w14:textId="77777777" w:rsidTr="00EB4257">
        <w:trPr>
          <w:trHeight w:val="320"/>
        </w:trPr>
        <w:tc>
          <w:tcPr>
            <w:tcW w:w="2410" w:type="dxa"/>
            <w:noWrap/>
            <w:vAlign w:val="center"/>
            <w:hideMark/>
          </w:tcPr>
          <w:p w14:paraId="378BB9BF"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Ambalavanan</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{"citationID":"YOaPuYnC","properties":{"formattedCitation":"\\super 15\\nosupersub{}","plainCitation":"15","noteIndex":0},"citationItems":[{"id":14,"uris":["http://zotero.org/users/14418362/items/CIY4TZNQ"],"itemData":{"id":14,"type":"article-journal","abstract":"Objective To identify single-nucleotide polymorphisms (SNPs) and pathways associated with bronchopulmonary dysplasia (BPD) because O2 requirement at 36 weeks’ postmenstrual age risk is strongly inﬂuenced by heritable factors. Study design A genome-wide scan was conducted on 1.2 million genotyped SNPs, and an additional 7 million imputed SNPs, using a DNA repository of extremely low birth weight infants. Genome-wide association and gene set analysis was performed for BPD or death, severe BPD or death, and severe BPD in survivors. Speciﬁc targets were validated via the use of gene expression in BPD lung tissue and in mouse models.\nResults Of 751 infants analyzed, 428 developed BPD or died. No SNPs achieved genome-wide signiﬁcance (P &lt; 10À8), although multiple SNPs in adenosine deaminase, CD44, and other genes were just below P &lt; 10À6. Of approximately 8000 pathways, 75 were signiﬁcant at false discovery rate (FDR) &lt;0.1 and P &lt; .001 for BPD/death, 95 for severe BPD/death, and 90 for severe BPD in survivors. The pathway with lowest FDR was miR-219 targets (P = 1.41E-08, FDR 9.5E-05) for BPD/death and phosphorous oxygen lyase activity (includes adenylate and guanylate cyclases) for both severe BPD/death (P = 5.68E-08, FDR 0.00019) and severe BPD in survivors (P = 3.91E-08, FDR 0.00013). Gene expression analysis conﬁrmed signiﬁcantly increased miR-219 and CD44 in BPD.\nConclusions Pathway analyses conﬁrmed involvement of known pathways of lung development and repair (CD44, phosphorus oxygen lyase activity) and indicated novel molecules and pathways (adenosine deaminase, targets of miR-219) involved in genetic predisposition to BPD. (J Pediatr 2015;166:531-37).","container-title":"The Journal of Pediatrics","DOI":"10.1016/j.jpeds.2014.09.052","ISSN":"00223476","issue":"3","journalAbbreviation":"The Journal of Pediatrics","language":"en","page":"531-537.e13","source":"DOI.org (Crossref)","title":"Integrated Genomic Analyses in Bronchopulmonary Dysplasia","URL":"https://linkinghub.elsevier.com/retrieve/pii/S0022347614009032","volume":"166","author":[{"family":"Ambalavanan","given":"Namasivayam"},{"family":"Cotten","given":"C. Michael"},{"family":"Page","given":"Grier P."},{"family":"Carlo","given":"Waldemar A."},{"family":"Murray","given":"Jeffrey C."},{"family":"Bhattacharya","given":"Soumyaroop"},{"family":"Mariani","given":"Thomas J."},{"family":"Cuna","given":"Alain C."},{"family":"Faye-Petersen","given":"Ona M."},{"family":"Kelly","given":"David"},{"family":"Higgins","given":"Rosemary D."}],"accessed":{"date-parts":[["2024",6,3]]},"issued":{"date-parts":[["2015",3]]}}}],"schema":"https://github.com/citation-style-language/schema/raw/master/csl-citation.json"}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619A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69607B8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56FE5D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5CC00B6F" w14:textId="77777777" w:rsidTr="00EB4257">
        <w:trPr>
          <w:trHeight w:val="320"/>
        </w:trPr>
        <w:tc>
          <w:tcPr>
            <w:tcW w:w="2410" w:type="dxa"/>
            <w:noWrap/>
            <w:vAlign w:val="bottom"/>
            <w:hideMark/>
          </w:tcPr>
          <w:p w14:paraId="006A93C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{"citationID":"JSSw3JcN","properties":{"formattedCitation":"\\super 29\\nosupersub{}","plainCitation":"29","noteIndex":0},"citationItems":[{"id":1770,"uris":["http://zotero.org/users/14418362/items/DTG68WSY"],"itemData":{"id":1770,"type":"article-journal","abstract":"RATIONALE: Bronchopulmonary dysplasia (BPD) is a major complication of premature birth. Risk factors for BPD are complex and include prenatal infection and O(2) toxicity. BPD pathology is equally complex and characterized by inflammation and dysmorphic airspaces and vasculature. Due to the limited availability of clinical samples, an understanding of the molecular pathogenesis of this disease and its causal mechanisms and associated biomarkers is limited., OBJECTIVES: Apply genome-wide expression profiling to define pathways affected in BPD lungs., METHODS: Lung tissue was obtained at autopsy from 11 BPD cases and 17 age-matched control subjects without BPD. RNA isolated from these tissue samples was interrogated using microarrays. Standard gene selection and pathway analysis methods were applied to the data set. Abnormal expression patterns were validated by quantitative reverse transcriptase-polymerase chain reaction and immunohistochemistry., MEASUREMENTS AND MAIN RESULTS: We identified 159 genes differentially expressed in BPD tissues. Pathway analysis indicated previously appreciated (e.g., DNA damage regulation of cell cycle) as well as novel (e.g., B-cell development) biological functions were affected. Three of the five most highly induced genes were mast cell (MC)-specific markers. We confirmed an increased accumulation of connective tissue MC(TC) (chymase expressing) mast cells in BPD tissues. Increased expression of MC(TC) markers was also demonstrated in an animal model of BPD-like pathology., CONCLUSIONS: We present a unique genome-wide expression data set from human BPD lung tissue. Our data provide information on gene expression patterns associated with BPD and facilitated the discovery that MC(TC) accumulation is a prominent feature of this disease. These observations have significant clinical and mechanistic implications.","archive":"Ovid MEDLINE(R) &lt;2012&gt;","container-title":"American journal of respiratory and critical care medicine","DOI":"10.1164/rccm.201203-0406OC","ISSN":"1073-449X","issue":"4","title":"Genome-wide transcriptional profiling reveals connective tissue mast cell accumulation in bronchopulmonary dysplasia.","URL":"http://ovidsp.ovid.com/ovidweb.cgi?T=JS&amp;PAGE=reference&amp;D=med9&amp;NEWS=N&amp;AN=22723293","volume":"186","author":[{"family":"Bhattacharya","given":"Soumyaroop"},{"family":"Go","given":"Diana"},{"family":"Krenitsky","given":"Daria L"},{"family":"Huyck","given":"Heidi L"},{"family":"Solleti","given":"Siva Kumar"},{"family":"Lunger","given":"Valerie A"},{"family":"Metlay","given":"Leon"},{"family":"Srisuma","given":"Sorachai"},{"family":"Wert","given":"Susan E"},{"family":"Mariani","given":"Thomas J"},{"family":"Pryhuber","given":"Gloria S"}],"issued":{"date-parts":[["2012"]]}}}],"schema":"https://github.com/citation-style-language/schema/raw/master/csl-citation.json"}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29</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13B48AD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1040425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0C3EB55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9BB4D8D" w14:textId="77777777" w:rsidTr="00EB4257">
        <w:trPr>
          <w:trHeight w:val="320"/>
        </w:trPr>
        <w:tc>
          <w:tcPr>
            <w:tcW w:w="2410" w:type="dxa"/>
            <w:noWrap/>
            <w:vAlign w:val="center"/>
            <w:hideMark/>
          </w:tcPr>
          <w:p w14:paraId="4E83795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{"citationID":"cMnDSGnY","properties":{"formattedCitation":"\\super 30\\nosupersub{}","plainCitation":"30","noteIndex":0},"citationItems":[{"id":1650,"uris":["http://zotero.org/users/14418362/items/ZIF332JW"],"itemData":{"id":1650,"type":"article-journal","abstract":"Many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30</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4D25F2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3598907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8EAFB66"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Resp</w:t>
            </w:r>
            <w:proofErr w:type="spellEnd"/>
            <w:r w:rsidRPr="00270060">
              <w:rPr>
                <w:rFonts w:ascii="Aptos" w:eastAsia="Times New Roman" w:hAnsi="Aptos" w:cs="Times New Roman"/>
                <w:color w:val="000000" w:themeColor="text1"/>
                <w:sz w:val="22"/>
                <w:szCs w:val="22"/>
                <w:lang w:eastAsia="en-GB"/>
              </w:rPr>
              <w:t xml:space="preserve"> Supp at 3,6,9,12 months </w:t>
            </w:r>
          </w:p>
        </w:tc>
      </w:tr>
      <w:tr w:rsidR="006323BF" w:rsidRPr="00270060" w14:paraId="776B8940" w14:textId="77777777" w:rsidTr="00EB4257">
        <w:trPr>
          <w:trHeight w:val="320"/>
        </w:trPr>
        <w:tc>
          <w:tcPr>
            <w:tcW w:w="2410" w:type="dxa"/>
            <w:noWrap/>
            <w:vAlign w:val="center"/>
            <w:hideMark/>
          </w:tcPr>
          <w:p w14:paraId="119AD75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 </w:t>
            </w:r>
            <w:proofErr w:type="spellStart"/>
            <w:r w:rsidRPr="00270060">
              <w:rPr>
                <w:rFonts w:ascii="Aptos" w:eastAsia="Times New Roman" w:hAnsi="Aptos" w:cs="Times New Roman"/>
                <w:color w:val="000000" w:themeColor="text1"/>
                <w:sz w:val="22"/>
                <w:szCs w:val="22"/>
                <w:lang w:eastAsia="en-GB"/>
              </w:rPr>
              <w:t>paepe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{"citationID":"cFWTPMR3","properties":{"formattedCitation":"\\super 31\\nosupersub{}","plainCitation":"31","noteIndex":0},"citationItems":[{"id":1725,"uris":["http://zotero.org/users/14418362/items/BQD3U2MW"],"itemData":{"id":1725,"type":"article-journal","abstract":"Preterm infants exposed to oxygen and mechanical ventilation are at risk for bronchopulmonary dysplasia (BPD), a multifactorial chronic lung disorder characterized by arrested alveolar development and nonsprouting, dysmorphic microvascular angiogenesis. The molecular regulation of this BPD-associated pathological angiogenesis remains incompletely understood. In this study, the authors used focused microarray technology to characterize the angiogenic gene expression profile in postmortem lung samples from short-term ventilated preterm infants (born at 24 to 27 weeks' gestation) and age-matched control infants. Microarray analysis identified differential expression of 13 of 112 angiogenesis-related genes. Genes significantly up-regulated in ventilated lungs included the antiangiogenic genes thrombospondin-1, collagen XVIII alpha-1, and tissue inhibitor of metalloproteinase-1 (TIMP1), as well as endoglin, transforming growth factor-alpha, and monocyte chemoattractant protein-1 (CCL2). Increased expression of thrombospondin-1 in ventilated lungs was verified by real-time polymerase chain reaction (PCR) and immunolocalized primarily to intravascular platelets and fibrin aggregates. Down-regulated genes included proangiogenic angiogenin and midkine, as well as vascular endothelial growth factor (VEGF)-B, VEGF receptor-2, and the angiopoietin receptor TEK/Tie-2. In conclusion, short-term ventilated lungs show a shift from traditional angiogenic growth factors to alternative, often antisprouting regulators. This angiogenic shift may be implicated in the regulation of dysmorphic angiogenesis and, consequently, deficient alveolarization characteristic of infants with BPD.","archive":"Ovid MEDLINE(R) &lt;2010 to 2011&gt;","container-title":"Experimental lung research","DOI":"10.3109/01902141003714031","ISSN":"0190-2148","issue":"7","title":"Angiogenesis-related gene expression profiling in ventilated preterm human lungs.","URL":"http://ovidsp.ovid.com/ovidweb.cgi?T=JS&amp;PAGE=reference&amp;D=med8&amp;NEWS=N&amp;AN=20718599","volume":"36","author":[{"family":"De Paepe","given":"Monique E"},{"family":"Greco","given":"David"},{"family":"Mao","given":"Quanfu"}],"issued":{"date-parts":[["2010"]]}}}],"schema":"https://github.com/citation-style-language/schema/raw/master/csl-citation.json"}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31</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C44ED0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7B45914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36E4826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Ventilator dependent for entire lifespan</w:t>
            </w:r>
          </w:p>
        </w:tc>
      </w:tr>
      <w:tr w:rsidR="006323BF" w:rsidRPr="00270060" w14:paraId="6DF8E411" w14:textId="77777777" w:rsidTr="00EB4257">
        <w:trPr>
          <w:trHeight w:val="320"/>
        </w:trPr>
        <w:tc>
          <w:tcPr>
            <w:tcW w:w="2410" w:type="dxa"/>
            <w:noWrap/>
            <w:vAlign w:val="center"/>
            <w:hideMark/>
          </w:tcPr>
          <w:p w14:paraId="737D424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{"citationID":"vFBUEQAb","properties":{"formattedCitation":"\\super 32\\nosupersub{}","plainCitation":"32","noteIndex":0},"citationItems":[{"id":1787,"uris":["http://zotero.org/users/14418362/items/H3RDNG36"],"itemData":{"id":1787,"type":"article-journal","abstract":"BACKGROUND: An early and accurate evaluation of the risk of bronchopulmonary dysplasia (BPD) in premature infants is pivotal in implementing preventive strategies. The risk prediction models nowadays for BPD risk that included only clinical factors but without genetic factors are either too complex without practicability or provide poor-to-moderate discrimination. We aim to identify the role of genetic factors in BPD risk prediction early and accurately., METHODS: Exome sequencing was performed in a cohort of 245 premature infants (gestational age &lt;32 weeks), with 131 BPD infants and 114 infants without BPD as controls. A gene burden test was performed to find risk genes with loss-of-function mutations or missense mutations over-represented in BPD and severe BPD (sBPD) patients, with risk gene sets (RGS) defined as BPD-RGS and sBPD-RGS, respectively. We then developed two predictive models for the risk of BPD and sBPD by integrating patient clinical and genetic features. The performance of the models was evaluated using the area under the receiver operating characteristic curve (AUROC)., RESULTS: Thirty and 21 genes were included in BPD-RGS and sBPD-RGS, respectively. The predictive model for BPD, which combined the BPD-RGS and basic clinical risk factors, showed better discrimination than the model that was only based on basic clinical features (AUROC, 0.915 vs. AUROC, 0.814, P = 0.013, respectively) in the independent testing dataset. The same was observed in the predictive model for sBPD (AUROC, 0.907 vs. AUROC, 0.826; P = 0.016)., CONCLUSION: This study suggests that genetic information contributes to susceptibility to BPD. The predictive model in this study, which combined BPD-RGS with basic clinical risk factors, can thus accurately stratify BPD risk in premature infants. Copyright © 2021 Dai, Chen, Dong, Chen, Mei, Lu, Yang, Wu, Cao, Wang, Zhou and Qian.","archive":"Ovid MEDLINE(R) PubMed-not-MEDLINE &lt;2021&gt;","container-title":"Frontiers in genetics","DOI":"10.3389/fgene.2021.689071","ISSN":"1664-8021","title":"Bronchopulmonary Dysplasia Predicted by Developing a Machine Learning Model of Genetic and Clinical Information.","URL":"http://ovidsp.ovid.com/ovidweb.cgi?T=JS&amp;PAGE=reference&amp;D=pmnm6&amp;NEWS=N&amp;AN=34276789","volume":"12","author":[{"family":"Dai","given":"Dan"},{"family":"Chen","given":"Huiyao"},{"family":"Dong","given":"Xinran"},{"family":"Chen","given":"Jinglong"},{"family":"Mei","given":"Mei"},{"family":"Lu","given":"Yulan"},{"family":"Yang","given":"Lin"},{"family":"Wu","given":"Bingbing"},{"family":"Cao","given":"Yun"},{"family":"Wang","given":"Jin"},{"family":"Zhou","given":"Wenhao"},{"family":"Qian","given":"Liling"}],"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7656D19"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79172BE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08FD06C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Rest Supp on 1st day of life, &lt;32 weeks GA</w:t>
            </w:r>
          </w:p>
        </w:tc>
      </w:tr>
      <w:tr w:rsidR="006323BF" w:rsidRPr="00270060" w14:paraId="57E61D4E" w14:textId="77777777" w:rsidTr="00EB4257">
        <w:trPr>
          <w:trHeight w:val="320"/>
        </w:trPr>
        <w:tc>
          <w:tcPr>
            <w:tcW w:w="2410" w:type="dxa"/>
            <w:noWrap/>
            <w:vAlign w:val="center"/>
            <w:hideMark/>
          </w:tcPr>
          <w:p w14:paraId="005244B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Fulton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{"citationID":"SZPDQ7Od","properties":{"formattedCitation":"\\super 33\\nosupersub{}","plainCitation":"33","noteIndex":0},"citationItems":[{"id":1654,"uris":["http://zotero.org/users/14418362/items/9SX9F72K"],"itemData":{"id":1654,"type":"article-journal","abstract":"Male sex is a risk factor for development of bronchopulmonary dysplasia (BPD), a common chronic lung disease following preterm birth. We previously found that tracheal aspirate mesenchymal stromal cells (MSCs) from premature infants developing BPD show reduced expression of PDGFRalpha, which is required for normal lung development. We hypothesized that MSCs from male infants developing BPD exhibit a pathologic gene expression profile deficient in PDGFR and its downstream effectors, thereby favoring delayed lung development. In a discovery cohort of 6 male and 7 female premature infants, we analyzed the tracheal aspirate MSCs transcriptome. A unique gene signature distinguished MSCs from male infants developing BPD from all other MSCs. Genes involved in lung development, PDGF signaling and extracellular matrix remodeling were differentially expressed. We sought to confirm these findings in a second cohort of 13 male and 12 female premature infants. mRNA expression of PDGFRA, FGF7, WNT2, SPRY1, MMP3 and FOXF2 were significantly lower in MSCs from male infants developing BPD. In female infants developing BPD, tracheal aspirate levels of proinflammatory CCL2 and profibrotic Galectin-1 were higher compared to male infants developing BPD and female not developing BPD. Our findings support a notion for sex-specific differences in the mechanisms of BPD development.","archive":"Ovid MEDLINE(R) &lt;2018&gt;","container-title":"Scientific reports","DOI":"10.1038/s41598-018-35256-z","ISSN":"2045-2322","issue":"1","title":"Gene Expression Signatures Point to a Male Sex-Specific Lung Mesenchymal Cell PDGF Receptor Signaling Defect in Infants Developing Bronchopulmonary Dysplasia.","URL":"http://ovidsp.ovid.com/ovidweb.cgi?T=JS&amp;PAGE=reference&amp;D=med15&amp;NEWS=N&amp;AN=30459472","volume":"8","author":[{"family":"Fulton","given":"Christina T"},{"family":"Cui","given":"Tracy X"},{"family":"Goldsmith","given":"Adam M"},{"family":"Bermick","given":"Jennifer"},{"family":"Popova","given":"Antonia P"}],"issued":{"date-parts":[["2018"]]}}}],"schema":"https://github.com/citation-style-language/schema/raw/master/csl-citation.json"}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33</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6F238AC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18FF41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4A952CD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5F429DE" w14:textId="77777777" w:rsidTr="00EB4257">
        <w:trPr>
          <w:trHeight w:val="320"/>
        </w:trPr>
        <w:tc>
          <w:tcPr>
            <w:tcW w:w="2410" w:type="dxa"/>
            <w:noWrap/>
            <w:vAlign w:val="center"/>
            <w:hideMark/>
          </w:tcPr>
          <w:p w14:paraId="31FF14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Gong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{"citationID":"9SSG7OqW","properties":{"formattedCitation":"\\super 34\\nosupersub{}","plainCitation":"34","noteIndex":0},"citationItems":[{"id":1657,"uris":["http://zotero.org/users/14418362/items/IGF86V2M"],"itemData":{"id":1657,"type":"article-journal","abstract":"Bronchopulmonary dysplasia (BPD) is the most common chronic lung disease (CLD) in premature infants. The present study was designed to elucidate the regulation of miRNA-547-3p on adrenomedullin (ADM) during the pathogenesis of BPD. We used Agilent Human 4x44K Gene Expression Microarrays v2 and miRCURY LNA TM microRNA Array to identify the differently expressed miRNA and its potential target genes, and certified them again by luciferase reporter gene analysis. We only retained target genes that met the following two conditions: first, coexisting in two databases, and second, expressing differences, and then identifying target genes by luciferase reporter gene analysis. Thus, we selected miRNA-574-3p and its target gene ADM for further research. We used real-time q-PCR to determine the expression of miRNA-574-3p and its target gene ADM in premature infants with BPD. We used microarray expression to analyze BPD samples and non-BPD samples and found that there were 516 differently expressed probes between them. The 516 differently expressed probes included 408 up-regulated probes and 108 down-regulated probes. The blood samples of BPD infants were detected by real-time q-PCR and found that the expression of miRNA-574-3p was decreased, while the expression of ADM was significantly increased. Luciferase reporter gene analysis showed that hsa-miR-574-3p can regulate the expression of luciferase with ADM 3'UTR, and decrease it by 61.84%. It has been reported in the literature that ADM can protect the premature infants with BPD. The target gene ADM of miRNA-574-3p may contribute to the prevention and treatment of BPD. Copyright © 2020 The Author(s).","archive":"Ovid MEDLINE(R) &lt;2020&gt;","container-title":"Bioscience reports","DOI":"10.1042/BSR20191879","ISSN":"0144-8463","issue":"5","title":"Adrenomedullin regulated by miRNA-574-3p protects premature infants with bronchopulmonary dysplasia.","URL":"http://ovidsp.ovid.com/ovidweb.cgi?T=JS&amp;PAGE=reference&amp;D=med18&amp;NEWS=N&amp;AN=32412065","volume":"40","author":[{"family":"Gong","given":"Xiaohui"},{"family":"Qiu","given":"Jiajun"},{"family":"Qiu","given":"Gang"},{"family":"Cai","given":"Cheng"}],"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1B1F57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322CAE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28CE85E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7309FF6D" w14:textId="77777777" w:rsidTr="00EB4257">
        <w:trPr>
          <w:trHeight w:val="320"/>
        </w:trPr>
        <w:tc>
          <w:tcPr>
            <w:tcW w:w="2410" w:type="dxa"/>
            <w:noWrap/>
            <w:vAlign w:val="center"/>
            <w:hideMark/>
          </w:tcPr>
          <w:p w14:paraId="52F6E48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Hadchouel</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{"citationID":"feIYWL6r","properties":{"formattedCitation":"\\super 12\\nosupersub{}","plainCitation":"12","noteIndex":0},"citationItems":[{"id":16,"uris":["http://zotero.org/users/14418362/items/MBS3TYY6"],"itemData":{"id":16,"type":"article-journal","container-title":"American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64AA797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7B03BE2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59A391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95243AD" w14:textId="77777777" w:rsidTr="00EB4257">
        <w:trPr>
          <w:trHeight w:val="320"/>
        </w:trPr>
        <w:tc>
          <w:tcPr>
            <w:tcW w:w="2410" w:type="dxa"/>
            <w:noWrap/>
            <w:vAlign w:val="center"/>
            <w:hideMark/>
          </w:tcPr>
          <w:p w14:paraId="6198EB3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Hamvas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{"citationID":"CI1uI3Em","properties":{"formattedCitation":"\\super 35\\nosupersub{}","plainCitation":"35","noteIndex":0},"citationItems":[{"id":1727,"uris":["http://zotero.org/users/14418362/items/CU2W4ZMD"],"itemData":{"id":1727,"type":"article-journal","abstract":"BACKGROUND: Previous studies have identified genetic variants associated with bronchopulmonary dysplasia (BPD) in extremely preterm infants. However, findings with genome-wide significance have been rare, and not replicated. We hypothesized that whole exome sequencing (WES) of premature subjects with extremely divergent phenotypic outcomes could facilitate the identification of genetic variants or gene networks contributing disease risk., RESULTS: The Prematurity and Respiratory Outcomes Program (PROP) recruited a cohort of &gt; 765 extremely preterm infants for the identification of markers of respiratory morbidity. We completed WES on 146 PROP subjects (85 affected, 61 unaffected) representing extreme phenotypes of early respiratory morbidity. We tested for association between disease status and individual common variants, screened for rare variants exclusive to either affected or unaffected subjects, and tested the combined association of variants across gene loci. Pathway analysis was performed and disease-related expression patterns were assessed. Marginal association with BPD was observed for numerous common and rare variants. We identified 345 genes with variants unique to BPD-affected preterm subjects, and 292 genes with variants unique to our unaffected preterm subjects. Of these unique variants, 28 (19 in the affected cohort and 9 in unaffected cohort) replicate a prior WES study of BPD-associated variants. Pathway analysis of sets of variants, informed by disease-related gene expression, implicated protein kinase A, MAPK and Neuregulin/epidermal growth factor receptor signaling., CONCLUSIONS: We identified novel genes and associated pathways that may play an important role in susceptibility/resilience for the development of lung disease in preterm infants.","archive":"Ovid MEDLINE(R) &lt;2018&gt;","container-title":"BMC genetics","DOI":"10.1186/s12863-018-0679-7","ISSN":"1471-2156","issue":"1","title":"Exome sequencing identifies gene variants and networks associated with extreme respiratory outcomes following preterm birth.","URL":"http://ovidsp.ovid.com/ovidweb.cgi?T=JS&amp;PAGE=reference&amp;D=med15&amp;NEWS=N&amp;AN=30342483","volume":"19","author":[{"family":"Hamvas","given":"Aaron"},{"family":"Feng","given":"Rui"},{"family":"Bi","given":"Yingtao"},{"family":"Wang","given":"Fan"},{"family":"Bhattacharya","given":"Soumyaroop"},{"family":"Mereness","given":"Jared"},{"family":"Kaushal","given":"Madhurima"},{"family":"Cotten","given":"C Michael"},{"family":"Ballard","given":"Philip L"},{"family":"Mariani","given":"Thomas J"},{"literal":"Alexander B"},{"literal":"Chougnet C"},{"literal":"Gratton T"},{"literal":"Greenberg JM"},{"literal":"Grisby C"},{"literal":"Hardie W"},{"literal":"Jobe AH"},{"literal":"Koch B"},{"literal":"McDowell K"},{"literal":"Thornton K"},{"literal":"Bates P"},{"literal":"Cleveland C"},{"literal":"Ferkol T"},{"literal":"Hamvas A"},{"literal":"Hoffmann J"},{"literal":"Holland MR"},{"literal":"Kemp J"},{"literal":"Levy PT"},{"literal":"Linneman L"},{"literal":"Sicard-Su J"},{"literal":"Simpson G"},{"literal":"Singh GK"},{"literal":"Warner B"},{"literal":"Ballard PL"},{"literal":"Ballard RA"},{"literal":"Durand DJ"},{"literal":"Eichenwald EC"},{"literal":"Keller RL"},{"literal":"Khan AM"},{"literal":"Lusk L"},{"literal":"Merrill JD"},{"literal":"Nielson DW"},{"literal":"Rogers EE"},{"literal":"Asselin JM"},{"literal":"Balan S"},{"literal":"Burson K"},{"literal":"Chapin C"},{"literal":"Josiah-Davis E"},{"literal":"Garcia C"},{"literal":"Horneman H"},{"literal":"Hinojosa R"},{"literal":"Johnson C"},{"literal":"Kelley S"},{"literal":"Knowles KL"},{"literal":"Layne Lillie M"},{"literal":"Martin K"},{"literal":"Martin S"},{"literal":"Arldt-McAlister J"},{"literal":"McDavid GE"},{"literal":"Pacello L"},{"literal":"Rodgers S"},{"literal":"Sperry DK"},{"literal":"Aschner J"},{"literal":"Beller AB"},{"literal":"Fike C"},{"literal":"Guthrie S"},{"literal":"Hartert T"},{"literal":"Maitre N"},{"literal":"Moore P"},{"literal":"Hunt MO"},{"literal":"Rogers TJ"},{"literal":"Settles OL"},{"literal":"Steele S"},{"literal":"Summar M"},{"literal":"Wadley S"},{"literal":"D'Angio C"},{"literal":"Kumar V"},{"literal":"Mariani T"},{"literal":"Pryhuber G"},{"literal":"Ren C"},{"literal":"Reynolds AM"},{"literal":"Ryan RM"},{"literal":"Scheible K"},{"literal":"Stevens T"},{"literal":"Huyck H"},{"literal":"Lunger V"},{"literal":"Castiglione S"},{"literal":"Horan A"},{"literal":"Maffet D"},{"literal":"O'Donnell J"},{"literal":"Sacilowski M"},{"literal":"Scalise T"},{"literal":"Werner E"},{"literal":"Zayac J"},{"literal":"Bordeaux K"},{"literal":"Brown P"},{"literal":"Epping J"},{"literal":"Flattery-Walsh L"},{"literal":"Germuga D"},{"literal":"Jenks N"},{"literal":"Platt M"},{"literal":"Popplewell E"},{"literal":"Prentice S"},{"literal":"Ciccio K"},{"literal":"Cotten M"},{"literal":"Fisher K"},{"literal":"Sharp J"},{"literal":"Voynow JA"},{"literal":"PROP Investigators"}],"issued":{"date-parts":[["2018"]]}}}],"schema":"https://github.com/citation-style-language/schema/raw/master/csl-citation.json"}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28559B4"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10CF205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Saliva</w:t>
            </w:r>
          </w:p>
        </w:tc>
        <w:tc>
          <w:tcPr>
            <w:tcW w:w="2836" w:type="dxa"/>
            <w:noWrap/>
            <w:vAlign w:val="center"/>
            <w:hideMark/>
          </w:tcPr>
          <w:p w14:paraId="75195EA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F6AC251" w14:textId="77777777" w:rsidTr="00EB4257">
        <w:trPr>
          <w:trHeight w:val="320"/>
        </w:trPr>
        <w:tc>
          <w:tcPr>
            <w:tcW w:w="2410" w:type="dxa"/>
            <w:noWrap/>
            <w:vAlign w:val="center"/>
            <w:hideMark/>
          </w:tcPr>
          <w:p w14:paraId="13FB377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{"citationID":"29Vn0pBO","properties":{"formattedCitation":"\\super 36\\nosupersub{}","plainCitation":"36","noteIndex":0},"citationItems":[{"id":1917,"uris":["http://zotero.org/users/14418362/items/EMZIRC9F"],"itemData":{"id":1917,"type":"article-journal","abstract":"Background: Preterm infants often require respiratory support, which can injure their lungs and lead to abnormal lung development called bronchopulmonary dysplasia (BPD). The initial lung cell types affected by injury and the molecular mechanisms leading from lung injury to BPD are not fully understood. Therefore our aim is to mimic ventilation-induced lung injury (VILI) in vitro to investigate the cell types and mechanisms leading to BPD. Method(s): Fetal rat lung fibroblasts were isolated at embryonic day (E)19 and exposed to 0 or 20% phasic over-distension. Cells were collected after 15 minutes, 1, 3, 6 or 24 hours to measure cell proliferation (ki67), apoptosis (caspase-3) and early lung injury markers (CTGF, CYR61 and EGR1). Result(s): Fibroblasts exposed to 20% over-distension had a 3-fold increase in EGR1 mRNA and protein levels within 1 hour of over-distension (p &lt; 0.05). There was a 2-3 fold increase in caspase-3 positive cells after 6 hours of over-distension (p &lt; 0.05). At 24 hours, very few over-distended cells were caspase-3 positive, yet there was a 6% increase in the proportion of cells proliferating (p &lt; 0.05). Conclusion(s): This in vitro model of over-distension injury successfully replicates many of the features associated with VILI including increased fibroblast apoptosis, proliferation and markers of lung injury, suggesting that fetal lung fibroblasts are involved in the initial response to VILI. This in vitro model of VILI will allow future studies to identify the early cellular mechanisms that mediate the response of the lung to VILI and that may initiate the cascade of events leading to BPD.","archive":"Embase","archive_location":"71874055","container-title":"Journal of Paediatrics and Child Health","DOI":"10.1111/jpc.12884-6","ISSN":"1034-4810","issue":"SUPPL. 1","language":"English","note":"publisher: Blackwell Publishing","title":"Investigating the early mechanisms leading from ventilation-induced lung injury to bronchopulmonary dysplasia using in vitro lung cell over-distension","URL":"http://ovidsp.ovid.com/ovidweb.cgi?T=JS&amp;PAGE=reference&amp;D=emed16&amp;NEWS=N&amp;AN=71874055","volume":"51","author":[{"literal":"Li A."},{"literal":"McDougall A.R.A."},{"literal":"Zahra V.A."},{"literal":"Chandrasena J."},{"literal":"Hooper S.B."},{"literal":"Wallace M.J."}],"issued":{"date-parts":[["2015"]]}}}],"schema":"https://github.com/citation-style-language/schema/raw/master/csl-citation.json"}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78B8E2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2FD8167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0FE215C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8262173" w14:textId="77777777" w:rsidTr="00EB4257">
        <w:trPr>
          <w:trHeight w:val="320"/>
        </w:trPr>
        <w:tc>
          <w:tcPr>
            <w:tcW w:w="2410" w:type="dxa"/>
            <w:noWrap/>
            <w:vAlign w:val="center"/>
            <w:hideMark/>
          </w:tcPr>
          <w:p w14:paraId="6DAD98C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Luo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{"citationID":"gY6bDLem","properties":{"formattedCitation":"\\super 37\\nosupersub{}","plainCitation":"37","noteIndex":0},"citationItems":[{"id":1783,"uris":["http://zotero.org/users/14418362/items/XZXJ2SDQ"],"itemData":{"id":1783,"type":"article-journal","abstract":"Bronchopulmonary dysplasia (BPD) is a common chronic respiratory disease in preterm infants caused by multifactorial etiology. Genetic factors are involved in the occurrence of BPD, but studies have found that candidate genes have poor reproducibility and are influenced by ethnic heterogeneity; therefore, more exploration is still needed. We performed whole-exon sequencing in 34 preterm infants with BPD and 32 non-BPD control neonates. The data were analyzed and interpreted by Fisher difference comparison, PLINK and eQTL association analysis, KEGG and GO enrichment analysis, STRING tool, Cytoscape software, ProtParam tool, HOPE online software, and GEOR2 analysis on NCBI GEO dataset. BPD has a highly heterogeneity in different populations, and we found 35 genes overlapped with previous whole-exon sequencing studies, such as APOB gene. Arterial and epithelial cell development and energy metabolism pathways affect BPD. In this study, 24 key genes were identified, and BIVM rs3825519 mutation leads to prolonged assisted ventilation in patients with BPD. A novel DDAH1 mutation site (NM_012137: exon1: c.89 T &gt; G: p.L30R) was found in 9 BPD patients., CONCLUSION: BIVM gene rs3825519 mutation may play a role in the pathogenesis of BPD by affecting cilia movement, and the DDAH1 and APOB genes mutations may have a pathogenic role in BPD., WHAT IS KNOWN: * Genetic factors are involved in the occurrence of bronchopulmonary dysplasia. * The candidate genes have poor reproducibility and are influenced by ethnic heterogeneity, therefore, more exploration is still needed., WHAT IS NEW: * We identified the role of susceptible SNPs in BPD in Shenzhen, China, and identified 24 key genes that influence the pathogenesis of BPD, and also found 35 genes overlapped with previous whole exon sequencing studies, such as APOB gene. * We found that BIVM and DDAH1 genes may play a pathogenic role in the pathogenesis of BPD. Copyright © 2023. The Author(s).","archive":"Ovid MEDLINE(R) &lt;2023&gt;","container-title":"European journal of pediatrics","DOI":"10.1007/s00431-022-04779-z","ISSN":"0340-6199","issue":"4","title":"Identification of genetic susceptibility in preterm newborns with bronchopulmonary dysplasia by whole-exome sequencing: BIVM gene may play a role.","URL":"http://ovidsp.ovid.com/ovidweb.cgi?T=JS&amp;PAGE=reference&amp;D=med23&amp;NEWS=N&amp;AN=36757497","volume":"182","author":[{"family":"Luo","given":"Xi"},{"family":"Zhao","given":"Min"},{"family":"Chen","given":"Cheng"},{"family":"Lin","given":"Fengji"},{"family":"Li","given":"Xiaodong"},{"family":"Huang","given":"Haiyun"},{"family":"Dou","given":"Lei"},{"family":"Feng","given":"Jinxing"},{"family":"Xiao","given":"Shanqiu"},{"family":"Liu","given":"Dong"},{"family":"He","given":"Junli"},{"family":"Yu","given":"Jialin"}],"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37</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37CA23B8"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60C90A3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1B996E3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6323BF" w:rsidRPr="00270060" w14:paraId="0A2731A7" w14:textId="77777777" w:rsidTr="00EB4257">
        <w:trPr>
          <w:trHeight w:val="320"/>
        </w:trPr>
        <w:tc>
          <w:tcPr>
            <w:tcW w:w="2410" w:type="dxa"/>
            <w:noWrap/>
            <w:vAlign w:val="center"/>
            <w:hideMark/>
          </w:tcPr>
          <w:p w14:paraId="19DE211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Oji </w:t>
            </w:r>
            <w:proofErr w:type="spellStart"/>
            <w:r w:rsidRPr="00270060">
              <w:rPr>
                <w:rFonts w:ascii="Aptos" w:eastAsia="Times New Roman" w:hAnsi="Aptos" w:cs="Times New Roman"/>
                <w:color w:val="000000" w:themeColor="text1"/>
                <w:sz w:val="22"/>
                <w:szCs w:val="22"/>
                <w:lang w:eastAsia="en-GB"/>
              </w:rPr>
              <w:t>Mmuo</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{"citationID":"REpSJTom","properties":{"formattedCitation":"\\super 38\\nosupersub{}","plainCitation":"38","noteIndex":0},"citationItems":[{"id":922,"uris":["http://zotero.org/users/14418362/items/DF98HVJM"],"itemData":{"id":922,"type":"article-journal","abstract":"OBJECTIVE: Extreme preterm infants are a growing population in neonatal intensive care units who carry a high mortality and morbidity. Multiple factors play a role in preterm birth, resulting in major impact on organogenesis leading to complications including bronchopulmonary dysplasia (BPD). The goal of this study was to identify biomarker signatures associated with prematurity and BPD., STUDY DESIGN: We analyzed miRNA and mRNA profiles in tracheal aspirates (TAs) from 55 infants receiving invasive mechanical ventilation. Twenty-eight infants were extremely preterm and diagnosed with BPD, and 27 were term babies receiving invasive mechanical ventilation for elective procedures., RESULT: We found 22 miRNAs and 33 genes differentially expressed (FDR &lt; 0.05) in TAs of extreme preterm infants with BPD vs. term babies without BPD. Pathway analysis showed associations with inflammatory response, cellular growth/proliferation, and tissue development., CONCLUSIONS: Specific mRNA-miRNA signatures in TAs may serve as biomarkers for BPD pathogenesis, a consequence of extreme prematurity.","archive":"Ovid MEDLINE(R) &lt;2021&gt;","container-title":"Journal of perinatology : official journal of the California Perinatal Association","DOI":"10.1038/s41372-020-00868-9","ISSN":"0743-8346","issue":"3","title":"Tracheal aspirate transcriptomic and miRNA signatures of extreme premature birth with bronchopulmonary dysplasia.","URL":"http://ovidsp.ovid.com/ovidweb.cgi?T=JS&amp;PAGE=reference&amp;D=med19&amp;NEWS=N&amp;AN=33177681","volume":"41","author":[{"family":"Oji-Mmuo","given":"Christiana N"},{"family":"Siddaiah","given":"Roopa"},{"family":"Montes","given":"Deborah T"},{"family":"Pham","given":"Melody A"},{"family":"Spear","given":"Debra"},{"family":"Donnelly","given":"Ann"},{"family":"Fuentes","given":"Nathalie"},{"family":"Imamura-Kawasawa","given":"Yuka"},{"family":"Howrylak","given":"Judie A"},{"family":"Thomas","given":"Neal J"},{"family":"Silveyra","given":"Patricia"}],"issued":{"date-parts":[["2021"]]}}}],"schema":"https://github.com/citation-style-language/schema/raw/master/csl-citation.json"}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38</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9A7D01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35E7A5D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12D17FF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AC3E3E4" w14:textId="77777777" w:rsidTr="00EB4257">
        <w:trPr>
          <w:trHeight w:val="320"/>
        </w:trPr>
        <w:tc>
          <w:tcPr>
            <w:tcW w:w="2410" w:type="dxa"/>
            <w:noWrap/>
            <w:vAlign w:val="center"/>
            <w:hideMark/>
          </w:tcPr>
          <w:p w14:paraId="1CA87E0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Pietrzyk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{"citationID":"sTfHoWy0","properties":{"formattedCitation":"\\super 39\\nosupersub{}","plainCitation":"39","noteIndex":0},"citationItems":[{"id":1723,"uris":["http://zotero.org/users/14418362/items/4P4GWIER"],"itemData":{"id":1723,"type":"article-journal","abstract":"RATIONALE: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39</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F6B7E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1F9834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1C2D8E9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and birth &lt;32 weeks GA</w:t>
            </w:r>
          </w:p>
        </w:tc>
      </w:tr>
      <w:tr w:rsidR="006323BF" w:rsidRPr="00270060" w14:paraId="0D439790" w14:textId="77777777" w:rsidTr="00EB4257">
        <w:trPr>
          <w:trHeight w:val="320"/>
        </w:trPr>
        <w:tc>
          <w:tcPr>
            <w:tcW w:w="2410" w:type="dxa"/>
            <w:noWrap/>
            <w:vAlign w:val="center"/>
            <w:hideMark/>
          </w:tcPr>
          <w:p w14:paraId="680A5BAC"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Siddaiah</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{"citationID":"IKFhNMVF","properties":{"formattedCitation":"\\super 40\\nosupersub{}","plainCitation":"40","noteIndex":0},"citationItems":[{"id":1779,"uris":["http://zotero.org/users/14418362/items/6MZWEIW6"],"itemData":{"id":1779,"type":"article-journal","abstract":"Pulmonary hypertension associated with bronchopulmonary dysplasia is a severe complication of preterm birth resulting in high mortality of up to 50% within the first 2 years of life. There is a direct relationship between bronchopulmonary dysplasia severity and incidence of associated pulmonary hypertension. However, it is challenging to clinically characterize severe bronchopulmonary dysplasia with and without pulmonary hypertension and there is need for better understanding of the two entities. Our main objective is to identify markers to help understand biological processes and characterize infants with pulmonary hypertension associated with bronchopulmonary dysplasia using tracheal aspirates. We conducted an unbiased multiomic analysis of tracheal aspirates via microRNA (miRNA) polymerase chain reaction arrays, RNA sequencing, and mass spectrometry proteomics in preterm infants with severe bronchopulmonary dysplasia with and without pulmonary hypertension (n = 46). Our pilot study analysis revealed 12 miRNAs (hsa-miR-29a, has-miR-542-3p, has-miR-624, has-miR-183, hsa-miR-501-3p, hsa-miR-101, hsa-miR-3131, hsa-miR-3683, hsa-miR-3193, hsa-miR-3672, hsa-miR-3128, and hsa-miR-1287), 6 transcripts (IL6, RPL35P5, HSD3B7, RNA5SP215, OR2A1-AS1, and RNVU1-19), and 5 proteins (CAPS, AAT, KRT5, SFTPB, and LGALS3BP) with significant differential expression in preterm infants with severe lung disease with pulmonary hypertension when compared with infants with severe lung disease but no pulmonary hypertension. Pathway analysis of the integrated multiomic expression signatures revealed NFkB, VEGF, SERPINA1, IL6, and ERK1/2 as target molecules and cellular development, cellular growth and proliferation, and cellular movement as key affected molecular functions. Our multiomic analysis of tracheal aspirates revealed a comprehensive thumbprint of miRNAs, mRNAs, and proteins that could help endotype infants with severe lung disease and pulmonary hypertension. Copyright © 2023 The Authors. Pulmonary Circulation published by John Wiley &amp; Sons Ltd on behalf of Pulmonary Vascular Research Institute.","archive":"Ovid MEDLINE(R) PubMed-not-MEDLINE &lt;2023&gt;","container-title":"Pulmonary circulation","DOI":"10.1002/pul2.12232","ISSN":"2045-8932","issue":"2","title":"Multiomics endotyping of preterm infants with bronchopulmonary dysplasia and pulmonary hypertension-A pilot study.","URL":"http://ovidsp.ovid.com/ovidweb.cgi?T=JS&amp;PAGE=reference&amp;D=pmnm8&amp;NEWS=N&amp;AN=37123538","volume":"13","author":[{"family":"Siddaiah","given":"Roopa"},{"family":"Oji-Mmuo","given":"Christiana"},{"family":"Aluquin","given":"Vincent P R"},{"family":"Kawasawa","given":"Yuka Imamura"},{"family":"Donnelly","given":"Ann"},{"family":"Rousselle","given":"Dustin"},{"family":"Fuentes","given":"Nathalie"},{"family":"Austin","given":"Eric D"},{"family":"Silveyra","given":"Patricia"}],"issued":{"date-parts":[["2023"]]}}}],"schema":"https://github.com/citation-style-language/schema/raw/master/csl-citation.json"}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40</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06BB80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6F7F45D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00A6778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6323BF" w:rsidRPr="00270060" w14:paraId="26E0A959" w14:textId="77777777" w:rsidTr="00EB4257">
        <w:trPr>
          <w:trHeight w:val="320"/>
        </w:trPr>
        <w:tc>
          <w:tcPr>
            <w:tcW w:w="2410" w:type="dxa"/>
            <w:noWrap/>
            <w:vAlign w:val="center"/>
            <w:hideMark/>
          </w:tcPr>
          <w:p w14:paraId="751A20E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Torgerson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{"citationID":"heGdvupT","properties":{"formattedCitation":"\\super 16\\nosupersub{}","plainCitation":"16","noteIndex":0},"citationItems":[{"id":19,"uris":["http://zotero.org/users/14418362/items/PJ6GGZD2"],"itemData":{"id":19,"type":"article-journal","abstract":"Bronchopulmonary dysplasia in premature infants is a common and often severe lung disease with long-term sequelae. A genetic component is suspected but not fully defined. We performed an ancestry and genome-wide association study to identify variants, genes, and pathways associated with survival without bronchopulmonary dysplasia in 387 high-risk infants treated with inhaled nitric oxide in the Trial of Late Surfactant study. Global African genetic ancestry was associated with increased survival without bronchopulmonary dysplasia among infants of maternal self-reported Hispanic white race/ethnicity [odds ratio (OR)</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4.5, P = 0.01]. Admixture mapping found suggestive outcome associations with local African ancestry at chromosome bands 18q21 and 10q22 among infants of maternal self-reported African-American race/ethnicity. For all infants, the top individual variant identified was within the intron of NBL1, which is expressed in midtrimester lung and is an antagonist of bone morphogenetic proteins ( rs372271081 , OR</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 xml:space="preserve">0.17, P = 7.4 × 10\n              −7\n              ). The protective allele of this variant was significantly associated with lower nitric oxide metabolites in the urine of non-Hispanic white infants ( P = 0.006), supporting a role in the racial differential response to nitric oxide. Interrogating genes upregulated in bronchopulmonary dysplasia lungs indicated association with variants in CCL18, a cytokine associated with fibrosis and interstitial lung disease, and pathway analyses implicated variation in genes involved in immune/inflammatory processes in response to infection and mechanical ventilation. Our results suggest that genetic variation related to lung development, drug metabolism, and immune response contribute to individual and racial/ethnic differences in respiratory outcomes following inhaled nitric oxide treatment of high-risk premature infants.","container-title":"American Journal of Physiology-Lung Cellular and Molecular Physiology","DOI":"10.1152/ajplung.00073.2018","ISSN":"1040-0605, 1522-1504","issue":"5","journalAbbreviation":"American Journal of Physiology-Lung Cellular and Molecular Physiology","language":"en","page":"L858-L869","source":"DOI.org (Crossref)","title":"Ancestry and genetic associations with bronchopulmonary dysplasia in preterm infants","URL":"https://www.physiology.org/doi/10.1152/ajplung.00073.2018","volume":"315","author":[{"family":"Torgerson","given":"Dara G."},{"family":"Ballard","given":"Philip L."},{"family":"Keller","given":"Roberta L."},{"family":"Oh","given":"Sam S."},{"family":"Huntsman","given":"Scott"},{"family":"Hu","given":"Donglei"},{"family":"Eng","given":"Celeste"},{"family":"Burchard","given":"Esteban G."},{"family":"Ballard","given":"Roberta A."},{"literal":"TOLSURF Study Group"}],"accessed":{"date-parts":[["2024",6,3]]},"issued":{"date-parts":[["2018",11,1]]}}}],"schema":"https://github.com/citation-style-language/schema/raw/master/csl-citation.json"}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6D9FC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3697E47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c>
          <w:tcPr>
            <w:tcW w:w="2836" w:type="dxa"/>
            <w:noWrap/>
            <w:vAlign w:val="center"/>
            <w:hideMark/>
          </w:tcPr>
          <w:p w14:paraId="7C24B27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432C6E25" w14:textId="77777777" w:rsidTr="00EB4257">
        <w:trPr>
          <w:trHeight w:val="320"/>
        </w:trPr>
        <w:tc>
          <w:tcPr>
            <w:tcW w:w="2410" w:type="dxa"/>
            <w:noWrap/>
            <w:vAlign w:val="center"/>
            <w:hideMark/>
          </w:tcPr>
          <w:p w14:paraId="13CD94E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Tsotakos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{"citationID":"PZjcS9Hu","properties":{"formattedCitation":"\\super 25\\nosupersub{}","plainCitation":"25","noteIndex":0},"citationItems":[{"id":1340,"uris":["http://zotero.org/users/14418362/items/BBHEMRU7"],"itemData":{"id":1340,"type":"article-journal","abstract":"INTRODUCTION: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25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0D50B2C"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181A80D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Cultured cells - A549</w:t>
            </w:r>
          </w:p>
        </w:tc>
        <w:tc>
          <w:tcPr>
            <w:tcW w:w="2836" w:type="dxa"/>
            <w:noWrap/>
            <w:vAlign w:val="center"/>
            <w:hideMark/>
          </w:tcPr>
          <w:p w14:paraId="4BCE44A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 - cultured cells</w:t>
            </w:r>
          </w:p>
        </w:tc>
      </w:tr>
      <w:tr w:rsidR="006323BF" w:rsidRPr="00270060" w14:paraId="70871942" w14:textId="77777777" w:rsidTr="00EB4257">
        <w:trPr>
          <w:trHeight w:val="320"/>
        </w:trPr>
        <w:tc>
          <w:tcPr>
            <w:tcW w:w="2410" w:type="dxa"/>
            <w:noWrap/>
            <w:vAlign w:val="center"/>
            <w:hideMark/>
          </w:tcPr>
          <w:p w14:paraId="1A8A531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Wang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{"citationID":"MefTnRxI","properties":{"formattedCitation":"\\super 14\\nosupersub{}","plainCitation":"14","noteIndex":0},"citationItems":[{"id":551,"uris":["http://zotero.org/users/14418362/items/7XRQX92N"],"itemData":{"id":551,"type":"article-journal","abstract":"OBJECTIVE:\n              Twin studies suggest that heritability of moderate-severe bronchopulmonary dysplasia (BPD) is 53% to 79%, we conducted a genome-wide association study (GWAS) to identify genetic variants associated with the risk for BPD.\n            \n            \n              METHODS:\n              The discovery GWAS was completed on 1726 very low birth weight infants (gestational age = 250–296/7 weeks) who had a minimum of 3 days of intermittent positive pressure ventilation and were in the hospital at 36 weeks’ postmenstrual age. At 36 weeks’ postmenstrual age, moderate-severe BPD cases (n = 899) were defined as requiring continuous supplemental oxygen, whereas controls (n = 827) inhaled room air. An additional 795 comparable infants (371 cases, 424 controls) were a replication population. Genomic DNA from case and control newborn screening bloodspots was used for the GWAS. The replication study interrogated single-nucleotide polymorphisms (SNPs) identified in the discovery GWAS and those within the HumanExome beadchip.\n            \n            \n              RESULTS:\n              Genotyping using genomic DNA was successful. We did not identify SNPs associated with BPD at the genome-wide significance level (5 × 10−8) and no SNP identified in previous studies reached statistical significance (Bonferroni-corrected P value threshold .0018). Pathway analyses were not informative.\n            \n            \n              CONCLUSIONS:\n              We did not identify genomic loci or pathways that account for the previously described heritability for BPD. Potential explanations include causal mutations that are genetic variants and were not assayed or are mapped to many distributed loci, inadequate sample size, race ethnicity of our study population, or case-control differences investigated are not attributable to underlying common genetic variation.","container-title":"Pediatrics","DOI":"10.1542/peds.2013-0533","ISSN":"0031-4005, 1098-4275","issue":"2","language":"en","page":"290-297","source":"DOI.org (Crossref)","title":"A Genome-Wide Association Study (GWAS) for Bronchopulmonary Dysplasia","URL":"https://publications.aap.org/pediatrics/article/132/2/290/31355/A-Genome-Wide-Association-Study-GWAS-for","volume":"132","author":[{"family":"Wang","given":"Hui"},{"family":"St. Julien","given":"Krystal R."},{"family":"Stevenson","given":"David K."},{"family":"Hoffmann","given":"Thomas J."},{"family":"Witte","given":"John S."},{"family":"Lazzeroni","given":"Laura C."},{"family":"Krasnow","given":"Mark A."},{"family":"Quaintance","given":"Cecele C."},{"family":"Oehlert","given":"John W."},{"family":"Jelliffe-Pawlowski","given":"Laura L."},{"family":"Gould","given":"Jeffrey B."},{"family":"Shaw","given":"Gary M."},{"family":"O’Brodovich","given":"Hugh M."}],"accessed":{"date-parts":[["2024",6,11]]},"issued":{"date-parts":[["2013",8,1]]}}}],"schema":"https://github.com/citation-style-language/schema/raw/master/csl-citation.json"}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7A358E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60974A5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270B1DE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48EE4F1" w14:textId="77777777" w:rsidTr="00EB4257">
        <w:trPr>
          <w:trHeight w:val="320"/>
        </w:trPr>
        <w:tc>
          <w:tcPr>
            <w:tcW w:w="2410" w:type="dxa"/>
            <w:noWrap/>
            <w:vAlign w:val="center"/>
            <w:hideMark/>
          </w:tcPr>
          <w:p w14:paraId="09E0D9DD" w14:textId="77777777" w:rsidR="006323BF" w:rsidRPr="00270060" w:rsidRDefault="006323BF" w:rsidP="00EB425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Windhorst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{"citationID":"nLUMzUe7","properties":{"formattedCitation":"\\super 41\\nosupersub{}","plainCitation":"41","noteIndex":0},"citationItems":[{"id":1780,"uris":["http://zotero.org/users/14418362/items/TDX9J3PC"],"itemData":{"id":1780,"type":"article-journal","abstract":"Introduction: Inflammation is a key driver of morbidity in the vulnerable preterm infant exposed to pre- and postnatal hazards and significantly contributes to chronic lung disease, i.e. bronchopulmonary dysplasia (BPD). However, the early changes in innate immunity associated with BPD development are incompletely understood., Methods: In very immature preterm infants below 32 weeks gestational age (GA; n=30 infants), monocyte subtypes were identified by Flow Cytometry at birth and throughout the postnatal course including intracellular TNF expression upon LPS stimulation. Complementing these measurements, cytokine end growth factor expression profiles (Luminex R xMAP R; n=110 infants) as well as gene expression profiles (CodeLinkTM Human I Bioarray; n=22) were characterized at birth., Results: The abundance of monocyte subtypes differed between preterm and term neonates at birth. Specifically, CD14++CD16+ (intermediate) monocytes demonstrated a dependency on PMA and elevated levels of nonclassical (CD14+CD16++) monocytes characterized preterm infants with developing BPD. Postnatally, lung injury was associated with an increase in intermediate monocytes, while high levels of nonclassical monocytes persisted. Both subtypes were revealed as the main source of intracellular TNF-alpha expression in the preterm infant. We identified a cytokine and growth factor expression profile in cord blood specimen of preterm infants with developing BPD that corresponded to the disease-dependent regulation of monocyte abundances. Multivariate modeling of protein profiles revealed FGF2, sIL-2 Ralpha, MCP-1, MIP1a, and TNF-alpha as predictors of BPD when considering GA. Transcriptome analysis demonstrated genes predicting BPD to be overrepresented in inflammatory pathways with increased disease severity characterized by the regulation of immune and defense response pathways and upstream regulator analysis confirmed TNF-alpha, interleukin (IL) -6, and interferon alpha as the highest activated cytokines in more severe disease. Whereas all BPD cases showed downstream activation of chemotaxis and activation of inflammatory response pathways, more severe cases were characterized by an additional activation of reactive oxygen species (ROS) synthesis., Discussion: In the present study, we identified the early postnatal presence of nonclassical (CD14+CD16++) and intermediate (CD14++CD16+) monocytes as a critical characteristic of BPD development including a specific response pattern of monocyte subtypes to lung injury. Pathophysiological insight was provided by the protein and transcriptome signature identified at birth, centered around monocyte and corresponding granulocyte activation and highlighting TNFalpha as a critical regulator in infants with developing BPD. The disease severity-dependent expression patterns could inform future diagnostic and treatment strategies targeting the monocytic cell and its progeny. Copyright © 2023 Windhorst, Heydarian, Schwarz, Oak, Forster, Frankenberger, Gonzalez Rodriguez, Zhang, Ehrhardt, Hubener, Flemmer, Hossain, Stoeger, Schulz and Hilgendorff.","archive":"Ovid MEDLINE(R) &lt;2023&gt;","container-title":"Frontiers in immunology","DOI":"10.3389/fimmu.2023.1112608","ISSN":"1664-3224","title":"Monocyte signature as a predictor of chronic lung disease in the preterm infant.","URL":"http://ovidsp.ovid.com/ovidweb.cgi?T=JS&amp;PAGE=reference&amp;D=med23&amp;NEWS=N&amp;AN=37090732","volume":"14","author":[{"family":"Windhorst","given":"Anita C"},{"family":"Heydarian","given":"Motaharehsadat"},{"family":"Schwarz","given":"Maren"},{"family":"Oak","given":"Prajakta"},{"family":"Forster","given":"Kai"},{"family":"Frankenberger","given":"Marion"},{"family":"Gonzalez Rodriguez","given":"Erika"},{"family":"Zhang","given":"Xin"},{"family":"Ehrhardt","given":"Harald"},{"family":"Hubener","given":"Christoph"},{"family":"Flemmer","given":"Andreas W"},{"family":"Hossain","given":"Hamid"},{"family":"Stoeger","given":"Tobias"},{"family":"Schulz","given":"Christian"},{"family":"Hilgendorff","given":"Anne"}],"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41</w:t>
            </w:r>
            <w:r w:rsidRPr="00270060">
              <w:rPr>
                <w:rFonts w:ascii="Aptos" w:eastAsia="Times New Roman" w:hAnsi="Aptos" w:cs="Times New Roman"/>
                <w:i/>
                <w:iCs/>
                <w:color w:val="000000" w:themeColor="text1"/>
                <w:sz w:val="22"/>
                <w:szCs w:val="22"/>
                <w:lang w:eastAsia="en-GB"/>
              </w:rPr>
              <w:fldChar w:fldCharType="end"/>
            </w:r>
          </w:p>
          <w:p w14:paraId="1212A185" w14:textId="77777777" w:rsidR="006323BF" w:rsidRPr="00270060" w:rsidRDefault="006323BF" w:rsidP="00EB4257">
            <w:pPr>
              <w:rPr>
                <w:rFonts w:ascii="Aptos" w:eastAsia="Times New Roman" w:hAnsi="Aptos" w:cs="Times New Roman"/>
                <w:color w:val="000000" w:themeColor="text1"/>
                <w:sz w:val="22"/>
                <w:szCs w:val="22"/>
                <w:lang w:eastAsia="en-GB"/>
              </w:rPr>
            </w:pPr>
          </w:p>
        </w:tc>
        <w:tc>
          <w:tcPr>
            <w:tcW w:w="1831" w:type="dxa"/>
            <w:noWrap/>
            <w:vAlign w:val="center"/>
            <w:hideMark/>
          </w:tcPr>
          <w:p w14:paraId="6FCB219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5ED37EA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72ADE74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O2 &gt;21% for 28 days by 36 weeks </w:t>
            </w:r>
          </w:p>
        </w:tc>
      </w:tr>
      <w:tr w:rsidR="006323BF" w:rsidRPr="00270060" w14:paraId="761DEF5F" w14:textId="77777777" w:rsidTr="00EB4257">
        <w:trPr>
          <w:trHeight w:val="320"/>
        </w:trPr>
        <w:tc>
          <w:tcPr>
            <w:tcW w:w="2410" w:type="dxa"/>
            <w:noWrap/>
            <w:vAlign w:val="center"/>
            <w:hideMark/>
          </w:tcPr>
          <w:p w14:paraId="48F1AA1F" w14:textId="77777777" w:rsidR="006323BF" w:rsidRPr="00270060" w:rsidRDefault="006323BF" w:rsidP="00EB4257">
            <w:pPr>
              <w:rPr>
                <w:rFonts w:ascii="Aptos" w:eastAsia="Times New Roman" w:hAnsi="Aptos" w:cs="Times New Roman"/>
                <w:i/>
                <w:iCs/>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Yuon</w:t>
            </w:r>
            <w:proofErr w:type="spellEnd"/>
            <w:r w:rsidRPr="00270060">
              <w:rPr>
                <w:rFonts w:ascii="Aptos" w:eastAsia="Times New Roman" w:hAnsi="Aptos" w:cs="Times New Roman"/>
                <w:color w:val="000000" w:themeColor="text1"/>
                <w:sz w:val="22"/>
                <w:szCs w:val="22"/>
                <w:lang w:eastAsia="en-GB"/>
              </w:rPr>
              <w:t xml:space="preserve"> Chou </w:t>
            </w:r>
            <w:r w:rsidRPr="00270060">
              <w:rPr>
                <w:rFonts w:ascii="Aptos" w:eastAsia="Times New Roman" w:hAnsi="Aptos" w:cs="Times New Roman"/>
                <w:i/>
                <w:iCs/>
                <w:color w:val="000000" w:themeColor="text1"/>
                <w:sz w:val="22"/>
                <w:szCs w:val="22"/>
                <w:lang w:eastAsia="en-GB"/>
              </w:rPr>
              <w:t xml:space="preserve">et al., </w:t>
            </w:r>
          </w:p>
        </w:tc>
        <w:tc>
          <w:tcPr>
            <w:tcW w:w="1831" w:type="dxa"/>
            <w:noWrap/>
            <w:vAlign w:val="center"/>
            <w:hideMark/>
          </w:tcPr>
          <w:p w14:paraId="7A18466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10526AF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44DD3A9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4AEDBAC" w14:textId="77777777" w:rsidTr="00EB4257">
        <w:trPr>
          <w:trHeight w:val="320"/>
        </w:trPr>
        <w:tc>
          <w:tcPr>
            <w:tcW w:w="2410" w:type="dxa"/>
            <w:noWrap/>
            <w:vAlign w:val="center"/>
            <w:hideMark/>
          </w:tcPr>
          <w:p w14:paraId="7575100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Zasada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{"citationID":"55vS98tB","properties":{"formattedCitation":"\\super 42\\nosupersub{}","plainCitation":"42","noteIndex":0},"citationItems":[{"id":1729,"uris":["http://zotero.org/users/14418362/items/C9BAGZJM"],"itemData":{"id":1729,"type":"article-journal","abstract":"BACKGROUND: In this study, we aimed to analyze differences in plasma protein abundances between infants with and without bronchopulmonary dysplasia (BPD), to add new insights into a better understanding of the pathogenesis of this disease., METHODS: Cord and peripheral blood of neonates (&lt;= 30 weeks gestational age) was drawn at birth and at the 36th postmenstrual week (36 PMA), respectively. Blood samples were retrospectively subdivided into BPD(+) and BPD(-) groups, according to the development of BPD., RESULTS: Children with BPD were characterized by decreased afamin, gelsolin and carboxypeptidase N subunit 2 levels in cord blood, and decreased galectin-3 binding protein and hemoglobin subunit gamma-1 levels, as well as an increased serotransferrin abundance in plasma at the 36 PMA., CONCLUSIONS: BPD development is associated with the plasma proteome changes in preterm infants, adding further evidence for the possible involvement of disturbances in vitamin E availability and impaired immunological processes in the progression of prematurity pulmonary complications. Moreover, it also points to the differences in proteins related to infection resistance and maintaining an adequate level of hematocrit in infants diagnosed with BPD.","archive":"Ovid MEDLINE(R) &lt;2019&gt;","container-title":"Italian journal of pediatrics","DOI":"10.1186/s13052-019-0676-0","ISSN":"1720-8424","issue":"1","title":"Comparative two time-point proteome analysis of the plasma from preterm infants with and without bronchopulmonary dysplasia.","URL":"http://ovidsp.ovid.com/ovidweb.cgi?T=JS&amp;PAGE=reference&amp;D=med16&amp;NEWS=N&amp;AN=31445514","volume":"45","author":[{"family":"Zasada","given":"Magdalena"},{"family":"Suski","given":"Maciej"},{"family":"Bokiniec","given":"Renata"},{"family":"Szwarc-Duma","given":"Monika"},{"family":"Borszewska-Kornacka","given":"Maria Katarzyna"},{"family":"Madej","given":"Jozef"},{"family":"Bujak-Gizycka","given":"Beata"},{"family":"Madetko-Talowska","given":"Anna"},{"family":"Revhaug","given":"Cecilie"},{"family":"Baumbusch","given":"Lars O"},{"family":"Saugstad","given":"Ola D"},{"family":"Pietrzyk","given":"Jacek Jozef"},{"family":"Kwinta","given":"Przemko"}],"issued":{"date-parts":[["2019"]]}}}],"schema":"https://github.com/citation-style-language/schema/raw/master/csl-citation.json"}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6F430B6"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00FD861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190D0CC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bl>
    <w:p w14:paraId="632E241F" w14:textId="77777777" w:rsidR="006323BF" w:rsidRPr="00270060" w:rsidRDefault="006323BF" w:rsidP="006323BF">
      <w:pPr>
        <w:rPr>
          <w:color w:val="000000" w:themeColor="text1"/>
        </w:rPr>
      </w:pPr>
    </w:p>
    <w:p w14:paraId="7C2C9828" w14:textId="77777777" w:rsidR="006323BF" w:rsidRPr="00270060" w:rsidRDefault="006323BF" w:rsidP="006323BF">
      <w:pPr>
        <w:rPr>
          <w:color w:val="000000" w:themeColor="text1"/>
          <w:sz w:val="20"/>
          <w:szCs w:val="20"/>
        </w:rPr>
      </w:pPr>
      <w:r w:rsidRPr="00270060">
        <w:rPr>
          <w:b/>
          <w:bCs/>
          <w:color w:val="000000" w:themeColor="text1"/>
          <w:sz w:val="20"/>
          <w:szCs w:val="20"/>
        </w:rPr>
        <w:t>Table 1: Characteristics of studies included in Human BPD MAIC analysis</w:t>
      </w:r>
      <w:r w:rsidRPr="00270060">
        <w:rPr>
          <w:color w:val="000000" w:themeColor="text1"/>
          <w:sz w:val="20"/>
          <w:szCs w:val="20"/>
        </w:rPr>
        <w:t xml:space="preserve">. UCB = Umbilical Cord Blood. GA = Gestational age. Resp. Supp = Respiratory support. Oral = Oral mucosa. </w:t>
      </w:r>
    </w:p>
    <w:p w14:paraId="55D6256D" w14:textId="77777777" w:rsidR="006323BF" w:rsidRPr="00270060" w:rsidRDefault="006323BF" w:rsidP="006323BF">
      <w:pPr>
        <w:spacing w:line="480" w:lineRule="auto"/>
        <w:jc w:val="both"/>
        <w:rPr>
          <w:i/>
          <w:iCs/>
          <w:color w:val="000000" w:themeColor="text1"/>
          <w:sz w:val="22"/>
          <w:szCs w:val="22"/>
        </w:rPr>
      </w:pPr>
    </w:p>
    <w:p w14:paraId="0C35124A" w14:textId="594BFE4B" w:rsidR="006323BF" w:rsidRPr="00270060" w:rsidRDefault="006323BF" w:rsidP="006323BF">
      <w:pPr>
        <w:spacing w:line="480" w:lineRule="auto"/>
        <w:jc w:val="both"/>
        <w:rPr>
          <w:color w:val="000000" w:themeColor="text1"/>
          <w:sz w:val="22"/>
          <w:szCs w:val="22"/>
        </w:rPr>
      </w:pPr>
    </w:p>
    <w:p w14:paraId="4B950724" w14:textId="77777777" w:rsidR="006323BF" w:rsidRPr="00270060" w:rsidRDefault="006323BF" w:rsidP="006323BF">
      <w:pPr>
        <w:spacing w:line="480" w:lineRule="auto"/>
        <w:jc w:val="both"/>
        <w:rPr>
          <w:color w:val="000000" w:themeColor="text1"/>
          <w:sz w:val="22"/>
          <w:szCs w:val="22"/>
        </w:rPr>
      </w:pPr>
      <w:r w:rsidRPr="00270060">
        <w:rPr>
          <w:color w:val="000000" w:themeColor="text1"/>
        </w:rPr>
        <w:br w:type="column"/>
      </w:r>
    </w:p>
    <w:tbl>
      <w:tblPr>
        <w:tblW w:w="90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417"/>
        <w:gridCol w:w="1185"/>
        <w:gridCol w:w="1367"/>
        <w:gridCol w:w="1701"/>
      </w:tblGrid>
      <w:tr w:rsidR="006323BF" w:rsidRPr="00270060" w14:paraId="3CAAF41F" w14:textId="77777777" w:rsidTr="00EB4257">
        <w:trPr>
          <w:trHeight w:val="320"/>
        </w:trPr>
        <w:tc>
          <w:tcPr>
            <w:tcW w:w="9073" w:type="dxa"/>
            <w:gridSpan w:val="5"/>
            <w:shd w:val="clear" w:color="auto" w:fill="E8E8E8" w:themeFill="background2"/>
            <w:noWrap/>
            <w:vAlign w:val="bottom"/>
          </w:tcPr>
          <w:p w14:paraId="2F3FC666"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2</w:t>
            </w:r>
          </w:p>
        </w:tc>
      </w:tr>
      <w:tr w:rsidR="006323BF" w:rsidRPr="00270060" w14:paraId="3A1A834C" w14:textId="77777777" w:rsidTr="00EB4257">
        <w:trPr>
          <w:trHeight w:val="320"/>
        </w:trPr>
        <w:tc>
          <w:tcPr>
            <w:tcW w:w="3403" w:type="dxa"/>
            <w:shd w:val="clear" w:color="auto" w:fill="E8E8E8" w:themeFill="background2"/>
            <w:noWrap/>
            <w:vAlign w:val="bottom"/>
            <w:hideMark/>
          </w:tcPr>
          <w:p w14:paraId="05642487"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417" w:type="dxa"/>
            <w:shd w:val="clear" w:color="auto" w:fill="E8E8E8" w:themeFill="background2"/>
            <w:noWrap/>
            <w:vAlign w:val="bottom"/>
            <w:hideMark/>
          </w:tcPr>
          <w:p w14:paraId="6DDA0BA8"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185" w:type="dxa"/>
            <w:shd w:val="clear" w:color="auto" w:fill="E8E8E8" w:themeFill="background2"/>
            <w:noWrap/>
            <w:vAlign w:val="bottom"/>
            <w:hideMark/>
          </w:tcPr>
          <w:p w14:paraId="60FE2A35"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Animal</w:t>
            </w:r>
          </w:p>
        </w:tc>
        <w:tc>
          <w:tcPr>
            <w:tcW w:w="1367" w:type="dxa"/>
            <w:shd w:val="clear" w:color="auto" w:fill="E8E8E8" w:themeFill="background2"/>
            <w:noWrap/>
            <w:vAlign w:val="bottom"/>
            <w:hideMark/>
          </w:tcPr>
          <w:p w14:paraId="11A62EF7"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1701" w:type="dxa"/>
            <w:shd w:val="clear" w:color="auto" w:fill="E8E8E8" w:themeFill="background2"/>
            <w:noWrap/>
            <w:vAlign w:val="bottom"/>
            <w:hideMark/>
          </w:tcPr>
          <w:p w14:paraId="2F6468F0"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Method</w:t>
            </w:r>
          </w:p>
        </w:tc>
      </w:tr>
      <w:tr w:rsidR="006323BF" w:rsidRPr="00270060" w14:paraId="7872B0C9" w14:textId="77777777" w:rsidTr="00EB4257">
        <w:trPr>
          <w:trHeight w:val="320"/>
        </w:trPr>
        <w:tc>
          <w:tcPr>
            <w:tcW w:w="3403" w:type="dxa"/>
            <w:noWrap/>
            <w:vAlign w:val="bottom"/>
            <w:hideMark/>
          </w:tcPr>
          <w:p w14:paraId="262BD8B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Al </w:t>
            </w:r>
            <w:proofErr w:type="spellStart"/>
            <w:r w:rsidRPr="00270060">
              <w:rPr>
                <w:rFonts w:ascii="Aptos" w:eastAsia="Times New Roman" w:hAnsi="Aptos" w:cs="Times New Roman"/>
                <w:color w:val="000000" w:themeColor="text1"/>
                <w:sz w:val="22"/>
                <w:szCs w:val="22"/>
                <w:lang w:eastAsia="en-GB"/>
              </w:rPr>
              <w:t>Mudares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{"citationID":"KnufzNWc","properties":{"formattedCitation":"\\super 44\\nosupersub{}","plainCitation":"44","noteIndex":0},"citationItems":[{"id":1823,"uris":["http://zotero.org/users/14418362/items/GU4Y38RU"],"itemData":{"id":1823,"type":"article-journal","abstract":"Growth differentiation factor 15 (GDF15) is a divergent member of the transforming growth factor-beta (TGF-beta) superfamily, and its expression increases under various stress conditions, including inflammation, hyperoxia, and senescence. GDF15 expression is increased in neonatal murine bronchopulmonary dysplasia (BPD) models, and GDF15 loss exacerbates oxidative stress and decreases cellular viability in vitro. Our overall hypothesis is that the loss of GDF15 will exacerbate hyperoxic lung injury in the neonatal lung in vivo. We exposed neonatal Gdf15-/- mice and wild-type (WT) controls on a similar background to room air or hyperoxia (95% [Formula: see text]) for 5 days after birth. The mice were euthanized on postnatal day 21 (PND 21). Gdf15-/- mice had higher mortality and lower body weight than WT mice after exposure to hyperoxia. Hyperoxia exposure adversely impacted alveolarization and lung vascular development, with a greater impact in Gdf15-/- mice. Interestingly, Gdf15-/- mice showed lower macrophage count in the lungs compared with WT mice both under room air and after exposure to hyperoxia. Analysis of the lung transcriptome revealed marked divergence in gene expression and enriched biological pathways in WT and Gdf15-/- mice and differed markedly by biological sex. Notably, pathways related to macrophage activation and myeloid cell homeostasis were negatively enriched in Gdf15-/- mice. Loss of Gdf15 exacerbates mortality, lung injury, and the phenotype of the arrest of alveolarization in the developing lung with loss of female-sex advantage in Gdf15-/- mice. NEW &amp; NOTEWORTHY We show for the first time that loss of Gdf15 exacerbates mortality, lung injury, and the phenotype of the arrest of alveolarization in the developing lung with loss of female-sex advantage in Gdf15-/- mice. We also highlight the distinct pulmonary transcriptomic response in the Gdf15-/- lung including pathways related to macrophage recruitment and activation.","archive":"Ovid MEDLINE(R) &lt;2023 to 2024&gt;","container-title":"American journal of physiology. Lung cellular and molecular physiology","DOI":"10.1152/ajplung.00086.2023","ISSN":"1040-0605","issue":"3","title":"Loss of growth differentiation factor 15 exacerbates lung injury in neonatal mice.","URL":"http://ovidsp.ovid.com/ovidweb.cgi?T=JS&amp;PAGE=reference&amp;D=med24&amp;NEWS=N&amp;AN=37368978","volume":"325","author":[{"family":"Al-Mudares","given":"Faeq"},{"family":"Cantu Gutierrez","given":"Manuel"},{"family":"Cantu","given":"Abiud"},{"family":"Jiang","given":"Weiwu"},{"family":"Wang","given":"Lihua"},{"family":"Dong","given":"Xiaoyu"},{"family":"Moorthy","given":"Bhagavatula"},{"family":"Sajti","given":"Eniko"},{"family":"Lingappan","given":"Krithik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44</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B25EA1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891D5E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DC9158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64CB96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CDEAEDB" w14:textId="77777777" w:rsidTr="00EB4257">
        <w:trPr>
          <w:trHeight w:val="320"/>
        </w:trPr>
        <w:tc>
          <w:tcPr>
            <w:tcW w:w="3403" w:type="dxa"/>
            <w:noWrap/>
            <w:vAlign w:val="bottom"/>
            <w:hideMark/>
          </w:tcPr>
          <w:p w14:paraId="62F50AB9" w14:textId="77777777" w:rsidR="006323BF" w:rsidRPr="00270060" w:rsidRDefault="006323BF" w:rsidP="00EB425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{"citationID":"bv83ZRpQ","properties":{"formattedCitation":"\\super 45\\nosupersub{}","plainCitation":"45","noteIndex":0},"citationItems":[{"id":975,"uris":["http://zotero.org/users/14418362/items/JL2C3AXR"],"itemData":{"id":975,"type":"article-journal","abstract":"Bronchopulmonary dysplasia (BPD) is a common complication of premature birth that seriously affects the survival rate and quality of life among preterm neonates. Long non-coding RNAs (lncRNAs) have been implicated in many human diseases. However, the role of lncRNAs in the pathogenesis of BPD remains poorly understood. Here, we exposed neonatal C57BL/6J mice to 95% concentrations of ambient oxygen and established a mouse lung injury model that mimicked human BPD. Next, we compared lncRNA and messenger RNA (mRNA) expression profiles between BPD and normal lung tissues using a high-throughput mouse lncRNA + mRNA array system. Compared with the control group, 882 lncRNAs were upregulated, and 887 lncRNAs were downregulated in BPD lung tissues. We validated some candidate BPD-associated lncRNAs by real-time quantitative reverse-transcription polymerase chain reaction analysis in eight pairs of BPD and normal lung tissues. Gene ontology, pathway and bioinformatics analyses revealed that a downregulated lncRNA, namely AK033210, associated with tenascin C may be involved in the pathogenesis of BPD. To the best of our knowledge, our study is the first to reveal differential lncRNA expression in BPD, which provides a foundation for further understanding of the molecular mechanism of BPD development. Copyright © 2016 John Wiley &amp; Sons, Ltd. Copyright © 2016 John Wiley &amp; Sons, Ltd.","archive":"Ovid MEDLINE(R) &lt;2016&gt;","container-title":"Cell biochemistry and function","DOI":"10.1002/cbf.3190","ISSN":"0263-6484","issue":"5","title":"Differential expression of long non-coding RNAs in hyperoxia-induced bronchopulmonary dysplasia.","URL":"http://ovidsp.ovid.com/ovidweb.cgi?T=JS&amp;PAGE=reference&amp;D=med13&amp;NEWS=N&amp;AN=27137150","volume":"34","author":[{"family":"Bao","given":"Tian-Ping"},{"family":"Wu","given":"Rong"},{"family":"Cheng","given":"Huai-Ping"},{"family":"Cui","given":"Xian-Wei"},{"family":"Tian","given":"Zhao-Fang"}],"issued":{"date-parts":[["2016"]]}}}],"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45</w:t>
            </w:r>
            <w:r w:rsidRPr="00270060">
              <w:rPr>
                <w:rFonts w:ascii="Aptos" w:eastAsia="Times New Roman" w:hAnsi="Aptos" w:cs="Times New Roman"/>
                <w:i/>
                <w:iCs/>
                <w:color w:val="000000" w:themeColor="text1"/>
                <w:sz w:val="22"/>
                <w:szCs w:val="22"/>
                <w:lang w:eastAsia="en-GB"/>
              </w:rPr>
              <w:fldChar w:fldCharType="end"/>
            </w:r>
          </w:p>
          <w:p w14:paraId="6DA95736" w14:textId="77777777" w:rsidR="006323BF" w:rsidRPr="00270060" w:rsidRDefault="006323BF" w:rsidP="00EB4257">
            <w:pPr>
              <w:rPr>
                <w:rFonts w:ascii="Aptos" w:eastAsia="Times New Roman" w:hAnsi="Aptos" w:cs="Times New Roman"/>
                <w:color w:val="000000" w:themeColor="text1"/>
                <w:sz w:val="22"/>
                <w:szCs w:val="22"/>
                <w:lang w:eastAsia="en-GB"/>
              </w:rPr>
            </w:pPr>
          </w:p>
        </w:tc>
        <w:tc>
          <w:tcPr>
            <w:tcW w:w="1417" w:type="dxa"/>
            <w:noWrap/>
            <w:vAlign w:val="bottom"/>
            <w:hideMark/>
          </w:tcPr>
          <w:p w14:paraId="1483A41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1939AD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4C5410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E5CE58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14913B6" w14:textId="77777777" w:rsidTr="00EB4257">
        <w:trPr>
          <w:trHeight w:val="320"/>
        </w:trPr>
        <w:tc>
          <w:tcPr>
            <w:tcW w:w="3403" w:type="dxa"/>
            <w:noWrap/>
            <w:vAlign w:val="bottom"/>
            <w:hideMark/>
          </w:tcPr>
          <w:p w14:paraId="45E6EB9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Bhaskaran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{"citationID":"QX5mJ8Ei","properties":{"formattedCitation":"\\super 46\\nosupersub{}","plainCitation":"46","noteIndex":0},"citationItems":[{"id":1800,"uris":["http://zotero.org/users/14418362/items/7LNL3A7M"],"itemData":{"id":1800,"type":"article-journal","abstract":"Bronchopulmonary dysplasia (BPD) is a multifactorial chronic lung disease of premature infants. BPD can be attributed to the dysregulation of normal lung development due to ventilation and oxygen toxicity, resulting in pathologic complications of impaired alveolarization and vascularization. MicroRNAs (miRNA) are small noncoding RNAs that regulate gene expression posttranscriptionally and are implicated in diverse biological processes and diseases. The objectives of this study are to identify the changed miRNAs and their target genes in neonatal rat lungs in response to hyperoxia exposure. Using miRNA microarray and real-time PCR analyses, we found downregulation of five miRNAs, miR-342, miR-335, miR-150, miR-126*, and miR-151*, and upregulation of two miRNAs, miR-21 and miR-34a. Some of these miRNAs had the highest expression during embryonic and early postnatal development. DNA microarray analysis yielded several genes with conserved binding sites for these altered miRNAs. Glycoprotein nonmetastatic melanoma protein b (GPNMB) was experimentally verified as a target of miR-150. In summary, we identified seven miRNAs that were changed in hyperoxia-exposed neonatal lungs. These results provide a basis for deciphering the mechanisms involved in the spatial and temporal regulation of proteins that contribute to the pathogenesis of BPD.","archive":"Ovid MEDLINE(R) &lt;2012&gt;","container-title":"Physiological genomics","DOI":"10.1152/physiolgenomics.00145.2011","ISSN":"1094-8341","issue":"20","title":"Identification of microRNAs changed in the neonatal lungs in response to hyperoxia exposure.","URL":"http://ovidsp.ovid.com/ovidweb.cgi?T=JS&amp;PAGE=reference&amp;D=med9&amp;NEWS=N&amp;AN=22911455","volume":"44","author":[{"family":"Bhaskaran","given":"Manoj"},{"family":"Xi","given":"Dong"},{"family":"Wang","given":"Yang"},{"family":"Huang","given":"Chaoqun"},{"family":"Narasaraju","given":"Telugu"},{"family":"Shu","given":"Weiqun"},{"family":"Zhao","given":"Chunling"},{"family":"Xiao","given":"Xiao"},{"family":"More","given":"Sunil"},{"family":"Breshears","given":"Melanie"},{"family":"Liu","given":"Li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46</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46E8C62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6B06151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363EE2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BB4C72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011ECC3F" w14:textId="77777777" w:rsidTr="00EB4257">
        <w:trPr>
          <w:trHeight w:val="320"/>
        </w:trPr>
        <w:tc>
          <w:tcPr>
            <w:tcW w:w="3403" w:type="dxa"/>
            <w:noWrap/>
            <w:vAlign w:val="bottom"/>
            <w:hideMark/>
          </w:tcPr>
          <w:p w14:paraId="5B86003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{"citationID":"XtbUktFt","properties":{"formattedCitation":"\\super 30\\nosupersub{}","plainCitation":"30","noteIndex":0},"citationItems":[{"id":1650,"uris":["http://zotero.org/users/14418362/items/ZIF332JW"],"itemData":{"id":1650,"type":"article-journal","abstract":"Many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30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EC30251"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5A3CAA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455942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4220D88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54A5B45E" w14:textId="77777777" w:rsidTr="00EB4257">
        <w:trPr>
          <w:trHeight w:val="320"/>
        </w:trPr>
        <w:tc>
          <w:tcPr>
            <w:tcW w:w="3403" w:type="dxa"/>
            <w:noWrap/>
            <w:vAlign w:val="bottom"/>
            <w:hideMark/>
          </w:tcPr>
          <w:p w14:paraId="158E384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{"citationID":"iGxjo3SJ","properties":{"formattedCitation":"\\super 47\\nosupersub{}","plainCitation":"47","noteIndex":0},"citationItems":[{"id":1908,"uris":["http://zotero.org/users/14418362/items/U6TUMJ23"],"itemData":{"id":1908,"type":"report","abstract":"Background Inflammation-induced FGF10 protein deficiency is associated with bronchopulmonary dysplasia (BPD), a chronic lung disease of prematurely born infants characterized by arrested alveolar development. So far, experimental evidence for a direct role of FGF10 in BPD is lacking. Methods and Results Using the hyperoxia-induced neonatal lung injury as a mouse model of BPD, the impact of Fgf10 deficiency in Fgf10(+/-) vs. Fgf10(+/+) pups was investigated. In normoxia, no lethality of Fgf10(+/+) and Fgf10(+/-) pups is observed. By contrast, 100% of Fgf10(+/-) pups died within 8 days of hyperoxic injury, with lethality starting at day 5, while Fgf10(+/+) pups were all alive. Lungs of pups from the two genotypes were collected on postnatal day 3 following normoxia or hyperoxia exposure for further analysis. In hyperoxia, Fgf10(+/-) lungs exhibited increased hypoalveolarization. Analysis by FACS of the Fgf10(+/-) vs. control lungs in normoxia, revealed decreased alveolar epithelial type II (AECII) cells over total EpCAM-positive cells ratio. In addition, gene array analysis indicated reduced AECII and increased AECI transcriptomic signatures in isolated AECII cells from Fgf10(+/-) lungs. Such imbalance in differentiation is also seen in hyperoxia and associated with reduced mature surfactant protein B and C expression. Attenuation of FGFR2b ligands activity postnatally in the context of hyperoxia also leads to increased lethality with decreased surfactant expression. Conclusions Fgf10 deficiency affects quantitatively and qualitatively the formation of AECII cells. In addition, FGFR2b ligands (including FGF10) are also important for repair after hyperoxia exposure in neonates. Deficient AECII cells could be an additional complication for patients with BPD.","collection-title":"Molecular and Cellular Pediatrics","note":"issue: Supplement 1\nvolume: 4\nDOI: 10.1186/s40348-017-0071-0","number":"2194-7791","title":"Fgf10 deficiency leads to disturbed formation of alveolar epithelial cell type II (AEC II) which causes lethality in a mouse model of bronchopulmonary dysplasia","URL":"http://ovidsp.ovid.com/ovidweb.cgi?T=JS&amp;PAGE=reference&amp;D=emed18&amp;NEWS=N&amp;AN=616934541","author":[{"literal":"Chao C.-M."},{"literal":"Yahya F."},{"literal":"Moiseenko A."},{"literal":"Shrestha A."},{"literal":"Ahmadvand N."},{"literal":"Quantius J."},{"literal":"Wilhelm J."},{"literal":"El-Agha E."},{"literal":"Zimmer K.-P."},{"literal":"Bellusci S."}],"issued":{"date-parts":[["2017"]]}}}],"schema":"https://github.com/citation-style-language/schema/raw/master/csl-citation.json"}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C118F6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18B81E3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A6B8BA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3AD9E7F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6D72452" w14:textId="77777777" w:rsidTr="00EB4257">
        <w:trPr>
          <w:trHeight w:val="320"/>
        </w:trPr>
        <w:tc>
          <w:tcPr>
            <w:tcW w:w="3403" w:type="dxa"/>
            <w:noWrap/>
            <w:vAlign w:val="bottom"/>
            <w:hideMark/>
          </w:tcPr>
          <w:p w14:paraId="740563B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{"citationID":"LAf4LQ4v","properties":{"formattedCitation":"\\super 48\\nosupersub{}","plainCitation":"48","noteIndex":0},"citationItems":[{"id":688,"uris":["http://zotero.org/users/14418362/items/JCNSH2N7"],"itemData":{"id":688,"type":"article-journal","abstract":"OBJECTIVE: To investigate the expressions of thyroid transcription factor-1 (TTF-1), the type II alveolar epithelial cells (AECII)-specific marker, and vimentin, the fibroblast-specific marker, in the lungs of neonatal mice with bronchopulmonary dysplasia (BPD) and explore the pathogenesis of BPD., METHODS: Neonatal mice were exposed to hyperoxia to induce BPD, and pathological changes in the lung tissues were examined. At 3, 7, 14 and 21 days after the exposure, the protein and mRNA expressions of TTF-1 and vimentin were detected by double-labeled immunofluorescence assay and real-time PCR, respectively., RESULTS: Compared with the neonatal mice exposed in normal air, those with hyperoxic exposure showed developmental disorders and collagen deposition in the lung tissues. The protein expression of TTF-1 decreased while vimentin expression increased in the lung tissues, where their co-expression was observed at 14 and 21 days after the exposure. TTF-1 mRNA expression decreased markedly (P&lt;0.05) and vimentin mRNA increased significantly in the lung tissues at 21 days after hyperoxic exposure of the mice (P&lt;0.05)., CONCLUSION: Hyperoxia-induced transition of AECII to fibroblasts may play an important role in pulmonary fibrosis in neonatal mice with BPD.","archive":"Ovid MEDLINE(R) &lt;2012&gt;","container-title":"Nan fang yi ke da xue xue bao = Journal of Southern Medical University","ISSN":"1673-4254","issue":"8","title":"[Expression of thyroid transcription factor-1 and vimentin in neonatal mice with bronchopulmonary dysplasia].","URL":"http://ovidsp.ovid.com/ovidweb.cgi?T=JS&amp;PAGE=reference&amp;D=med9&amp;NEWS=N&amp;AN=22931601","volume":"32","author":[{"family":"Chen","given":"Kun"},{"family":"Jiang","given":"Pu"},{"family":"Deng","given":"Shixiong"},{"family":"Wang","given":"Nia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DCF876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DNA Methylation</w:t>
            </w:r>
          </w:p>
        </w:tc>
        <w:tc>
          <w:tcPr>
            <w:tcW w:w="1185" w:type="dxa"/>
            <w:noWrap/>
            <w:vAlign w:val="bottom"/>
            <w:hideMark/>
          </w:tcPr>
          <w:p w14:paraId="6D8B248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0E06522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38956E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C067C64" w14:textId="77777777" w:rsidTr="00EB4257">
        <w:trPr>
          <w:trHeight w:val="320"/>
        </w:trPr>
        <w:tc>
          <w:tcPr>
            <w:tcW w:w="3403" w:type="dxa"/>
            <w:noWrap/>
            <w:vAlign w:val="bottom"/>
            <w:hideMark/>
          </w:tcPr>
          <w:p w14:paraId="6699402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{"citationID":"hq5jzk0L","properties":{"formattedCitation":"\\super 49\\nosupersub{}","plainCitation":"49","noteIndex":0},"citationItems":[{"id":645,"uris":["http://zotero.org/users/14418362/items/3I5JBN83"],"itemData":{"id":645,"type":"article-journal","abstract":"BACKGROUND: Bronchopulmonary dysplasia (BPD) in premature infants is a predominantly secondary occurrence to intrauterine inflammation/infection and postpartum mechanical ventilation; The purpose of this study is to explore the biological roles of lincRNA in the pathogenesis of BPD., METHODS: Newborn rats were randomly assigned to hyperoxia (85% O2) or the control group: the normoxia group (21% O2). Lung tissues were collected on days 1-14. The BPD animal model was validated using HE staining, Masson staining, and real-time RT-PCR. Deep Illumina sequencing was used to reveal the differential expression of long non-coding RNAs in hyperoxia bronchopulmonary dysplasia rat models. KEGG and GO functions were predicted. Nine possible BPD-related target lincRNAs were verified by RTq-PCR., RESULTS: The histopathologic changes in lung tissues manifested as hyperaemia, edema, hemorrhage, and inflammation cell infiltration after continuous exposure to hyperoxia for 3 days, and became aggravated after 7 days of hyperoxic exposure. The above lung tissue inflammatory manifestations were alleviated and taken over by pulmonary interstitia hyperplasia and fibrocyte proliferation after 14 days of hyperoxic exposure. The expressions of lincRNA differed between the hyperoxia bronchopulmonary dysplasia model group and the normoxia group. 1175 different lincRNAs were detected in the hyperoxia group and the normoxia group, of which 544 were up-regulated and 631 were down-regulated. 673 moleculars related to GO functions were enriched, including cell location and biological process. Pathway enrichment analysis showed that lincRNA was involved in 257 KEGG pathways. 9 lincRNA were validated in the sample, and the difference was statistically significant., CONCLUSION: LincRNAs were identified differently between the BPD model and the normoxia group. Many target genes were involved in the developmental process, including cell component biogenesis, biological regulation, transcription regulator, and translation regulator. The BPD might be caused by the activation of the pathways of the EMC-receptor interaction, cytokine-cytokine receptor interaction, cell cycle, and cell adhesion molecules. The present study provides new insight into the pathogenesis mechanism of BPD.","archive":"Ovid MEDLINE(R) PubMed-not-MEDLINE &lt;2017 to 2019&gt;","container-title":"American journal of translational research","ISSN":"1943-8141","issue":"12","title":"Deep Illumina sequencing reveals differential expression of long non-coding RNAs in hyperoxia induced bronchopulmonary dysplasia in a rat model.","URL":"http://ovidsp.ovid.com/ovidweb.cgi?T=JS&amp;PAGE=reference&amp;D=pmnm4&amp;NEWS=N&amp;AN=29312522","volume":"9","author":[{"family":"Cheng","given":"Han-Rong"},{"family":"He","given":"Shao-Ru"},{"family":"Wu","given":"Ben-Qing"},{"family":"Li","given":"Dong-Cai"},{"family":"Hu","given":"Tian-Yong"},{"family":"Chen","given":"Li"},{"family":"Deng","given":"Zhu-Hui"}],"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49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03F9E6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43AD3ED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84FD0D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Right lung lobe</w:t>
            </w:r>
          </w:p>
        </w:tc>
        <w:tc>
          <w:tcPr>
            <w:tcW w:w="1701" w:type="dxa"/>
            <w:noWrap/>
            <w:vAlign w:val="bottom"/>
            <w:hideMark/>
          </w:tcPr>
          <w:p w14:paraId="590C683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DE376CA" w14:textId="77777777" w:rsidTr="00EB4257">
        <w:trPr>
          <w:trHeight w:val="320"/>
        </w:trPr>
        <w:tc>
          <w:tcPr>
            <w:tcW w:w="3403" w:type="dxa"/>
            <w:noWrap/>
            <w:vAlign w:val="bottom"/>
            <w:hideMark/>
          </w:tcPr>
          <w:p w14:paraId="2FDED894"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Coarfa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{"citationID":"KFYP1T7H","properties":{"formattedCitation":"\\super 50\\nosupersub{}","plainCitation":"50","noteIndex":0},"citationItems":[{"id":1534,"uris":["http://zotero.org/users/14418362/items/2KNXIADC"],"itemData":{"id":1534,"type":"article-journal","abstract":"Bronchopulmonary dysplasia (BPD) is characterized by impaired alveolar secondary septation and vascular growth. Exposure to high concentrations of oxygen (hyperoxia) contributes to the development of BPD. The male sex is considered an independent risk factor for the development of BPD. The reasons underlying sexually dimorphic outcomes in premature neonates are not known. We hypothesized that sex-specific modulation of biological processes in the lung under hyperoxic conditions contributes to sex-based differences. Neonatal male and female mice (C57BL/6) were exposed to hyperoxia [95% [Formula: see text], postnatal day (PND) 1-5: saccular stage of lung development] and euthanized on PND 7 or 21. Pulmonary gene expression was studied using RNA-Seq on the Illumina HiSeq 2500 platform. Analysis of the pulmonary transcriptome revealed differential sex-specific modulation of crucial pathways such as angiogenesis, response to hypoxia, inflammatory response, and p53 pathway. Candidate genes from these pathways were validated at the mRNA level by qPCR. Analysis also revealed sex-specific differences in the modulation of crucial transcription factors. Focusing on the differential modulation of the angiogenesis pathway, we also showed sex-specific differential activation of Hif-1alpha-regulated genes using ChIP-qPCR and differences in expression of crucial genes (Vegf, VegfR2, and Phd2) modulating angiogenesis. We demonstrate the translational relevance of our findings by showing that our murine sex-specific differences in gene expression correlate with those from a preexisting human BPD data set. In conclusion, we provide novel molecular insights into differential sex-specific modulation of the pulmonary transcriptome in neonatal hyperoxic lung injury and highlight angiogenesis as one of the crucial differentially modulated pathways. Copyright © 2017 the American Physiological Society.","archive":"Ovid MEDLINE(R) &lt;2017&gt;","container-title":"American journal of physiology. Lung cellular and molecular physiology","DOI":"10.1152/ajplung.00230.2017","ISSN":"1040-0605","issue":"6","title":"Sexual dimorphism of the pulmonary transcriptome in neonatal hyperoxic lung injury: identification of angiogenesis as a key pathway.","URL":"http://ovidsp.ovid.com/ovidweb.cgi?T=JS&amp;PAGE=reference&amp;D=med14&amp;NEWS=N&amp;AN=28818871","volume":"313","author":[{"family":"Coarfa","given":"Cristian"},{"family":"Zhang","given":"Yuhao"},{"family":"Maity","given":"Suman"},{"family":"Perera","given":"Dimuthu N"},{"family":"Jiang","given":"Weiwu"},{"family":"Wang","given":"Lihua"},{"family":"Couroucli","given":"Xanthi"},{"family":"Moorthy","given":"Bhagavatula"},{"family":"Lingappan","given":"Krithik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13276DDA"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6AADEDA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D82247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4BE919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7B884BA8" w14:textId="77777777" w:rsidTr="00EB4257">
        <w:trPr>
          <w:trHeight w:val="320"/>
        </w:trPr>
        <w:tc>
          <w:tcPr>
            <w:tcW w:w="3403" w:type="dxa"/>
            <w:noWrap/>
            <w:vAlign w:val="bottom"/>
            <w:hideMark/>
          </w:tcPr>
          <w:p w14:paraId="2A50FAD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Dénervaud</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{"citationID":"GeCIBzrR","properties":{"formattedCitation":"\\super 51\\nosupersub{}","plainCitation":"51","noteIndex":0},"citationItems":[{"id":1921,"uris":["http://zotero.org/users/14418362/items/845TX9L4"],"itemData":{"id":1921,"type":"article-journal","abstract":"BACKGROUND: Preterm infants having immature lungs often require respiratory support, potentially leading to bronchopulmonary dysplasia (BPD). Conventional BPD rodent models based on mechanical ventilation (MV) present outcome measured at the end of the ventilation period. A reversible intubation and ventilation model in newborn rats recently allowed discovering that different sets of genes modified their expression related to time after MV. In a newborn rat model, the expression profile 48 h after MV was analyzed with gene arrays to detect potentially interesting candidates with an impact on BPD development., METHODS: Rat pups were injected P4-5 with 2 mg/kg lipopolysaccharide (LPS). One day later, MV with 21 or 60% oxygen was applied during 6 h. Animals were sacrified 48 h after end of ventilation. Affymetrix gene arrays assessed the total gene expression profile in lung tissue., RESULTS: In fully treated animals (LPS + MV + 60% O(2)) vs. controls, 271 genes changed expression significantly. All modified genes could be classified in six pathways: tissue remodeling/wound repair, immune system and inflammatory response, hematopoiesis, vasodilatation, and oxidative stress. Major alterations were found in the MMP and complement system., CONCLUSION: MMPs and complement factors play a central role in several of the pathways identified and may represent interesting targets for BPD treatment/prevention.Bronchopulmonary dysplasia (BPD) is a chronic lung disease occurring in ~30% of preterm infants born less than 30 wk of gestation (1). Its main risk factors include lung immaturity due to preterm delivery, mechanical ventilation (MV), oxygen toxicity, chorioamnionitis, and sepsis. The main feature is an arrest of alveolar and capillary formation (2). Models trying to decipher genes involved in the pathophysiology of BPD are mainly based on MV and oxygen application to young mammals with immature lungs of different species (3). In newborn rodent models, analyses of lung structure and gene and protein expression are performed for practical reasons directly at the end of MV (4,5,6). However, later appearing changes of gene expression might also have an impact on lung development and the evolution towards BPD and cannot be discovered by such models. Recently, we developed a newborn rat model of MV using an atraumatic (orotracheal) intubation technique that allows the weaning of the newborn animal off anesthesia and MV, the extubation to spontaneous breathing, and therefore allows the evaluation of effects of MV after a ventilation-free period of recovery (7). Indeed, applying this concept of atraumatic intubation by direct laryngoscopy, we recently were able to show significant differences between gene expression changes appearing directly after MV compared to those measured after a ventilation-free interval of 48 h. Immediately after MV, inflammation-related genes showed a transitory modified expression, while another set of more structurally related genes changed their expression only after a delay of 2 d (7). Lung structure, analyzed by conventional 2D histology and also by 3D reconstruction using synchrotron x-ray tomographic microscopy revealed, 48 h after end of MV, a reduced complexity of lung architecture compared to the nonventilated rat lungs, similar to the typical findings in BPD. To extend these observations about late gene expression modifications, we performed with a similar model a full gene expression profile of lung tissue 48 h after the end of MV with either room air or 60% oxygen. Essentially, we measured changes in the expression of genes related to the MMPs and complement system which played a role in many of the six identified mostly affected pathways.","archive":"Ovid MEDLINE(R) &lt;2015&gt;","container-title":"Pediatric research","DOI":"10.1038/pr.2015.155","ISSN":"0031-3998","issue":"6","title":"Gene expression profile in newborn rat lungs after two days of recovery of mechanical ventilation.","URL":"http://ovidsp.ovid.com/ovidweb.cgi?T=JS&amp;PAGE=reference&amp;D=med12&amp;NEWS=N&amp;AN=26353077","volume":"78","author":[{"family":"Denervaud","given":"Valerie"},{"family":"Gremlich","given":"Sandrine"},{"family":"Trummer-Menzi","given":"Eliane"},{"family":"Schittny","given":"Johannes C"},{"family":"Roth-Kleiner","given":"Matthias"}],"issued":{"date-parts":[["2015"]]}}}],"schema":"https://github.com/citation-style-language/schema/raw/master/csl-citation.json"}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FB3498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RNA microarray</w:t>
            </w:r>
          </w:p>
        </w:tc>
        <w:tc>
          <w:tcPr>
            <w:tcW w:w="1185" w:type="dxa"/>
            <w:noWrap/>
            <w:vAlign w:val="bottom"/>
            <w:hideMark/>
          </w:tcPr>
          <w:p w14:paraId="1C18372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807AF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9DCED4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1B581F8" w14:textId="77777777" w:rsidTr="00EB4257">
        <w:trPr>
          <w:trHeight w:val="320"/>
        </w:trPr>
        <w:tc>
          <w:tcPr>
            <w:tcW w:w="3403" w:type="dxa"/>
            <w:noWrap/>
            <w:vAlign w:val="bottom"/>
            <w:hideMark/>
          </w:tcPr>
          <w:p w14:paraId="36CB5E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 Dong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{"citationID":"Ob4E2xm2","properties":{"formattedCitation":"\\super 52\\nosupersub{}","plainCitation":"52","noteIndex":0},"citationItems":[{"id":1939,"uris":["http://zotero.org/users/14418362/items/5A22EELR"],"itemData":{"id":1939,"type":"article-journal","abstract":"BACKGROUND: Bronchopulmonary dysplasia (BPD) is not merely a chronic lung disease, but a systemic condition with multiple organs implications predominantly associated with hyperoxia exposure. Despite advances in current management strategies, limited progress has been made in reducing the BPD-related systemic damage. Meanwhile, although the protective effects of human umbilical cord-derived mesenchymal stem cells (hUC-MSCs) or their exosomes on hyperoxia-induced lung injury have been explored by many researchers, the underlying mechanism has not been addressed in detail, and few studies have focused on the therapeutic effect on systemic multiple organ injury., AIM: To investigate whether hUC-MSC intratracheal administration could attenuate hyperoxia-induced lung, heart, and kidney injuries and the underlying regulatory mechanisms., METHODS: Neonatal rats were exposed to hyperoxia (80% O2), treated with hUC-MSCs intratracheal (iT) or intraperitoneal (iP) on postnatal day 7, and harvested on postnatal day 21. The tissue sections of the lung, heart, and kidney were analyzed morphometrically. Protein contents of the bronchoalveolar lavage fluid (BALF), myeloperoxidase (MPO) expression, and malondialdehyde (MDA) levels were examined. Pulmonary inflammatory cytokines were measured via enzyme-linked immunosorbent assay. A comparative transcriptomic analysis of differentially expressed genes (DEGs) in lung tissue was conducted via RNA-sequencing. Subsequently, we performed reverse transcription-quantitative polymerase chain reaction and western blot analysis to explore the expression of target mRNA and proteins related to inflammatory and oxidative responses., RESULTS: iT hUC-MSCs administration improved pulmonary alveolarization and angiogenesis (P &lt; 0.01, P &lt; 0.01, P &lt; 0.001, and P &lt; 0.05 for mean linear intercept, septal counts, vascular medial thickness index, and microvessel density respectively). Meanwhile, treatment with hUC-MSCs iT ame liorated right ventricular hypertrophy (for Fulton's index, P &lt; 0.01), and relieved reduced nephrogenic zone width (P &lt; 0.01) and glomerular diameter (P &lt; 0.001) in kidneys. Among the beneficial effects, a reduction of BALF protein, MPO, and MDA was observed in hUC-MSCs groups (P &lt; 0.01, P &lt; 0.001, and P &lt; 0.05 respectively). Increased pro-inflammatory cytokines tumor necrosis factor-alpha, interleukin (IL)-1beta, and IL-6 expression observed in the hyperoxia group were significantly attenuated by hUC-MSCs administration (P &lt; 0.01, P &lt; 0.001, and P &lt; 0.05 respectively). In addition, we observed an increase in anti-inflammatory cytokine IL-10 expression in rats that received hUC-MSCs iT compared with rats reared in hyperoxia (P &lt; 0.05). Tran scriptomic analysis showed that the DEGs in lung tissues induced by hyperoxia were enriched in pathways related to inflammatory responses, epithelial cell proliferation, and vasculature development. hUC-MSCs administration blunted these hyperoxia-induced dysregulated genes and resulted in a shift in the gene expression pattern toward the normoxia group. hUC-MSCs increased heme oxygenase-1 (HO-1), JAK2, and STAT3 expression, and their phosphorylation in the lung, heart, and kidney (P &lt; 0.05). Remarkably, no significant difference was observed between the iT and iP administration., CONCLUSION: iT hUC-MSCs administration ameliorates hyperoxia-induced lung, heart, and kidney injuries by activating HO-1 expression and JAK/STAT signaling. The therapeutic benefits of local iT and iP administration are equivalent. Copyright ©The Author(s) 2022. Published by Baishideng Publishing Group Inc. All rights reserved.","archive":"Ovid MEDLINE(R) PubMed-not-MEDLINE &lt;2022&gt;","container-title":"World journal of stem cells","DOI":"10.4252/wjsc.v14.i7.556","ISSN":"1948-0210","issue":"7","title":"Intratracheal administration of umbilical cord-derived mesenchymal stem cells attenuates hyperoxia-induced multi-organ injury via heme oxygenase-1 and JAK/STAT pathways.","URL":"http://ovidsp.ovid.com/ovidweb.cgi?T=JS&amp;PAGE=reference&amp;D=pmnm7&amp;NEWS=N&amp;AN=36157523","volume":"14","author":[{"family":"Dong","given":"Na"},{"family":"Zhou","given":"Pan-Pan"},{"family":"Li","given":"Dong"},{"family":"Zhu","given":"Hua-Su"},{"family":"Liu","given":"Ling-Hong"},{"family":"Ma","given":"Hui-Xian"},{"family":"Shi","given":"Qing"},{"family":"Ju","given":"Xiu-Li"}],"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52</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2E4C41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0D42666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475ED63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C4D6F5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5B09512" w14:textId="77777777" w:rsidTr="00EB4257">
        <w:trPr>
          <w:trHeight w:val="320"/>
        </w:trPr>
        <w:tc>
          <w:tcPr>
            <w:tcW w:w="3403" w:type="dxa"/>
            <w:noWrap/>
            <w:vAlign w:val="bottom"/>
            <w:hideMark/>
          </w:tcPr>
          <w:p w14:paraId="0B4802B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Dravet </w:t>
            </w:r>
            <w:proofErr w:type="spellStart"/>
            <w:r w:rsidRPr="00270060">
              <w:rPr>
                <w:rFonts w:ascii="Aptos" w:eastAsia="Times New Roman" w:hAnsi="Aptos" w:cs="Times New Roman"/>
                <w:color w:val="000000" w:themeColor="text1"/>
                <w:sz w:val="22"/>
                <w:szCs w:val="22"/>
                <w:lang w:eastAsia="en-GB"/>
              </w:rPr>
              <w:t>Gounot</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{"citationID":"7G6qPGyq","properties":{"formattedCitation":"\\super 53\\nosupersub{}","plainCitation":"53","noteIndex":0},"citationItems":[{"id":641,"uris":["http://zotero.org/users/14418362/items/8CNQDAZ4"],"itemData":{"id":641,"type":"article-journal","abstract":"Intrauterine growth restriction (IUGR) was recently described as an independent risk factor of bronchopulmonary dysplasia, the main respiratory sequelae of preterm birth. We previously showed impaired alveolarization in rat pups born with IUGR induced by a low-protein diet (LPD) during gestation. We conducted a genome-wide analysis of gene expression and found the involvement of several pathways such as cell adhesion. Here, we describe our unbiased microRNA (miRNA) profiling by microarray assay and validation by qPCR at postnatal days 10 and 21 (P10 and P21) in lungs of rat pups with LPD-induced lung-alveolarization disorder after IUGR. We identified 13 miRNAs with more than two-fold differential expression between control lungs and LPD-induced IUGR lungs. Validated and predicted target genes of these miRNAs were related to \"tissue repair\" at P10 and \"cellular communication regulation\" at P21. We predicted the deregulation of several genes associated with these pathways. Especially, E2F3, a transcription factor involved in cell cycle control, was expressed in developing alveoli, and its mRNA and protein levels were significantly increased at P21 after IUGR. Hence, IUGR affects the expression of selected miRNAs during lung alveolarization. These results provide a basis for deciphering the mechanistic contributions of IUGR to impaired alveolarization.","archive":"Ovid MEDLINE(R) &lt;2017&gt;","container-title":"PloS one","DOI":"10.1371/journal.pone.0190445","ISSN":"1932-6203","issue":"12","title":"Lung microRNA deregulation associated with impaired alveolarization in rats after intrauterine growth restriction.","URL":"http://ovidsp.ovid.com/ovidweb.cgi?T=JS&amp;PAGE=reference&amp;D=med14&amp;NEWS=N&amp;AN=29287116","volume":"12","author":[{"family":"Dravet-Gounot","given":"Pauline"},{"family":"Morin","given":"Cecile"},{"family":"Jacques","given":"Sebastien"},{"family":"Dumont","given":"Florent"},{"family":"Ely-Marius","given":"Fabiola"},{"family":"Vaiman","given":"Daniel"},{"family":"Jarreau","given":"Pierre-Henri"},{"family":"Mehats","given":"Celine"},{"family":"Zana-Taieb","given":"Elodie"}],"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649D682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05B2283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1EBDA3B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C3E863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Induced IUGR</w:t>
            </w:r>
          </w:p>
        </w:tc>
      </w:tr>
      <w:tr w:rsidR="006323BF" w:rsidRPr="00270060" w14:paraId="69B2D1C7" w14:textId="77777777" w:rsidTr="00EB4257">
        <w:trPr>
          <w:trHeight w:val="320"/>
        </w:trPr>
        <w:tc>
          <w:tcPr>
            <w:tcW w:w="3403" w:type="dxa"/>
            <w:noWrap/>
            <w:vAlign w:val="bottom"/>
            <w:hideMark/>
          </w:tcPr>
          <w:p w14:paraId="5253B55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El </w:t>
            </w:r>
            <w:proofErr w:type="spellStart"/>
            <w:r w:rsidRPr="00270060">
              <w:rPr>
                <w:rFonts w:ascii="Aptos" w:eastAsia="Times New Roman" w:hAnsi="Aptos" w:cs="Times New Roman"/>
                <w:color w:val="000000" w:themeColor="text1"/>
                <w:sz w:val="22"/>
                <w:szCs w:val="22"/>
                <w:lang w:eastAsia="en-GB"/>
              </w:rPr>
              <w:t>Saie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{"citationID":"BL0b2cyH","properties":{"formattedCitation":"\\super 54\\nosupersub{}","plainCitation":"54","noteIndex":0},"citationItems":[{"id":1859,"uris":["http://zotero.org/users/14418362/items/HEXY268M"],"itemData":{"id":1859,"type":"article-journal","abstract":"BACKGROUND: Respiratory tract microbial dysbiosis can exacerbate inflammation and conversely inflammation may cause dysbiosis. Dysbiotic microbiome metabolites may lead to bronchopulmonary dysplasia (BPD). Hyperoxia and lipopolysaccharide (LPS) interaction alters lung microbiome and metabolome, mediating BPD lung injury sequence., METHODS: C57BL6/J mice were exposed to 21% (normoxia) or 70% (hyperoxia) oxygen during postnatal days (PND) 1-14. Pups were injected with LPS (6 mg/kg) or equal PBS volume, intraperitoneally on PND 3, 5, and 7. At PND14, the lungs were collected for microbiome and metabolomic analyses (n = 5/group)., RESULTS: Microbiome alpha and beta diversity were similar between groups. Metabolic changes included hyperoxia 31 up/18 down, LPS 7 up/4 down, exposure interaction 8. Hyperoxia increased Intestinimonas abundance, whereas LPS decreased Clostridiales, Dorea, and Intestinimonas; exposure interaction affected Blautia. Differential co-expression analysis on multi-omics data identified exposure-altered modules. Hyperoxia metabolomics response was integrated with a published matching transcriptome, identifying four induced genes (ALDOA, GAA, NEU1, RENBP), which positively correlated with BPD severity in a published human newborn cohort., CONCLUSIONS: We report hyperoxia and LPS lung microbiome and metabolome signatures in a clinically relevant BPD model. We identified four genes correlating with BPD status in preterm infants that are promising targets for therapy and prevention., IMPACT: Using multi-omics, we identified and correlated key biomarkers of hyperoxia and LPS on murine lung micro-landscape and examined their potential clinical implication, which shows strong clinical relevance for future research. Using a double-hit model of clinical relevance to bronchopulmonary dysplasia, we are the first to report integrated metabolomic/microbiome landscape changes and identify novel disease biomarker candidates. Copyright © 2022. The Author(s), under exclusive licence to the International Pediatric Research Foundation, Inc.","archive":"Ovid MEDLINE(R) &lt;2022&gt;","container-title":"Pediatric research","DOI":"10.1038/s41390-022-02002-1","ISSN":"0031-3998","issue":"6","title":"Metabolome and microbiome multi-omics integration from a murine lung inflammation model of bronchopulmonary dysplasia.","URL":"http://ovidsp.ovid.com/ovidweb.cgi?T=JS&amp;PAGE=reference&amp;D=med21&amp;NEWS=N&amp;AN=35338351","volume":"92","author":[{"family":"El Saie","given":"Ahmed"},{"family":"Fu","given":"Chenlian"},{"family":"Grimm","given":"Sandra L"},{"family":"Robertson","given":"Matthew J"},{"family":"Hoffman","given":"Kristi"},{"family":"Putluri","given":"Vasanta"},{"family":"Ambati","given":"Chandra Shekar R"},{"family":"Putluri","given":"Nagireddy"},{"family":"Shivanna","given":"Binoy"},{"family":"Coarfa","given":"Cristian"},{"family":"Pammi","given":"Mohan"}],"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54</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05FE63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Mass Spec</w:t>
            </w:r>
          </w:p>
        </w:tc>
        <w:tc>
          <w:tcPr>
            <w:tcW w:w="1185" w:type="dxa"/>
            <w:noWrap/>
            <w:vAlign w:val="bottom"/>
            <w:hideMark/>
          </w:tcPr>
          <w:p w14:paraId="2A0F237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1CF9C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34A2EEE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202816CD" w14:textId="77777777" w:rsidTr="00EB4257">
        <w:trPr>
          <w:trHeight w:val="320"/>
        </w:trPr>
        <w:tc>
          <w:tcPr>
            <w:tcW w:w="3403" w:type="dxa"/>
            <w:noWrap/>
            <w:vAlign w:val="bottom"/>
            <w:hideMark/>
          </w:tcPr>
          <w:p w14:paraId="0C26A7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Hurskainen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{"citationID":"P2zDNfqP","properties":{"formattedCitation":"\\super 18\\nosupersub{}","plainCitation":"18","noteIndex":0},"citationItems":[{"id":1115,"uris":["http://zotero.org/users/14418362/items/6CPGENAH"],"itemData":{"id":1115,"type":"article-journal","abstract":"During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41ECC695"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338B0FE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78EDFF9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D73023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A15841A" w14:textId="77777777" w:rsidTr="00EB4257">
        <w:trPr>
          <w:trHeight w:val="320"/>
        </w:trPr>
        <w:tc>
          <w:tcPr>
            <w:tcW w:w="3403" w:type="dxa"/>
            <w:noWrap/>
            <w:vAlign w:val="bottom"/>
            <w:hideMark/>
          </w:tcPr>
          <w:p w14:paraId="3CFF79C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Natarajan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{"citationID":"n2ueJdkA","properties":{"formattedCitation":"\\super 55\\nosupersub{}","plainCitation":"55","noteIndex":0},"citationItems":[{"id":1885,"uris":["http://zotero.org/users/14418362/items/HWQTE4D2"],"itemData":{"id":1885,"type":"report","abstract":"BACKGROUND: Sphingosine- 1-Phosphate (S1P) is a bioactive lipid and an intracellular as well as an extracellular signaling molecule. S1P ligand specifically binds to five related cell surface G-protein-coupled receptors (S1P1-5). S1P levels are tightly regulated by its synthesis catalyzed by sphingosine kinases (SphKs) 1 &amp; 2 and catabolism by S1P phosphatases, lipid phosphate phosphatases and S1P lyase. We previously reported that knock down of SphK1 (Sphk1 -/- ) in a neonatal mouse BPD model conferred significant protection against hyperoxia induced lung injury. To better understand the underlying molecular mechanisms, genome-wide gene expression profiling was performed on mouse lung tissue using Affymetrix MoGene 2.0 array., RESULTS: Two-way ANOVA analysis was performed and differentially expressed genes under hyperoxia were identified using Sphk1 -/- mice and their wild type (WT) equivalents. Pathway (PW) enrichment analyses identified several signaling pathways that are likely to play a key role in hyperoxia induced lung injury in the neonates. These included signaling pathways that were anticipated such as those involved in lipid signaling, cell cycle regulation, DNA damage/apoptosis, inflammation/immune response, and cell adhesion/extracellular matrix (ECM) remodeling. We noted hyperoxia induced downregulation of the expression of genes related to mitotic spindle formation in the WT which was not observed in Sphk1 -/- neonates. Our data clearly suggests a role for SphK1 in neonatal hyperoxic lung injury through elevated inflammation and apoptosis in lung tissue. Further, validation by RT-PCR on 24 differentially expressed genes showed 83% concordance both in terms of fold change and vectorial changes. Our findings are in agreement with previously reported human BPD microarray data and completely support our published in vivo findings. In addition, the data also revealed a significant role for additional unanticipitated signaling pathways involving Wnt and GADD45., CONCLUSION: Using SphK1 knockout mice and differential gene expression analysis, we have shown here that S1P/SphK1 signaling plays a key role in promoting hyperoxia induced DNA damage, inflammation, apoptosis and ECM remodeling in neonatal lungs. It also appears to suppress pro-survival cellular responses involved in normal lung development. We therefore propose SphK1 as a therapeutic target for the development drugs to combat BPD.","collection-title":"BMC genomics","note":"issue: 1\nvolume: 18\nDOI: 10.1186/s12864-017-4048-0","number":"1471-2164","title":"Expression profiling of genes regulated by sphingosine kinase1 signaling in a murine model of hyperoxia induced neonatal bronchopulmonary dysplasia.","URL":"http://ovidsp.ovid.com/ovidweb.cgi?T=JS&amp;PAGE=reference&amp;D=med14&amp;NEWS=N&amp;AN=28851267","author":[{"family":"Natarajan","given":"Viswanathan"},{"family":"Ha","given":"Alison W"},{"family":"Dong","given":"Yangbasai"},{"family":"Reddy","given":"Narsa M"},{"family":"Ebenezer","given":"David L"},{"family":"Kanteti","given":"Prasad"},{"family":"Reddy","given":"Sekhar P"},{"family":"Usha Raj","given":"J"},{"family":"Lei","given":"Zhengdeng"},{"family":"Maienschein-Cline","given":"Mark"},{"family":"Arbieva","given":"Zarema"},{"family":"Harijith","given":"Ananth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55</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FEEE5A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7AED6A9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11F402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6EC160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7C2F630D" w14:textId="77777777" w:rsidTr="00EB4257">
        <w:trPr>
          <w:trHeight w:val="320"/>
        </w:trPr>
        <w:tc>
          <w:tcPr>
            <w:tcW w:w="3403" w:type="dxa"/>
            <w:noWrap/>
            <w:vAlign w:val="bottom"/>
            <w:hideMark/>
          </w:tcPr>
          <w:p w14:paraId="3679A6F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Nichols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{"citationID":"9ZhTmydF","properties":{"formattedCitation":"\\super 56\\nosupersub{}","plainCitation":"56","noteIndex":0},"citationItems":[{"id":1940,"uris":["http://zotero.org/users/14418362/items/4JPSFDVT"],"itemData":{"id":1940,"type":"article-journal","abstract":"Reactive oxygen species (ROS) contribute to the pathogenesis of many acute and chronic pulmonary disorders, including bronchopulmonary dysplasia (BPD), a respiratory condition that affects preterm infants. However, the mechanisms of susceptibility to oxidant stress in neonatal lungs are not completely understood. We evaluated the role of genetic background in response to oxidant stress in the neonatal lung by exposing mice from 36 inbred strains to hyperoxia (95% O2) for 72 h after birth. Hyperoxia-induced lung injury was evaluated by using bronchoalveolar lavage fluid (BALF) analysis and pathology. Statistically significant interstrain variation was found for BALF inflammatory cells and protein (heritability estimates range: 33.6-55.7%). Genome-wide association mapping using injury phenotypes identified quantitative trait loci (QTLs) on chromosomes 1, 2, 4, 6, and 7. Comparative mapping of the chromosome 6 QTLs identified Chrm2 (cholinergic receptor, muscarinic 2, cardiac) as a candidate susceptibility gene, and mouse strains with a nonsynonymous coding single-nucleotide polymorphism (SNP) in Chrm2 that causes an amino acid substitution (P265L) had significantly reduced hyperoxia-induced inflammation compared to strains without the SNP. Further, hyperoxia-induced lung injury was significantly reduced in neonatal mice with targeted deletion of Chrm2, relative to wild-type controls. This study has important implications for understanding the mechanisms of oxidative lung injury in neonates. Copyright © FASEB.","archive":"Ovid MEDLINE(R) &lt;2014&gt;","container-title":"FASEB journal : official publication of the Federation of American Societies for Experimental Biology","DOI":"10.1096/fj.13-247221","ISSN":"0892-6638","issue":"6","title":"Genome-wide association mapping of acute lung injury in neonatal inbred mice.","URL":"http://ovidsp.ovid.com/ovidweb.cgi?T=JS&amp;PAGE=reference&amp;D=med11&amp;NEWS=N&amp;AN=24571919","volume":"28","author":[{"family":"Nichols","given":"Jennifer L"},{"family":"Gladwell","given":"Wesley"},{"family":"Verhein","given":"Kirsten C"},{"family":"Cho","given":"Hye-Youn"},{"family":"Wess","given":"Jurgen"},{"family":"Suzuki","given":"Oscar"},{"family":"Wiltshire","given":"Tim"},{"family":"Kleeberger","given":"Steven R"}],"issued":{"date-parts":[["2014"]]}}}],"schema":"https://github.com/citation-style-language/schema/raw/master/csl-citation.json"}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56</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406EE8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QTL analysis</w:t>
            </w:r>
          </w:p>
        </w:tc>
        <w:tc>
          <w:tcPr>
            <w:tcW w:w="1185" w:type="dxa"/>
            <w:noWrap/>
            <w:vAlign w:val="bottom"/>
            <w:hideMark/>
          </w:tcPr>
          <w:p w14:paraId="48F89B1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4636FB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5C0B0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r>
      <w:tr w:rsidR="006323BF" w:rsidRPr="00270060" w14:paraId="198E43A9" w14:textId="77777777" w:rsidTr="00EB4257">
        <w:trPr>
          <w:trHeight w:val="320"/>
        </w:trPr>
        <w:tc>
          <w:tcPr>
            <w:tcW w:w="3403" w:type="dxa"/>
            <w:noWrap/>
            <w:vAlign w:val="bottom"/>
            <w:hideMark/>
          </w:tcPr>
          <w:p w14:paraId="40F7D2B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Nitkin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{"citationID":"G3Wv3ZWN","properties":{"formattedCitation":"\\super 57\\nosupersub{}","plainCitation":"57","noteIndex":0},"citationItems":[{"id":1826,"uris":["http://zotero.org/users/14418362/items/4PBYTIYK"],"itemData":{"id":1826,"type":"article-journal","abstract":"Systemic sepsis is a known risk factor for bronchopulmonary dysplasia (BPD) in premature infants, a disease characterized by dysregulated angiogenesis and impaired vascular and alveolar development. We have previoulsy reported that systemic endotoxin dysregulates pulmonary angiogenesis resulting in alveolar simplification mimicking BPD in neonatal mice, but the underlying mechanisms remain unclear. We undertook an unbiased discovery approach to identify novel signaling pathways programming sepsis-induced deviant lung angiogenesis. Pulmonary endothelial cells (EC) were isolated for RNA-Seq from newborn C57BL/6 mice treated with intraperitoneal lipopolysaccharide (LPS) to mimic systemic sepsis. LPS significantly differentially-regulated 269 genes after 6 h, and 1,934 genes after 24 h. Using bioinformatics, we linked 6 h genes previously unknown to be modulated by LPS to 24 h genes known to regulate angiogenesis/vasculogenesis to identify pathways programming deviant angiogenesis. An immortalized primary human lung EC (HPMEC-im) line was generated by SV40 transduction to facilitate mechanistic studies. RT-PCR and transcription factor binding analysis identified FOSL1 (FOS like 1) as a transcriptional regulator of LPS-induced downstream angiogenic or vasculogenic genes. Over-expression and silencing studies of FOSL1 in immortalized and primary HPMEC demonstrated that baseline and LPS-induced expression of ADAM8, CXCR2, HPX, LRG1, PROK2, and RNF213 was regulated by FOSL1. FOSL1 silencing impaired LPS-induced in vitro HPMEC angiogenesis. In conclusion, we identified FOSL1 as a novel regulator of sepsis-induced deviant angiogenic signaling in mouse lung EC and human fetal HPMEC.","archive":"Ovid MEDLINE(R) &lt;2020&gt;","container-title":"Scientific reports","DOI":"10.1038/s41598-020-69735-z","ISSN":"2045-2322","issue":"1","title":"FOSL1 is a novel mediator of endotoxin/lipopolysaccharide-induced pulmonary angiogenic signaling.","URL":"http://ovidsp.ovid.com/ovidweb.cgi?T=JS&amp;PAGE=reference&amp;D=med18&amp;NEWS=N&amp;AN=32753701","volume":"10","author":[{"family":"Nitkin","given":"Christopher R"},{"family":"Xia","given":"Sheng"},{"family":"Menden","given":"Heather"},{"family":"Yu","given":"Wei"},{"family":"Xiong","given":"Min"},{"family":"Heruth","given":"Daniel P"},{"family":"Ye","given":"Shui Qing"},{"family":"Sampath","given":"Venkatesh"}],"issued":{"date-parts":[["2020"]]}}}],"schema":"https://github.com/citation-style-language/schema/raw/master/csl-citation.json"}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E5AE2EF"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FC0D6B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3FA404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28028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LPS treated</w:t>
            </w:r>
          </w:p>
        </w:tc>
      </w:tr>
      <w:tr w:rsidR="006323BF" w:rsidRPr="00270060" w14:paraId="1C3D739E" w14:textId="77777777" w:rsidTr="00EB4257">
        <w:trPr>
          <w:trHeight w:val="320"/>
        </w:trPr>
        <w:tc>
          <w:tcPr>
            <w:tcW w:w="3403" w:type="dxa"/>
            <w:noWrap/>
            <w:vAlign w:val="bottom"/>
            <w:hideMark/>
          </w:tcPr>
          <w:p w14:paraId="01C66D4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{"citationID":"kYjfjePU","properties":{"formattedCitation":"\\super 58\\nosupersub{}","plainCitation":"58","noteIndex":0},"citationItems":[{"id":1829,"uris":["http://zotero.org/users/14418362/items/5CFTFEAF"],"itemData":{"id":1829,"type":"article-journal","abstract":"Pulmonary angiogenesis drives alveolarization, but the transcriptional regulators directing pulmonary angiogenesis remain poorly defined. Global, pharmacological inhibition of nuclear factor-kappa B (NF-kappaB) impairs pulmonary angiogenesis and alveolarization. However, establishing a definitive role for NF-kappaB in pulmonary vascular development has been hindered by embryonic lethality induced by constitutive deletion of NF-kappaB family members. We created a mouse model allowing inducible deletion of the NF-kappaB activator, IKKbeta, in endothelial cells (ECs) and assessed the effect on lung structure, endothelial angiogenic function, and the lung transcriptome. Embryonic deletion of IKKbeta permitted lung vascular development but resulted in a disorganized vascular plexus, while postnatal deletion significantly decreased radial alveolar counts, vascular density, and proliferation of both endothelial and nonendothelial lung cells. Loss of IKKbeta impaired survival, proliferation, migration, and angiogenesis in primary lung ECs in vitro, in association with decreased expression of VEGFR2 and activation of downstream effectors. Loss of endothelial IKKbeta in vivo induced broad changes in the lung transcriptome with downregulation of genes related to mitotic cell cycle, extracellular matrix (ECM)-receptor interaction, and vascular development, and the upregulation of genes related to inflammation. Computational deconvolution suggested that loss of endothelial IKKbeta decreased general capillary, aerocyte capillary, and alveolar type I cell abundance. Taken together, these data definitively establish an essential role for endogenous endothelial IKKbeta signaling during alveolarization. A deeper understanding of the mechanisms directing this developmental, physiological activation of IKKbeta in the lung vasculature may provide novel targets for the development of strategies to enhance beneficial proangiogenic signaling in lung development and disease. NEW &amp; NOTEWORTHY This study highlights the cell-specific complexity of nuclear factor kappa B signaling in the developing lung by demonstrating that inducible loss of IKKbeta in endothelial cells impairs alveolarization, disrupts EC angiogenic function, and broadly represses genes important for vascular development.","archive":"Ovid MEDLINE(R) &lt;2023 to 2024&gt;","container-title":"American journal of physiology. Lung cellular and molecular physiology","DOI":"10.1152/ajplung.00034.2023","ISSN":"1040-0605","issue":"3","title":"Endothelial-specific loss of IKKbeta disrupts pulmonary endothelial angiogenesis and impairs postnatal lung growth.","URL":"http://ovidsp.ovid.com/ovidweb.cgi?T=JS&amp;PAGE=reference&amp;D=med24&amp;NEWS=N&amp;AN=37310763","volume":"325","author":[{"family":"Rao","given":"Shailaja"},{"family":"Liu","given":"Min"},{"family":"Iosef","given":"Cristiana"},{"family":"Knutsen","given":"Carsten"},{"family":"Alvira","given":"Cristina M"}],"issued":{"date-parts":[["2023"]]}}}],"schema":"https://github.com/citation-style-language/schema/raw/master/csl-citation.json"}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45C2B0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4EEC197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298E9B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4F4B71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284CD514" w14:textId="77777777" w:rsidTr="00EB4257">
        <w:trPr>
          <w:trHeight w:val="320"/>
        </w:trPr>
        <w:tc>
          <w:tcPr>
            <w:tcW w:w="3403" w:type="dxa"/>
            <w:noWrap/>
            <w:vAlign w:val="bottom"/>
            <w:hideMark/>
          </w:tcPr>
          <w:p w14:paraId="7C893116"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Revhaug</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{"citationID":"v5WUiHqB","properties":{"formattedCitation":"\\super 59\\nosupersub{}","plainCitation":"59","noteIndex":0},"citationItems":[{"id":1868,"uris":["http://zotero.org/users/14418362/items/KYWNRRZE"],"itemData":{"id":1868,"type":"article-journal","abstract":"BACKGROUND: Bronchopulmonary dysplasia (BPD) is a common cause of abrupted lung development after preterm birth. BPD may lead to increased rehospitalization, more severe and frequent respiratory infections, and life-long reduced lung function. The gene regulation in lungs with BPD is complex, with various genetic and epigenetic factors involved., OBJECTIVES: The aim of this study was to examine the regulatory relation between gene expression and the epigenome (DNA methylation) relevant for the immune system after hyperoxia followed by a recovery period in air using a mouse model of BPD., METHODS: Newborn mice pups were subjected to an immediate hyperoxic condition from birth and kept at 85% O2 levels for 14 days followed by a 14-day period in room air. Next, mice lung tissue was used for RNA and DNA extraction with subsequent microarray-based assessment of lung transcriptome and supplementary methylome analysis., RESULTS: The immune system-related transcriptomeregulation was affected in mouse lungs after hyperoxia. A high proportion of genes relevant in the immune system exhibited significant expression alterations, e.g., B cell-specific genes central to the cytokine-cytokine receptor interaction, the PI3K-AKT, and the B cell receptor signaling pathways. The findings were accompanied by significant DNA hypermethylation observed in the PI3K-AKT pathway and immune system-relevant genes., CONCLUSIONS: Oxygen damage could be partly responsible for the increased susceptibility and abnormal response to respiratory viruses and infections seen in premature babies with BPD through dysregulated genes. Copyright © 2019 S. Karger AG, Basel.","archive":"Ovid MEDLINE(R) &lt;2019&gt;","container-title":"Neonatology","DOI":"10.1159/000501461","ISSN":"1661-7800","issue":"3","title":"Immune System Regulation Affected by a Murine Experimental Model of Bronchopulmonary Dysplasia: Genomic and Epigenetic Findings.","URL":"http://ovidsp.ovid.com/ovidweb.cgi?T=JS&amp;PAGE=reference&amp;D=med16&amp;NEWS=N&amp;AN=31454811","volume":"116","author":[{"family":"Revhaug","given":"Cecilie"},{"family":"Bik-Multanowski","given":"Miroslaw"},{"family":"Zasada","given":"Magdalena"},{"family":"Rognlien","given":"Anne Gro W"},{"family":"Gunther","given":"Clara-Cecilie"},{"family":"Ksiazek","given":"Teofila"},{"family":"Madetko-Talowska","given":"Anna"},{"family":"Szewczyk","given":"Katarzyna"},{"family":"Grabowska","given":"Agnieszka"},{"family":"Kwinta","given":"Przemko"},{"family":"Pietrzyk","given":"Jacek J"},{"family":"Baumbusch","given":"Lars O"},{"family":"Saugstad","given":"Ola D"}],"issued":{"date-parts":[["2019"]]}}}],"schema":"https://github.com/citation-style-language/schema/raw/master/csl-citation.json"}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59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62D1E2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7BEA1C5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F4F6BC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4E6E0D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56D5D54D" w14:textId="77777777" w:rsidTr="00EB4257">
        <w:trPr>
          <w:trHeight w:val="320"/>
        </w:trPr>
        <w:tc>
          <w:tcPr>
            <w:tcW w:w="3403" w:type="dxa"/>
            <w:noWrap/>
            <w:vAlign w:val="bottom"/>
            <w:hideMark/>
          </w:tcPr>
          <w:p w14:paraId="2697177D"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Scaffa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{"citationID":"oa8STxIj","properties":{"formattedCitation":"\\super 60\\nosupersub{}","plainCitation":"60","noteIndex":0},"citationItems":[{"id":1814,"uris":["http://zotero.org/users/14418362/items/WETFG4WW"],"itemData":{"id":1814,"type":"article-journal","abstract":"Ventilatory support, such as supplemental oxygen, used to save premature infants impairs the growth of the pulmonary microvasculature and distal alveoli, leading to bronchopulmonary dysplasia (BPD). Although lung cellular composition changes with exposure to hyperoxia in neonatal mice, most human BPD survivors are weaned off oxygen within the first weeks to months of life, yet they may have persistent lung injury and pulmonary dysfunction as adults. We hypothesized that early-life hyperoxia alters the cellular landscape in later life and predicts long-term lung injury. Using single-cell RNA sequencing, we mapped lung cell subpopulations at postnatal day (pnd)7 and pnd60 in mice exposed to hyperoxia (95% O2) for 3 days as neonates. We interrogated over 10,000 cells and identified a total of 45 clusters within 32 cell states. Neonatal hyperoxia caused persistent compositional changes in later life (pnd60) in all five type II cell states with unique signatures and function. Premature infants requiring mechanical ventilation with different durations also showed similar alterations in these unique signatures of type II cell states. Pathologically, neonatal hyperoxic exposure caused alveolar simplification in adult mice. We conclude that neonatal hyperoxia alters the lung cellular landscape in later life, uncovering neonatal programing of adult lung dysfunction. Copyright © 2021 The Authors. Published by Elsevier B.V. All rights reserved.","archive":"Ovid MEDLINE(R) &lt;2021&gt;","container-title":"Redox biology","DOI":"10.1016/j.redox.2021.102091","ISSN":"2213-2317","title":"Single-cell transcriptomics reveals lasting changes in the lung cellular landscape into adulthood after neonatal hyperoxic exposure.","URL":"http://ovidsp.ovid.com/ovidweb.cgi?T=JS&amp;PAGE=reference&amp;D=med20&amp;NEWS=N&amp;AN=34417156","volume":"48","author":[{"family":"Scaffa","given":"Alejandro"},{"family":"Yao","given":"Hongwei"},{"family":"Oulhen","given":"Nathalie"},{"family":"Wallace","given":"Joselynn"},{"family":"Peterson","given":"Abigail L"},{"family":"Rizal","given":"Salu"},{"family":"Ragavendran","given":"Ashok"},{"family":"Wessel","given":"Gary"},{"family":"De Paepe","given":"Monique E"},{"family":"Dennery","given":"Phyllis 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60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D6CEB3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268901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710EB87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CC6EF4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50309D4" w14:textId="77777777" w:rsidTr="00EB4257">
        <w:trPr>
          <w:trHeight w:val="320"/>
        </w:trPr>
        <w:tc>
          <w:tcPr>
            <w:tcW w:w="3403" w:type="dxa"/>
            <w:noWrap/>
            <w:vAlign w:val="bottom"/>
            <w:hideMark/>
          </w:tcPr>
          <w:p w14:paraId="6464BD6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Shrestha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{"citationID":"iH13JAcP","properties":{"formattedCitation":"\\super 61\\nosupersub{}","plainCitation":"61","noteIndex":0},"citationItems":[{"id":1411,"uris":["http://zotero.org/users/14418362/items/FGPYXBZU"],"itemData":{"id":1411,"type":"article-journal","abstract":"Bronchopulmonary dysplasia (BPD)-associated pulmonary hypertension (PH) is a chronic infantile lung disease that lacks curative therapies. Infants with BPD-associated PH are often exposed to hyperoxia and additional insults such as sepsis that contribute to disease pathogenesis. Animal models that simulate these scenarios are necessary to develop effective therapies; therefore, we investigated whether lipopolysaccharide (LPS) and hyperoxia exposure during saccular lung development cooperatively induce experimental BPD-PH in mice. C57BL/6J mice were exposed to normoxia or 70% O2 (hyperoxia) during postnatal days (PNDs) 1-5 and intraperitoneally injected with varying LPS doses or a vehicle on PNDs 3-5. On PND 14, we performed morphometry, echocardiography, and gene and protein expression studies to determine the effects of hyperoxia and LPS on lung development, vascular remodeling and function, inflammation, oxidative stress, cell proliferation, and apoptosis. LPS and hyperoxia independently and cooperatively affected lung development, inflammation, and apoptosis. Growth rate and antioxidant enzyme expression were predominantly affected by LPS and hyperoxia, respectively, while cell proliferation and vascular remodeling and function were mainly affected by combined exposure to LPS and hyperoxia. Mice treated with lower LPS doses developed adaptive responses and hyperoxia exposure did not worsen their BPD phenotype, whereas those mice treated with higher LPS doses displayed the most severe BPD phenotype when exposed to hyperoxia and were the only group that developed PH. Collectively, our data suggest that an additional insult such as LPS may be necessary for models utilizing short-term exposure to moderate hyperoxia to recapitulate human BPD-PH.","archive":"Ovid MEDLINE(R) &lt;2020&gt;","container-title":"American journal of physiology. Lung cellular and molecular physiology","DOI":"10.1152/ajplung.00013.2020","ISSN":"1040-0605","issue":"6","title":"Interactive and independent effects of early lipopolysaccharide and hyperoxia exposure on developing murine lungs.","URL":"http://ovidsp.ovid.com/ovidweb.cgi?T=JS&amp;PAGE=reference&amp;D=med18&amp;NEWS=N&amp;AN=32901520","volume":"319","author":[{"family":"Shrestha","given":"Amrit Kumar"},{"family":"Menon","given":"Renuka T"},{"family":"El-Saie","given":"Ahmed"},{"family":"Barrios","given":"Roberto"},{"family":"Reynolds","given":"Corey"},{"family":"Shivanna","given":"Binoy"}],"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sz w:val="22"/>
                <w:vertAlign w:val="superscript"/>
              </w:rPr>
              <w:t>61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7C29E0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5035B10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36D48F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39562F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bl>
    <w:p w14:paraId="409CF144" w14:textId="77777777" w:rsidR="006323BF" w:rsidRPr="00270060" w:rsidRDefault="006323BF" w:rsidP="006323BF">
      <w:pPr>
        <w:rPr>
          <w:color w:val="000000" w:themeColor="text1"/>
        </w:rPr>
      </w:pPr>
    </w:p>
    <w:p w14:paraId="5FE0A314" w14:textId="77777777" w:rsidR="006323BF" w:rsidRPr="00DC5576" w:rsidRDefault="006323BF" w:rsidP="006323BF">
      <w:pPr>
        <w:rPr>
          <w:color w:val="000000" w:themeColor="text1"/>
          <w:sz w:val="20"/>
          <w:szCs w:val="20"/>
        </w:rPr>
      </w:pPr>
      <w:r w:rsidRPr="00270060">
        <w:rPr>
          <w:b/>
          <w:bCs/>
          <w:color w:val="000000" w:themeColor="text1"/>
          <w:sz w:val="20"/>
          <w:szCs w:val="20"/>
        </w:rPr>
        <w:t>Table 2: Characteristics of studies included in Rodent BPD MAIC analysis</w:t>
      </w:r>
      <w:r w:rsidRPr="00270060">
        <w:rPr>
          <w:color w:val="000000" w:themeColor="text1"/>
          <w:sz w:val="20"/>
          <w:szCs w:val="20"/>
        </w:rPr>
        <w:t>. Techniques are outlined in supplementary table X. Mouse* = Mouse line with specific mutation. NA = No treatment. IUGR = Intrauterine growth restriction. LPS = Lipopolysaccharide.</w:t>
      </w:r>
      <w:r w:rsidRPr="00A1292B">
        <w:rPr>
          <w:color w:val="000000" w:themeColor="text1"/>
          <w:sz w:val="20"/>
          <w:szCs w:val="20"/>
        </w:rPr>
        <w:t xml:space="preserve"> </w:t>
      </w:r>
    </w:p>
    <w:p w14:paraId="47DD2D40" w14:textId="77777777" w:rsidR="006323BF" w:rsidRDefault="006323BF" w:rsidP="006323BF">
      <w:pPr>
        <w:spacing w:line="480" w:lineRule="auto"/>
        <w:jc w:val="both"/>
        <w:rPr>
          <w:i/>
          <w:iCs/>
          <w:color w:val="000000" w:themeColor="text1"/>
          <w:sz w:val="22"/>
          <w:szCs w:val="22"/>
        </w:rPr>
      </w:pPr>
    </w:p>
    <w:p w14:paraId="36B180ED" w14:textId="0B1DDB2D" w:rsidR="003B2F70" w:rsidRPr="00A1292B" w:rsidRDefault="006323BF" w:rsidP="006323BF">
      <w:pPr>
        <w:jc w:val="both"/>
        <w:rPr>
          <w:color w:val="000000" w:themeColor="text1"/>
        </w:rPr>
      </w:pPr>
      <w:r>
        <w:rPr>
          <w:i/>
          <w:iCs/>
          <w:color w:val="000000" w:themeColor="text1"/>
          <w:sz w:val="22"/>
          <w:szCs w:val="22"/>
        </w:rPr>
        <w:br w:type="column"/>
      </w:r>
    </w:p>
    <w:sectPr w:rsidR="003B2F70" w:rsidRPr="00A1292B" w:rsidSect="005D240B">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hisey Hendry" w:date="2025-11-26T11:22:00Z" w:initials="SCH">
    <w:p w14:paraId="7F90D494" w14:textId="77777777" w:rsidR="00270060" w:rsidRDefault="00270060" w:rsidP="00270060">
      <w:r>
        <w:rPr>
          <w:rStyle w:val="CommentReference"/>
        </w:rPr>
        <w:annotationRef/>
      </w:r>
      <w:r>
        <w:rPr>
          <w:sz w:val="20"/>
          <w:szCs w:val="20"/>
        </w:rPr>
        <w:t>Fix</w:t>
      </w:r>
    </w:p>
  </w:comment>
  <w:comment w:id="1" w:author="Sara Clohisey Hendry" w:date="2025-11-27T12:02:00Z" w:initials="SCH">
    <w:p w14:paraId="10998F24" w14:textId="77777777" w:rsidR="00E52243" w:rsidRDefault="00E52243" w:rsidP="00E52243">
      <w:r>
        <w:rPr>
          <w:rStyle w:val="CommentReference"/>
        </w:rPr>
        <w:annotationRef/>
      </w:r>
      <w:r>
        <w:rPr>
          <w:color w:val="F6F6F6"/>
          <w:sz w:val="20"/>
          <w:szCs w:val="20"/>
        </w:rPr>
        <w:t xml:space="preserve">The top hit in the human BPD gene set is Ras guanyl-releasing protein 3, </w:t>
      </w:r>
      <w:r>
        <w:rPr>
          <w:i/>
          <w:iCs/>
          <w:color w:val="F6F6F6"/>
          <w:sz w:val="20"/>
          <w:szCs w:val="20"/>
        </w:rPr>
        <w:t>RASGRP3</w:t>
      </w:r>
      <w:r>
        <w:rPr>
          <w:color w:val="F6F6F6"/>
          <w:sz w:val="20"/>
          <w:szCs w:val="20"/>
        </w:rPr>
        <w:t>, a guanyl nucleotide exchange factor has been shown to act downstream of the B Cell Receptor to activate RAS and RAP1</w:t>
      </w:r>
      <w:r>
        <w:rPr>
          <w:color w:val="F6F6F6"/>
          <w:sz w:val="20"/>
          <w:szCs w:val="20"/>
          <w:vertAlign w:val="superscript"/>
        </w:rPr>
        <w:t>65</w:t>
      </w:r>
      <w:r>
        <w:rPr>
          <w:color w:val="F6F6F6"/>
          <w:sz w:val="20"/>
          <w:szCs w:val="20"/>
        </w:rPr>
        <w:t xml:space="preserve">, playing an analogous role to its family member </w:t>
      </w:r>
      <w:r>
        <w:rPr>
          <w:i/>
          <w:iCs/>
          <w:color w:val="F6F6F6"/>
          <w:sz w:val="20"/>
          <w:szCs w:val="20"/>
        </w:rPr>
        <w:t>RASGRP1</w:t>
      </w:r>
      <w:r>
        <w:rPr>
          <w:color w:val="F6F6F6"/>
          <w:sz w:val="20"/>
          <w:szCs w:val="20"/>
        </w:rPr>
        <w:t xml:space="preserve"> (rank = 75) which enables positive selection of thymocytes and activation of T cells </w:t>
      </w:r>
      <w:r>
        <w:rPr>
          <w:color w:val="F6F6F6"/>
          <w:sz w:val="20"/>
          <w:szCs w:val="20"/>
          <w:vertAlign w:val="superscript"/>
        </w:rPr>
        <w:t>66</w:t>
      </w:r>
      <w:r>
        <w:rPr>
          <w:color w:val="F6F6F6"/>
          <w:sz w:val="20"/>
          <w:szCs w:val="20"/>
        </w:rPr>
        <w:t>.</w:t>
      </w:r>
      <w:r>
        <w:rPr>
          <w:color w:val="00AEFF"/>
          <w:sz w:val="20"/>
          <w:szCs w:val="20"/>
          <w:u w:val="single"/>
        </w:rPr>
        <w:t>[SCH1]</w:t>
      </w:r>
      <w:r>
        <w:rPr>
          <w:color w:val="F6F6F6"/>
          <w:sz w:val="20"/>
          <w:szCs w:val="20"/>
        </w:rPr>
        <w:t>   </w:t>
      </w:r>
    </w:p>
    <w:p w14:paraId="6E1514EB" w14:textId="77777777" w:rsidR="00E52243" w:rsidRDefault="00E52243" w:rsidP="00E52243"/>
    <w:p w14:paraId="39D06818" w14:textId="77777777" w:rsidR="00E52243" w:rsidRDefault="00E52243" w:rsidP="00E52243">
      <w:r>
        <w:rPr>
          <w:color w:val="F6F6F6"/>
          <w:sz w:val="20"/>
          <w:szCs w:val="20"/>
        </w:rPr>
        <w:t> </w:t>
      </w:r>
      <w:r>
        <w:rPr>
          <w:color w:val="00AEFF"/>
          <w:sz w:val="20"/>
          <w:szCs w:val="20"/>
          <w:u w:val="single"/>
        </w:rPr>
        <w:t>[SCH1]</w:t>
      </w:r>
      <w:r>
        <w:rPr>
          <w:color w:val="F6F6F6"/>
          <w:sz w:val="20"/>
          <w:szCs w:val="20"/>
        </w:rPr>
        <w:t>exapnd</w:t>
      </w:r>
    </w:p>
    <w:p w14:paraId="0B3629C7" w14:textId="77777777" w:rsidR="00E52243" w:rsidRDefault="00E52243" w:rsidP="00E52243"/>
  </w:comment>
  <w:comment w:id="2" w:author="Sara Clohisey Hendry" w:date="2025-11-27T11:51:00Z" w:initials="SCH">
    <w:p w14:paraId="37ED6E97" w14:textId="77777777" w:rsidR="00E52243" w:rsidRDefault="00E52243" w:rsidP="00E52243">
      <w:r>
        <w:rPr>
          <w:rStyle w:val="CommentReference"/>
        </w:rPr>
        <w:annotationRef/>
      </w:r>
      <w:r>
        <w:rPr>
          <w:color w:val="F6F6F6"/>
          <w:sz w:val="20"/>
          <w:szCs w:val="20"/>
        </w:rPr>
        <w:t>Gene regulation and expression are highly context and tissue specific. Consequently, these differences in sample type likely contribute to the divergent gene signatures observed between the two analyses.</w:t>
      </w:r>
    </w:p>
    <w:p w14:paraId="2AB872A5" w14:textId="77777777" w:rsidR="00E52243" w:rsidRDefault="00E52243" w:rsidP="00E5224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90D494" w15:done="0"/>
  <w15:commentEx w15:paraId="0B3629C7" w15:done="0"/>
  <w15:commentEx w15:paraId="2AB872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7D1896" w16cex:dateUtc="2025-11-26T11:22:00Z"/>
  <w16cex:commentExtensible w16cex:durableId="4A0A77CE" w16cex:dateUtc="2025-11-27T12:02:00Z"/>
  <w16cex:commentExtensible w16cex:durableId="6356B6EF" w16cex:dateUtc="2025-11-27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90D494" w16cid:durableId="797D1896"/>
  <w16cid:commentId w16cid:paraId="0B3629C7" w16cid:durableId="4A0A77CE"/>
  <w16cid:commentId w16cid:paraId="2AB872A5" w16cid:durableId="6356B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8EF"/>
    <w:multiLevelType w:val="hybridMultilevel"/>
    <w:tmpl w:val="632E58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69232E1E"/>
    <w:multiLevelType w:val="hybridMultilevel"/>
    <w:tmpl w:val="F7D085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96270554">
    <w:abstractNumId w:val="1"/>
  </w:num>
  <w:num w:numId="2" w16cid:durableId="3704992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hisey Hendry">
    <w15:presenceInfo w15:providerId="AD" w15:userId="S::sclohise@ed.ac.uk::1a895948-eaca-4a36-a597-d7fca435bb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0B"/>
    <w:rsid w:val="00004CBA"/>
    <w:rsid w:val="0001420C"/>
    <w:rsid w:val="00053511"/>
    <w:rsid w:val="00056E98"/>
    <w:rsid w:val="00083898"/>
    <w:rsid w:val="00097860"/>
    <w:rsid w:val="000B0759"/>
    <w:rsid w:val="000B0D01"/>
    <w:rsid w:val="000C291B"/>
    <w:rsid w:val="000C33C9"/>
    <w:rsid w:val="000E3E04"/>
    <w:rsid w:val="001045AD"/>
    <w:rsid w:val="00117601"/>
    <w:rsid w:val="00123151"/>
    <w:rsid w:val="001315ED"/>
    <w:rsid w:val="001363FD"/>
    <w:rsid w:val="00172688"/>
    <w:rsid w:val="001B5DBE"/>
    <w:rsid w:val="001D6A71"/>
    <w:rsid w:val="001E5E56"/>
    <w:rsid w:val="001E7CF0"/>
    <w:rsid w:val="00220F4B"/>
    <w:rsid w:val="00246187"/>
    <w:rsid w:val="00270060"/>
    <w:rsid w:val="002702AD"/>
    <w:rsid w:val="00294D94"/>
    <w:rsid w:val="002D7E1E"/>
    <w:rsid w:val="002F7479"/>
    <w:rsid w:val="00317902"/>
    <w:rsid w:val="00326D95"/>
    <w:rsid w:val="00327385"/>
    <w:rsid w:val="003508D3"/>
    <w:rsid w:val="00354EC8"/>
    <w:rsid w:val="00357B67"/>
    <w:rsid w:val="0036129C"/>
    <w:rsid w:val="003B2F70"/>
    <w:rsid w:val="003C028A"/>
    <w:rsid w:val="003C5E54"/>
    <w:rsid w:val="003C69BD"/>
    <w:rsid w:val="003D4739"/>
    <w:rsid w:val="00456715"/>
    <w:rsid w:val="004835F6"/>
    <w:rsid w:val="004A2A48"/>
    <w:rsid w:val="004A2BA7"/>
    <w:rsid w:val="004D450D"/>
    <w:rsid w:val="004F1989"/>
    <w:rsid w:val="004F6F62"/>
    <w:rsid w:val="00502716"/>
    <w:rsid w:val="005036A4"/>
    <w:rsid w:val="00520233"/>
    <w:rsid w:val="005400FE"/>
    <w:rsid w:val="00545988"/>
    <w:rsid w:val="005508DA"/>
    <w:rsid w:val="00551E31"/>
    <w:rsid w:val="005A680A"/>
    <w:rsid w:val="005B6EE6"/>
    <w:rsid w:val="005D240B"/>
    <w:rsid w:val="005E38C3"/>
    <w:rsid w:val="006030CD"/>
    <w:rsid w:val="006117F5"/>
    <w:rsid w:val="006323BF"/>
    <w:rsid w:val="00642B03"/>
    <w:rsid w:val="006432BA"/>
    <w:rsid w:val="00645074"/>
    <w:rsid w:val="0065040F"/>
    <w:rsid w:val="0065547A"/>
    <w:rsid w:val="00667DC3"/>
    <w:rsid w:val="006862AF"/>
    <w:rsid w:val="00690E36"/>
    <w:rsid w:val="006B2C2B"/>
    <w:rsid w:val="006B336C"/>
    <w:rsid w:val="006B6E85"/>
    <w:rsid w:val="006D02FB"/>
    <w:rsid w:val="007117FA"/>
    <w:rsid w:val="00740014"/>
    <w:rsid w:val="00745C0E"/>
    <w:rsid w:val="00746A90"/>
    <w:rsid w:val="00756D83"/>
    <w:rsid w:val="0077789B"/>
    <w:rsid w:val="007816AD"/>
    <w:rsid w:val="007917FC"/>
    <w:rsid w:val="0079558E"/>
    <w:rsid w:val="007A50A0"/>
    <w:rsid w:val="007B5CF7"/>
    <w:rsid w:val="007B6D78"/>
    <w:rsid w:val="007C3ADC"/>
    <w:rsid w:val="00810B44"/>
    <w:rsid w:val="008429F0"/>
    <w:rsid w:val="008506FE"/>
    <w:rsid w:val="0086249C"/>
    <w:rsid w:val="008C0FA7"/>
    <w:rsid w:val="008E6DBB"/>
    <w:rsid w:val="009122EE"/>
    <w:rsid w:val="009155AD"/>
    <w:rsid w:val="0094070F"/>
    <w:rsid w:val="00955096"/>
    <w:rsid w:val="00971920"/>
    <w:rsid w:val="00975F6E"/>
    <w:rsid w:val="009775FE"/>
    <w:rsid w:val="00983820"/>
    <w:rsid w:val="00996442"/>
    <w:rsid w:val="009A3070"/>
    <w:rsid w:val="009B65CF"/>
    <w:rsid w:val="009C3E07"/>
    <w:rsid w:val="009F3C8A"/>
    <w:rsid w:val="009F7E7A"/>
    <w:rsid w:val="00A04C89"/>
    <w:rsid w:val="00A1292B"/>
    <w:rsid w:val="00A14BEC"/>
    <w:rsid w:val="00A217AD"/>
    <w:rsid w:val="00A50309"/>
    <w:rsid w:val="00A55110"/>
    <w:rsid w:val="00A8651E"/>
    <w:rsid w:val="00A87B66"/>
    <w:rsid w:val="00AA50CE"/>
    <w:rsid w:val="00AB2D4D"/>
    <w:rsid w:val="00AB538C"/>
    <w:rsid w:val="00AB7995"/>
    <w:rsid w:val="00AE378A"/>
    <w:rsid w:val="00B50BCE"/>
    <w:rsid w:val="00B67F7B"/>
    <w:rsid w:val="00B82C33"/>
    <w:rsid w:val="00BC754F"/>
    <w:rsid w:val="00BD1842"/>
    <w:rsid w:val="00BD33E1"/>
    <w:rsid w:val="00BD7AA7"/>
    <w:rsid w:val="00BE6D81"/>
    <w:rsid w:val="00BF2C13"/>
    <w:rsid w:val="00C24094"/>
    <w:rsid w:val="00C2707E"/>
    <w:rsid w:val="00C27FBC"/>
    <w:rsid w:val="00C418B1"/>
    <w:rsid w:val="00C817ED"/>
    <w:rsid w:val="00C9039E"/>
    <w:rsid w:val="00CA6CE5"/>
    <w:rsid w:val="00CC72D9"/>
    <w:rsid w:val="00CD0A9E"/>
    <w:rsid w:val="00CD4E27"/>
    <w:rsid w:val="00CF1C78"/>
    <w:rsid w:val="00D021F0"/>
    <w:rsid w:val="00D15A63"/>
    <w:rsid w:val="00D3572D"/>
    <w:rsid w:val="00D47C81"/>
    <w:rsid w:val="00D50D37"/>
    <w:rsid w:val="00D70AB2"/>
    <w:rsid w:val="00D70E15"/>
    <w:rsid w:val="00D75528"/>
    <w:rsid w:val="00D76E64"/>
    <w:rsid w:val="00DA50B5"/>
    <w:rsid w:val="00DC530D"/>
    <w:rsid w:val="00DC5576"/>
    <w:rsid w:val="00DF7913"/>
    <w:rsid w:val="00E301FE"/>
    <w:rsid w:val="00E334A6"/>
    <w:rsid w:val="00E52243"/>
    <w:rsid w:val="00E52999"/>
    <w:rsid w:val="00E715A3"/>
    <w:rsid w:val="00EA1A53"/>
    <w:rsid w:val="00EB3D73"/>
    <w:rsid w:val="00EC63B6"/>
    <w:rsid w:val="00EE2AF7"/>
    <w:rsid w:val="00F059EA"/>
    <w:rsid w:val="00F3067B"/>
    <w:rsid w:val="00F55568"/>
    <w:rsid w:val="00F6752D"/>
    <w:rsid w:val="00F6786C"/>
    <w:rsid w:val="00F67FDE"/>
    <w:rsid w:val="00F76418"/>
    <w:rsid w:val="00F93FEA"/>
    <w:rsid w:val="00FC7596"/>
    <w:rsid w:val="00FD74DA"/>
    <w:rsid w:val="00FF7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D81AF2"/>
  <w15:chartTrackingRefBased/>
  <w15:docId w15:val="{11D2DAE2-4C38-8846-B2CD-023C730C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0CD"/>
  </w:style>
  <w:style w:type="paragraph" w:styleId="Heading1">
    <w:name w:val="heading 1"/>
    <w:basedOn w:val="Normal"/>
    <w:next w:val="Normal"/>
    <w:link w:val="Heading1Char"/>
    <w:uiPriority w:val="9"/>
    <w:qFormat/>
    <w:rsid w:val="005D2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4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0B"/>
    <w:rPr>
      <w:rFonts w:eastAsiaTheme="majorEastAsia" w:cstheme="majorBidi"/>
      <w:color w:val="272727" w:themeColor="text1" w:themeTint="D8"/>
    </w:rPr>
  </w:style>
  <w:style w:type="paragraph" w:styleId="Title">
    <w:name w:val="Title"/>
    <w:basedOn w:val="Normal"/>
    <w:next w:val="Normal"/>
    <w:link w:val="TitleChar"/>
    <w:uiPriority w:val="10"/>
    <w:qFormat/>
    <w:rsid w:val="005D2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40B"/>
    <w:rPr>
      <w:i/>
      <w:iCs/>
      <w:color w:val="404040" w:themeColor="text1" w:themeTint="BF"/>
    </w:rPr>
  </w:style>
  <w:style w:type="paragraph" w:styleId="ListParagraph">
    <w:name w:val="List Paragraph"/>
    <w:basedOn w:val="Normal"/>
    <w:uiPriority w:val="34"/>
    <w:qFormat/>
    <w:rsid w:val="005D240B"/>
    <w:pPr>
      <w:ind w:left="720"/>
      <w:contextualSpacing/>
    </w:pPr>
  </w:style>
  <w:style w:type="character" w:styleId="IntenseEmphasis">
    <w:name w:val="Intense Emphasis"/>
    <w:basedOn w:val="DefaultParagraphFont"/>
    <w:uiPriority w:val="21"/>
    <w:qFormat/>
    <w:rsid w:val="005D240B"/>
    <w:rPr>
      <w:i/>
      <w:iCs/>
      <w:color w:val="0F4761" w:themeColor="accent1" w:themeShade="BF"/>
    </w:rPr>
  </w:style>
  <w:style w:type="paragraph" w:styleId="IntenseQuote">
    <w:name w:val="Intense Quote"/>
    <w:basedOn w:val="Normal"/>
    <w:next w:val="Normal"/>
    <w:link w:val="IntenseQuoteChar"/>
    <w:uiPriority w:val="30"/>
    <w:qFormat/>
    <w:rsid w:val="005D2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40B"/>
    <w:rPr>
      <w:i/>
      <w:iCs/>
      <w:color w:val="0F4761" w:themeColor="accent1" w:themeShade="BF"/>
    </w:rPr>
  </w:style>
  <w:style w:type="character" w:styleId="IntenseReference">
    <w:name w:val="Intense Reference"/>
    <w:basedOn w:val="DefaultParagraphFont"/>
    <w:uiPriority w:val="32"/>
    <w:qFormat/>
    <w:rsid w:val="005D240B"/>
    <w:rPr>
      <w:b/>
      <w:bCs/>
      <w:smallCaps/>
      <w:color w:val="0F4761" w:themeColor="accent1" w:themeShade="BF"/>
      <w:spacing w:val="5"/>
    </w:rPr>
  </w:style>
  <w:style w:type="character" w:styleId="CommentReference">
    <w:name w:val="annotation reference"/>
    <w:basedOn w:val="DefaultParagraphFont"/>
    <w:uiPriority w:val="99"/>
    <w:semiHidden/>
    <w:unhideWhenUsed/>
    <w:rsid w:val="005D240B"/>
    <w:rPr>
      <w:sz w:val="16"/>
      <w:szCs w:val="16"/>
    </w:rPr>
  </w:style>
  <w:style w:type="paragraph" w:styleId="Bibliography">
    <w:name w:val="Bibliography"/>
    <w:basedOn w:val="Normal"/>
    <w:next w:val="Normal"/>
    <w:uiPriority w:val="37"/>
    <w:unhideWhenUsed/>
    <w:rsid w:val="005D240B"/>
    <w:pPr>
      <w:tabs>
        <w:tab w:val="left" w:pos="380"/>
      </w:tabs>
      <w:spacing w:line="480" w:lineRule="auto"/>
      <w:ind w:left="384" w:hanging="384"/>
    </w:pPr>
  </w:style>
  <w:style w:type="character" w:styleId="Hyperlink">
    <w:name w:val="Hyperlink"/>
    <w:basedOn w:val="DefaultParagraphFont"/>
    <w:uiPriority w:val="99"/>
    <w:semiHidden/>
    <w:unhideWhenUsed/>
    <w:rsid w:val="005D240B"/>
    <w:rPr>
      <w:color w:val="0000FF"/>
      <w:u w:val="single"/>
    </w:rPr>
  </w:style>
  <w:style w:type="character" w:styleId="LineNumber">
    <w:name w:val="line number"/>
    <w:basedOn w:val="DefaultParagraphFont"/>
    <w:uiPriority w:val="99"/>
    <w:semiHidden/>
    <w:unhideWhenUsed/>
    <w:rsid w:val="005D240B"/>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645074"/>
    <w:rPr>
      <w:b/>
      <w:bCs/>
    </w:rPr>
  </w:style>
  <w:style w:type="character" w:customStyle="1" w:styleId="CommentSubjectChar">
    <w:name w:val="Comment Subject Char"/>
    <w:basedOn w:val="CommentTextChar"/>
    <w:link w:val="CommentSubject"/>
    <w:uiPriority w:val="99"/>
    <w:semiHidden/>
    <w:rsid w:val="00645074"/>
    <w:rPr>
      <w:b/>
      <w:bCs/>
      <w:sz w:val="20"/>
      <w:szCs w:val="20"/>
    </w:rPr>
  </w:style>
  <w:style w:type="table" w:styleId="TableGrid">
    <w:name w:val="Table Grid"/>
    <w:basedOn w:val="TableNormal"/>
    <w:uiPriority w:val="39"/>
    <w:rsid w:val="00983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1927</TotalTime>
  <Pages>27</Pages>
  <Words>41438</Words>
  <Characters>236202</Characters>
  <Application>Microsoft Office Word</Application>
  <DocSecurity>0</DocSecurity>
  <Lines>1968</Lines>
  <Paragraphs>554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Clohisey Hendry</dc:creator>
  <cp:keywords/>
  <dc:description/>
  <cp:lastModifiedBy>Sara Clohisey Hendry</cp:lastModifiedBy>
  <cp:revision>79</cp:revision>
  <cp:lastPrinted>2025-11-13T15:20:00Z</cp:lastPrinted>
  <dcterms:created xsi:type="dcterms:W3CDTF">2025-08-19T13:00:00Z</dcterms:created>
  <dcterms:modified xsi:type="dcterms:W3CDTF">2025-12-16T10:20:00Z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id="Jny8XwMp"/&gt;&lt;style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