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13788" w14:textId="77777777" w:rsidR="005D240B" w:rsidRPr="005B64D9" w:rsidRDefault="005D240B" w:rsidP="005D240B">
      <w:pPr>
        <w:spacing w:line="480" w:lineRule="auto"/>
        <w:jc w:val="both"/>
        <w:rPr>
          <w:b/>
          <w:bCs/>
          <w:sz w:val="22"/>
          <w:szCs w:val="22"/>
        </w:rPr>
      </w:pPr>
      <w:r w:rsidRPr="005B64D9">
        <w:rPr>
          <w:b/>
          <w:bCs/>
          <w:sz w:val="22"/>
          <w:szCs w:val="22"/>
        </w:rPr>
        <w:t>Systems-Level Insights into Bronchopulmonary Dysplasia from Meta-Analysis of Genome-Scale Studies</w:t>
      </w:r>
    </w:p>
    <w:p w14:paraId="29EC562B" w14:textId="77777777" w:rsidR="005D240B" w:rsidRPr="005B64D9" w:rsidRDefault="005D240B" w:rsidP="005D240B">
      <w:pPr>
        <w:spacing w:line="480" w:lineRule="auto"/>
        <w:jc w:val="both"/>
        <w:rPr>
          <w:b/>
          <w:bCs/>
          <w:sz w:val="22"/>
          <w:szCs w:val="22"/>
        </w:rPr>
      </w:pPr>
    </w:p>
    <w:p w14:paraId="6AB27514" w14:textId="77777777" w:rsidR="005D240B" w:rsidRPr="005B64D9" w:rsidRDefault="005D240B" w:rsidP="005D240B">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5B4268B7" w14:textId="77777777" w:rsidR="005D240B" w:rsidRPr="005B64D9" w:rsidRDefault="005D240B" w:rsidP="005D240B">
      <w:pPr>
        <w:spacing w:line="480" w:lineRule="auto"/>
        <w:jc w:val="both"/>
        <w:rPr>
          <w:sz w:val="22"/>
          <w:szCs w:val="22"/>
        </w:rPr>
      </w:pPr>
    </w:p>
    <w:p w14:paraId="1DB81644" w14:textId="77777777" w:rsidR="005D240B" w:rsidRPr="005B64D9" w:rsidRDefault="005D240B" w:rsidP="005D240B">
      <w:pPr>
        <w:spacing w:line="480" w:lineRule="auto"/>
        <w:jc w:val="both"/>
        <w:rPr>
          <w:sz w:val="22"/>
          <w:szCs w:val="22"/>
        </w:rPr>
      </w:pPr>
      <w:r w:rsidRPr="005B64D9">
        <w:rPr>
          <w:sz w:val="22"/>
          <w:szCs w:val="22"/>
        </w:rPr>
        <w:t>*  These authors contributed equally</w:t>
      </w:r>
    </w:p>
    <w:p w14:paraId="3A3AE3C1"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00402DAC"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3924C8B2" w14:textId="77777777" w:rsidR="005D240B" w:rsidRPr="005B64D9" w:rsidRDefault="005D240B" w:rsidP="005D240B">
      <w:pPr>
        <w:spacing w:line="480" w:lineRule="auto"/>
        <w:jc w:val="both"/>
        <w:rPr>
          <w:sz w:val="22"/>
          <w:szCs w:val="22"/>
        </w:rPr>
      </w:pPr>
    </w:p>
    <w:p w14:paraId="53342AC2"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Pr>
          <w:rFonts w:cs="Calibri"/>
          <w:color w:val="000000" w:themeColor="text1"/>
          <w:sz w:val="22"/>
          <w:szCs w:val="22"/>
        </w:rPr>
        <w:t>MAIC analysis</w:t>
      </w:r>
      <w:r w:rsidRPr="005B64D9">
        <w:rPr>
          <w:rFonts w:cs="Calibri"/>
          <w:color w:val="000000" w:themeColor="text1"/>
          <w:sz w:val="22"/>
          <w:szCs w:val="22"/>
        </w:rPr>
        <w:t xml:space="preserve"> of Bronchopulmonary Dysplasia</w:t>
      </w:r>
    </w:p>
    <w:p w14:paraId="13593164"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w:t>
      </w:r>
      <w:commentRangeStart w:id="0"/>
      <w:r w:rsidRPr="005B64D9">
        <w:rPr>
          <w:rFonts w:cs="Calibri"/>
          <w:b/>
          <w:bCs/>
          <w:color w:val="000000" w:themeColor="text1"/>
          <w:sz w:val="22"/>
          <w:szCs w:val="22"/>
        </w:rPr>
        <w:t>T</w:t>
      </w:r>
      <w:commentRangeEnd w:id="0"/>
      <w:r w:rsidRPr="005B64D9">
        <w:rPr>
          <w:rStyle w:val="CommentReference"/>
          <w:sz w:val="22"/>
          <w:szCs w:val="22"/>
        </w:rPr>
        <w:commentReference w:id="0"/>
      </w:r>
    </w:p>
    <w:p w14:paraId="5FC885CB" w14:textId="77777777" w:rsidR="005D240B" w:rsidRPr="005B64D9" w:rsidRDefault="005D240B" w:rsidP="005D240B">
      <w:pPr>
        <w:spacing w:line="480" w:lineRule="auto"/>
        <w:jc w:val="both"/>
        <w:rPr>
          <w:rFonts w:cs="Calibri"/>
          <w:b/>
          <w:bCs/>
          <w:color w:val="000000" w:themeColor="text1"/>
          <w:sz w:val="22"/>
          <w:szCs w:val="22"/>
        </w:rPr>
      </w:pPr>
    </w:p>
    <w:p w14:paraId="2AC1ACFE" w14:textId="77777777" w:rsidR="005D240B"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6316437E" w14:textId="77777777" w:rsidR="005D240B" w:rsidRPr="00CC2DFC" w:rsidRDefault="005D240B" w:rsidP="005D240B">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82833F4" w14:textId="77777777" w:rsidR="005D240B" w:rsidRPr="005B64D9" w:rsidRDefault="005D240B" w:rsidP="005D240B">
      <w:pPr>
        <w:spacing w:line="480" w:lineRule="auto"/>
        <w:jc w:val="both"/>
        <w:rPr>
          <w:rFonts w:cs="Calibri"/>
          <w:b/>
          <w:bCs/>
          <w:color w:val="000000" w:themeColor="text1"/>
          <w:sz w:val="22"/>
          <w:szCs w:val="22"/>
        </w:rPr>
      </w:pPr>
    </w:p>
    <w:p w14:paraId="695E0928"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5792247D" w14:textId="77777777" w:rsidR="005D240B" w:rsidRPr="005B64D9" w:rsidRDefault="005D240B" w:rsidP="005D240B">
      <w:pPr>
        <w:spacing w:line="480" w:lineRule="auto"/>
        <w:jc w:val="both"/>
        <w:rPr>
          <w:rFonts w:cs="Calibri"/>
          <w:b/>
          <w:bCs/>
          <w:color w:val="000000" w:themeColor="text1"/>
          <w:sz w:val="22"/>
          <w:szCs w:val="22"/>
        </w:rPr>
      </w:pPr>
    </w:p>
    <w:p w14:paraId="1C8EAAE6"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283F0B14" w14:textId="77777777" w:rsidR="005D240B" w:rsidRPr="005B64D9" w:rsidRDefault="005D240B" w:rsidP="005D240B">
      <w:pPr>
        <w:spacing w:line="480" w:lineRule="auto"/>
        <w:jc w:val="both"/>
        <w:rPr>
          <w:rFonts w:cs="Calibri"/>
          <w:b/>
          <w:bCs/>
          <w:color w:val="000000" w:themeColor="text1"/>
          <w:sz w:val="22"/>
          <w:szCs w:val="22"/>
        </w:rPr>
      </w:pPr>
    </w:p>
    <w:p w14:paraId="1598C9B9"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217F6E50" w14:textId="77777777" w:rsidR="005D240B" w:rsidRPr="005B64D9" w:rsidRDefault="005D240B" w:rsidP="005D240B">
      <w:pPr>
        <w:spacing w:line="480" w:lineRule="auto"/>
        <w:jc w:val="both"/>
        <w:rPr>
          <w:rFonts w:cs="Calibri"/>
          <w:color w:val="000000" w:themeColor="text1"/>
          <w:sz w:val="22"/>
          <w:szCs w:val="22"/>
        </w:rPr>
      </w:pPr>
    </w:p>
    <w:p w14:paraId="30B7BE11" w14:textId="77777777" w:rsidR="005D240B" w:rsidRPr="005B64D9" w:rsidRDefault="005D240B" w:rsidP="005D240B">
      <w:pPr>
        <w:spacing w:line="480" w:lineRule="auto"/>
        <w:jc w:val="both"/>
        <w:rPr>
          <w:rFonts w:cs="Calibri"/>
          <w:b/>
          <w:bCs/>
          <w:color w:val="000000" w:themeColor="text1"/>
          <w:sz w:val="22"/>
          <w:szCs w:val="22"/>
        </w:rPr>
      </w:pPr>
    </w:p>
    <w:p w14:paraId="14036533"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14E12E4" w14:textId="77777777" w:rsidR="005D240B" w:rsidRPr="005B64D9" w:rsidRDefault="005D240B" w:rsidP="005D240B">
      <w:pPr>
        <w:spacing w:line="480" w:lineRule="auto"/>
        <w:jc w:val="both"/>
        <w:rPr>
          <w:rFonts w:cs="Calibri"/>
          <w:color w:val="000000" w:themeColor="text1"/>
          <w:sz w:val="22"/>
          <w:szCs w:val="22"/>
        </w:rPr>
      </w:pPr>
    </w:p>
    <w:p w14:paraId="0B37ABF8"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71CCF539" w14:textId="77777777" w:rsidR="005D240B" w:rsidRPr="005B64D9" w:rsidRDefault="005D240B" w:rsidP="005D240B">
      <w:pPr>
        <w:spacing w:line="480" w:lineRule="auto"/>
        <w:jc w:val="both"/>
        <w:rPr>
          <w:b/>
          <w:bCs/>
          <w:sz w:val="22"/>
          <w:szCs w:val="22"/>
        </w:rPr>
      </w:pPr>
      <w:r w:rsidRPr="005B64D9">
        <w:rPr>
          <w:b/>
          <w:bCs/>
          <w:sz w:val="22"/>
          <w:szCs w:val="22"/>
        </w:rPr>
        <w:br w:type="column"/>
      </w:r>
      <w:r w:rsidRPr="005B64D9">
        <w:rPr>
          <w:b/>
          <w:bCs/>
          <w:sz w:val="22"/>
          <w:szCs w:val="22"/>
        </w:rPr>
        <w:lastRenderedPageBreak/>
        <w:t>Background</w:t>
      </w:r>
    </w:p>
    <w:p w14:paraId="5EE88B62" w14:textId="77777777" w:rsidR="005D240B" w:rsidRPr="005B64D9" w:rsidRDefault="005D240B" w:rsidP="005D240B">
      <w:pPr>
        <w:spacing w:line="480" w:lineRule="auto"/>
        <w:jc w:val="both"/>
        <w:rPr>
          <w:sz w:val="22"/>
          <w:szCs w:val="22"/>
        </w:rPr>
      </w:pPr>
    </w:p>
    <w:p w14:paraId="1A381C39" w14:textId="77777777" w:rsidR="005D240B" w:rsidRPr="005B64D9" w:rsidRDefault="005D240B" w:rsidP="005D240B">
      <w:pPr>
        <w:spacing w:line="480" w:lineRule="auto"/>
        <w:jc w:val="both"/>
        <w:rPr>
          <w:color w:val="FF0000"/>
          <w:sz w:val="22"/>
          <w:szCs w:val="22"/>
        </w:rPr>
      </w:pPr>
      <w:r w:rsidRPr="005B64D9">
        <w:rPr>
          <w:sz w:val="22"/>
          <w:szCs w:val="22"/>
        </w:rPr>
        <w:t>Bronchopulmonary dysplasia (BPD), also known as Chronic Lung Disease, is one of the most common complications of preterm birth, affecting up to 30% of preterm infants born before 32 weeks post-menstrual age (PMA).</w:t>
      </w:r>
      <w:r w:rsidRPr="005B64D9">
        <w:rPr>
          <w:sz w:val="22"/>
          <w:szCs w:val="22"/>
        </w:rPr>
        <w:fldChar w:fldCharType="begin"/>
      </w:r>
      <w:r>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Pr="005B64D9">
        <w:rPr>
          <w:sz w:val="22"/>
          <w:szCs w:val="22"/>
        </w:rPr>
        <w:fldChar w:fldCharType="separate"/>
      </w:r>
      <w:r w:rsidRPr="009E4E9B">
        <w:rPr>
          <w:rFonts w:ascii="Aptos" w:cs="Times New Roman"/>
          <w:sz w:val="22"/>
        </w:rPr>
        <w:t>(</w:t>
      </w:r>
      <w:r w:rsidRPr="009E4E9B">
        <w:rPr>
          <w:rFonts w:ascii="Aptos" w:cs="Times New Roman"/>
          <w:i/>
          <w:iCs/>
          <w:sz w:val="22"/>
        </w:rPr>
        <w:t>Neonatal Data Analysis Unit (NDAU). Neonatal Health Intelligence Tool. 2021. Available: Https://Www.Imperial.Ac.Uk/Neonatal-Data-Analysis-Unit/Neonatal-Data-Analysis-Unit/Neonatal-Data-Visualisations/</w:t>
      </w:r>
      <w:r w:rsidRPr="009E4E9B">
        <w:rPr>
          <w:rFonts w:ascii="Aptos" w:cs="Times New Roman"/>
          <w:sz w:val="22"/>
        </w:rPr>
        <w:t>, n.d.)</w:t>
      </w:r>
      <w:r w:rsidRPr="005B64D9">
        <w:rPr>
          <w:sz w:val="22"/>
          <w:szCs w:val="22"/>
        </w:rPr>
        <w:fldChar w:fldCharType="end"/>
      </w:r>
      <w:r w:rsidRPr="005B64D9">
        <w:rPr>
          <w:sz w:val="22"/>
          <w:szCs w:val="22"/>
          <w:vertAlign w:val="superscript"/>
        </w:rPr>
        <w:t>,</w:t>
      </w:r>
      <w:r w:rsidRPr="005B64D9">
        <w:rPr>
          <w:sz w:val="22"/>
          <w:szCs w:val="22"/>
        </w:rPr>
        <w:fldChar w:fldCharType="begin"/>
      </w:r>
      <w:r>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(Isayama et al., 2017; Jensen et al., 2019)</w:t>
      </w:r>
      <w:r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Pr="005B64D9">
        <w:rPr>
          <w:rFonts w:eastAsia="Times New Roman"/>
          <w:sz w:val="22"/>
          <w:szCs w:val="22"/>
          <w:lang w:eastAsia="en-GB"/>
        </w:rPr>
        <w:fldChar w:fldCharType="separate"/>
      </w:r>
      <w:r w:rsidRPr="009E4E9B">
        <w:rPr>
          <w:rFonts w:ascii="Aptos" w:cs="Times New Roman"/>
          <w:sz w:val="22"/>
        </w:rPr>
        <w:t>(Gilfillan et al., 2021; Thébaud et al., 2019)</w:t>
      </w:r>
      <w:r w:rsidRPr="005B64D9">
        <w:rPr>
          <w:rFonts w:eastAsia="Times New Roman"/>
          <w:sz w:val="22"/>
          <w:szCs w:val="22"/>
          <w:lang w:eastAsia="en-GB"/>
        </w:rPr>
        <w:fldChar w:fldCharType="end"/>
      </w:r>
      <w:r w:rsidRPr="005B64D9">
        <w:rPr>
          <w:rFonts w:eastAsia="Times New Roman"/>
          <w:sz w:val="22"/>
          <w:szCs w:val="22"/>
          <w:lang w:eastAsia="en-GB"/>
        </w:rPr>
        <w:t xml:space="preserve"> </w:t>
      </w:r>
      <w:r w:rsidRPr="005B64D9">
        <w:rPr>
          <w:sz w:val="22"/>
          <w:szCs w:val="22"/>
        </w:rPr>
        <w:t>The effects of BPD are life-long; individuals with BPD are more likely to require rehospitalisation during their childhood, to have limited lung function and to display delayed neurodevelopment, compared to those born preterm without BPD.</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confidence interval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Moreover, there was no obvious heterogeneity across the studies (\n                P\n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0.617,\n                I\n                2\n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0%). The pooled OR remained stable and ranged from 1.65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1.35–2.01) to 1.78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Pr>
          <w:rFonts w:ascii="Arial" w:eastAsia="Times New Roman" w:hAnsi="Arial" w:cs="Arial"/>
          <w:sz w:val="22"/>
          <w:szCs w:val="22"/>
          <w:lang w:eastAsia="en-GB"/>
        </w:rPr>
        <w:instrText> </w:instrText>
      </w:r>
      <w:r>
        <w:rPr>
          <w:rFonts w:eastAsia="Times New Roman"/>
          <w:sz w:val="22"/>
          <w:szCs w:val="22"/>
          <w:lang w:eastAsia="en-GB"/>
        </w:rPr>
        <w:instrText>&gt; |\n                Z\n                | =</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0.602 for Begg’s test, and\n                P\n                </w:instrText>
      </w:r>
      <w:r>
        <w:rPr>
          <w:rFonts w:ascii="Arial" w:eastAsia="Times New Roman" w:hAnsi="Arial" w:cs="Arial"/>
          <w:sz w:val="22"/>
          <w:szCs w:val="22"/>
          <w:lang w:eastAsia="en-GB"/>
        </w:rPr>
        <w:instrText> </w:instrText>
      </w:r>
      <w:r>
        <w:rPr>
          <w:rFonts w:eastAsia="Times New Roman"/>
          <w:sz w:val="22"/>
          <w:szCs w:val="22"/>
          <w:lang w:eastAsia="en-GB"/>
        </w:rPr>
        <w:instrText>&gt; |\n                t\n                | =</w:instrText>
      </w:r>
      <w:r>
        <w:rPr>
          <w:rFonts w:ascii="Arial" w:eastAsia="Times New Roman" w:hAnsi="Arial" w:cs="Arial"/>
          <w:sz w:val="22"/>
          <w:szCs w:val="22"/>
          <w:lang w:eastAsia="en-GB"/>
        </w:rPr>
        <w:instrText> </w:instrText>
      </w:r>
      <w:r>
        <w:rPr>
          <w:rFonts w:eastAsia="Times New Roman"/>
          <w:sz w:val="22"/>
          <w:szCs w:val="22"/>
          <w:lang w:eastAsia="en-GB"/>
        </w:rPr>
        <w:instrText>0.991 for Egger’s test).\n              \n            \n            \n              Conclusions\n              Our findings indicate that preterm infants with BPD have a much higher risk of developing asthma in the future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Pr="005B64D9">
        <w:rPr>
          <w:rFonts w:eastAsia="Times New Roman"/>
          <w:sz w:val="22"/>
          <w:szCs w:val="22"/>
          <w:lang w:eastAsia="en-GB"/>
        </w:rPr>
        <w:fldChar w:fldCharType="separate"/>
      </w:r>
      <w:r>
        <w:rPr>
          <w:rFonts w:cs="Times New Roman"/>
          <w:sz w:val="22"/>
          <w:szCs w:val="22"/>
        </w:rPr>
        <w:t>(Dassios &amp; Greenough, 2021; Greenough, 2000, 2006; Sun et al., 2023)</w:t>
      </w:r>
      <w:r w:rsidRPr="005B64D9">
        <w:rPr>
          <w:rFonts w:eastAsia="Times New Roman"/>
          <w:sz w:val="22"/>
          <w:szCs w:val="22"/>
          <w:lang w:eastAsia="en-GB"/>
        </w:rPr>
        <w:fldChar w:fldCharType="end"/>
      </w:r>
    </w:p>
    <w:p w14:paraId="759F8694" w14:textId="77777777" w:rsidR="005D240B" w:rsidRPr="005B64D9" w:rsidRDefault="005D240B" w:rsidP="005D240B">
      <w:pPr>
        <w:spacing w:line="480" w:lineRule="auto"/>
        <w:jc w:val="both"/>
        <w:rPr>
          <w:color w:val="000000" w:themeColor="text1"/>
          <w:sz w:val="22"/>
          <w:szCs w:val="22"/>
        </w:rPr>
      </w:pPr>
    </w:p>
    <w:p w14:paraId="03FACDBC" w14:textId="4A98F3A4" w:rsidR="005D240B" w:rsidRPr="005B64D9" w:rsidRDefault="005D240B" w:rsidP="005D240B">
      <w:pPr>
        <w:spacing w:line="480" w:lineRule="auto"/>
        <w:jc w:val="both"/>
        <w:rPr>
          <w:sz w:val="22"/>
          <w:szCs w:val="22"/>
        </w:rPr>
      </w:pPr>
      <w:r w:rsidRPr="005B64D9">
        <w:rPr>
          <w:color w:val="000000" w:themeColor="text1"/>
          <w:sz w:val="22"/>
          <w:szCs w:val="22"/>
        </w:rPr>
        <w:t xml:space="preserve">Understanding the molecular mechanisms that contribute to BPD could aid in risk prediction, targeted therapies, and understanding disease mechanisms. The heterogeneity of the disease has hampered efforts to identify reliable, consistent biomarkers. </w:t>
      </w:r>
      <w:r>
        <w:rPr>
          <w:sz w:val="22"/>
          <w:szCs w:val="22"/>
        </w:rPr>
        <w:t>A</w:t>
      </w:r>
      <w:r w:rsidRPr="005B64D9">
        <w:rPr>
          <w:sz w:val="22"/>
          <w:szCs w:val="22"/>
        </w:rPr>
        <w:t>longside evidence from twin studies pointing to a possible heritable component in BPD</w:t>
      </w:r>
      <w:r w:rsidR="0065547A">
        <w:rPr>
          <w:sz w:val="22"/>
          <w:szCs w:val="22"/>
        </w:rPr>
        <w:t xml:space="preserve"> </w:t>
      </w:r>
      <w:r w:rsidRPr="005B64D9">
        <w:rPr>
          <w:color w:val="000000" w:themeColor="text1"/>
          <w:sz w:val="22"/>
          <w:szCs w:val="22"/>
        </w:rPr>
        <w:fldChar w:fldCharType="begin"/>
      </w:r>
      <w:r>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Pr>
          <w:rFonts w:ascii="Sylfaen" w:hAnsi="Sylfaen" w:cs="Sylfaen"/>
          <w:color w:val="000000" w:themeColor="text1"/>
          <w:sz w:val="22"/>
          <w:szCs w:val="22"/>
        </w:rPr>
        <w:instrText>Յ</w:instrText>
      </w:r>
      <w:r>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Pr>
          <w:rFonts w:ascii="Sylfaen" w:hAnsi="Sylfaen" w:cs="Sylfaen"/>
          <w:color w:val="000000" w:themeColor="text1"/>
          <w:sz w:val="22"/>
          <w:szCs w:val="22"/>
        </w:rPr>
        <w:instrText>Յ</w:instrText>
      </w:r>
      <w:r>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Pr>
          <w:rFonts w:ascii="Sylfaen" w:hAnsi="Sylfaen" w:cs="Sylfaen"/>
          <w:color w:val="000000" w:themeColor="text1"/>
          <w:sz w:val="22"/>
          <w:szCs w:val="22"/>
        </w:rPr>
        <w:instrText>Ն</w:instrText>
      </w:r>
      <w:r>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Pr="005B64D9">
        <w:rPr>
          <w:color w:val="000000" w:themeColor="text1"/>
          <w:sz w:val="22"/>
          <w:szCs w:val="22"/>
        </w:rPr>
        <w:fldChar w:fldCharType="separate"/>
      </w:r>
      <w:r>
        <w:rPr>
          <w:rFonts w:cs="Times New Roman"/>
          <w:color w:val="000000" w:themeColor="text1"/>
          <w:sz w:val="22"/>
          <w:szCs w:val="22"/>
        </w:rPr>
        <w:t>(Bhandari et al., 2006; Lavoie et al., 2008)</w:t>
      </w:r>
      <w:r w:rsidRPr="005B64D9">
        <w:rPr>
          <w:color w:val="000000" w:themeColor="text1"/>
          <w:sz w:val="22"/>
          <w:szCs w:val="22"/>
        </w:rPr>
        <w:fldChar w:fldCharType="end"/>
      </w:r>
      <w:r w:rsidRPr="005B64D9">
        <w:rPr>
          <w:color w:val="000000" w:themeColor="text1"/>
          <w:sz w:val="22"/>
          <w:szCs w:val="22"/>
        </w:rPr>
        <w:t xml:space="preserve"> some candidates have been identified (e.g. SPOCK2, CRP)</w:t>
      </w:r>
      <w:r>
        <w:rPr>
          <w:color w:val="000000" w:themeColor="text1"/>
          <w:sz w:val="22"/>
          <w:szCs w:val="22"/>
        </w:rPr>
        <w:t>. Though</w:t>
      </w:r>
      <w:r w:rsidRPr="005B64D9">
        <w:rPr>
          <w:color w:val="000000" w:themeColor="text1"/>
          <w:sz w:val="22"/>
          <w:szCs w:val="22"/>
        </w:rPr>
        <w:t xml:space="preserve"> no gene has been significantly associated with the development of BPD via Genome Wide Association Studies (GWAS) or exome sequencing.</w:t>
      </w:r>
      <w:r w:rsidRPr="005B64D9">
        <w:rPr>
          <w:color w:val="000000" w:themeColor="text1"/>
          <w:sz w:val="22"/>
          <w:szCs w:val="22"/>
        </w:rPr>
        <w:fldChar w:fldCharType="begin"/>
      </w:r>
      <w:r>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555) and non-Finnish (\n              n</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3.4</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2.9</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10\n              –4\n              ) and the SNP rs3093059 associated nominally with plasma CRP levels. Finally, SNP rs11265269 was identified as a risk factor of BPD (OR 1.8,\n              p\n              </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5.3</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Pr>
          <w:rFonts w:ascii="Arial" w:hAnsi="Arial" w:cs="Arial"/>
          <w:color w:val="000000" w:themeColor="text1"/>
          <w:sz w:val="22"/>
          <w:szCs w:val="22"/>
        </w:rPr>
        <w:instrText> </w:instrText>
      </w:r>
      <w:r>
        <w:rPr>
          <w:color w:val="000000" w:themeColor="text1"/>
          <w:sz w:val="22"/>
          <w:szCs w:val="22"/>
        </w:rPr>
        <w:instrText>=</w:instrText>
      </w:r>
      <w:r>
        <w:rPr>
          <w:rFonts w:ascii="Arial" w:hAnsi="Arial" w:cs="Arial"/>
          <w:color w:val="000000" w:themeColor="text1"/>
          <w:sz w:val="22"/>
          <w:szCs w:val="22"/>
        </w:rPr>
        <w:instrText> </w:instrText>
      </w:r>
      <w:r>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Pr="005B64D9">
        <w:rPr>
          <w:color w:val="000000" w:themeColor="text1"/>
          <w:sz w:val="22"/>
          <w:szCs w:val="22"/>
        </w:rPr>
        <w:fldChar w:fldCharType="separate"/>
      </w:r>
      <w:r>
        <w:rPr>
          <w:rFonts w:cs="Times New Roman"/>
          <w:color w:val="000000" w:themeColor="text1"/>
          <w:sz w:val="22"/>
          <w:szCs w:val="22"/>
        </w:rPr>
        <w:t>(Ambalavanan et al., 2015; Hadchouel et al., 2011; Mahlman et al., 2017; Torgerson et al., 2018; H. Wang et al., 2013)</w:t>
      </w:r>
      <w:r w:rsidRPr="005B64D9">
        <w:rPr>
          <w:color w:val="000000" w:themeColor="text1"/>
          <w:sz w:val="22"/>
          <w:szCs w:val="22"/>
        </w:rPr>
        <w:fldChar w:fldCharType="end"/>
      </w:r>
      <w:r w:rsidRPr="005B64D9">
        <w:rPr>
          <w:color w:val="000000" w:themeColor="text1"/>
          <w:sz w:val="22"/>
          <w:szCs w:val="22"/>
        </w:rPr>
        <w:t xml:space="preserve"> </w:t>
      </w:r>
      <w:r>
        <w:rPr>
          <w:sz w:val="22"/>
          <w:szCs w:val="22"/>
        </w:rPr>
        <w:t xml:space="preserve">Recently, </w:t>
      </w:r>
      <w:r>
        <w:rPr>
          <w:color w:val="000000" w:themeColor="text1"/>
          <w:sz w:val="22"/>
          <w:szCs w:val="22"/>
        </w:rPr>
        <w:t>t</w:t>
      </w:r>
      <w:r w:rsidRPr="005B64D9">
        <w:rPr>
          <w:color w:val="000000" w:themeColor="text1"/>
          <w:sz w:val="22"/>
          <w:szCs w:val="22"/>
        </w:rPr>
        <w:t xml:space="preserve">ranscriptomic data has been used to identify four endotypes of BPD, distinguished by T helper </w:t>
      </w:r>
      <w:r w:rsidRPr="005B64D9">
        <w:rPr>
          <w:sz w:val="22"/>
          <w:szCs w:val="22"/>
        </w:rPr>
        <w:t>cell and T cell signalling.</w:t>
      </w:r>
      <w:r w:rsidRPr="005B64D9">
        <w:rPr>
          <w:sz w:val="22"/>
          <w:szCs w:val="22"/>
        </w:rPr>
        <w:fldChar w:fldCharType="begin"/>
      </w:r>
      <w:r>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Pr="005B64D9">
        <w:rPr>
          <w:sz w:val="22"/>
          <w:szCs w:val="22"/>
        </w:rPr>
        <w:fldChar w:fldCharType="separate"/>
      </w:r>
      <w:r>
        <w:rPr>
          <w:rFonts w:cs="Times New Roman"/>
          <w:sz w:val="22"/>
          <w:szCs w:val="22"/>
        </w:rPr>
        <w:t>(Moreira et al., 2023)</w:t>
      </w:r>
      <w:r w:rsidRPr="005B64D9">
        <w:rPr>
          <w:sz w:val="22"/>
          <w:szCs w:val="22"/>
        </w:rPr>
        <w:fldChar w:fldCharType="end"/>
      </w:r>
      <w:r w:rsidRPr="005B64D9">
        <w:rPr>
          <w:sz w:val="22"/>
          <w:szCs w:val="22"/>
        </w:rPr>
        <w:t xml:space="preserve"> Integrating results from heterogenous sources can allow for novel insights</w:t>
      </w:r>
      <w:r>
        <w:rPr>
          <w:sz w:val="22"/>
          <w:szCs w:val="22"/>
        </w:rPr>
        <w:t xml:space="preserve">, </w:t>
      </w:r>
      <w:r w:rsidRPr="005B64D9">
        <w:rPr>
          <w:sz w:val="22"/>
          <w:szCs w:val="22"/>
        </w:rPr>
        <w:t>reflect</w:t>
      </w:r>
      <w:r>
        <w:rPr>
          <w:sz w:val="22"/>
          <w:szCs w:val="22"/>
        </w:rPr>
        <w:t>ing</w:t>
      </w:r>
      <w:r w:rsidRPr="005B64D9">
        <w:rPr>
          <w:sz w:val="22"/>
          <w:szCs w:val="22"/>
        </w:rPr>
        <w:t xml:space="preserve"> an ongoing effort to incorporate insights from genome-scale research, complementing the longstanding emphasis on clinical studies in the field.  </w:t>
      </w:r>
    </w:p>
    <w:p w14:paraId="47B3636A" w14:textId="77777777" w:rsidR="005D240B" w:rsidRPr="005B64D9" w:rsidRDefault="005D240B" w:rsidP="005D240B">
      <w:pPr>
        <w:spacing w:line="480" w:lineRule="auto"/>
        <w:jc w:val="both"/>
        <w:rPr>
          <w:sz w:val="22"/>
          <w:szCs w:val="22"/>
        </w:rPr>
      </w:pPr>
      <w:r w:rsidRPr="005B64D9">
        <w:rPr>
          <w:sz w:val="22"/>
          <w:szCs w:val="22"/>
        </w:rPr>
        <w:lastRenderedPageBreak/>
        <w:t>Comparative transcriptomic analyses across species can provide valuable insights into common mechanisms while also highlighting potential species-specific responses.</w:t>
      </w:r>
      <w:r>
        <w:rPr>
          <w:sz w:val="22"/>
          <w:szCs w:val="22"/>
        </w:rPr>
        <w:t xml:space="preserve"> </w:t>
      </w:r>
      <w:r w:rsidRPr="005B64D9">
        <w:rPr>
          <w:sz w:val="22"/>
          <w:szCs w:val="22"/>
        </w:rPr>
        <w:t>Rodent models, 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Pr="005B64D9">
        <w:rPr>
          <w:sz w:val="22"/>
          <w:szCs w:val="22"/>
        </w:rPr>
        <w:fldChar w:fldCharType="begin"/>
      </w:r>
      <w:r>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Pr="005B64D9">
        <w:rPr>
          <w:sz w:val="22"/>
          <w:szCs w:val="22"/>
        </w:rPr>
        <w:fldChar w:fldCharType="separate"/>
      </w:r>
      <w:r>
        <w:rPr>
          <w:rFonts w:cs="Times New Roman"/>
          <w:sz w:val="22"/>
          <w:szCs w:val="22"/>
        </w:rPr>
        <w:t>(Hurskainen et al., 2021)</w:t>
      </w:r>
      <w:r w:rsidRPr="005B64D9">
        <w:rPr>
          <w:sz w:val="22"/>
          <w:szCs w:val="22"/>
        </w:rPr>
        <w:fldChar w:fldCharType="end"/>
      </w:r>
      <w:r w:rsidRPr="005B64D9">
        <w:rPr>
          <w:sz w:val="22"/>
          <w:szCs w:val="22"/>
        </w:rPr>
        <w:t xml:space="preserve"> </w:t>
      </w:r>
    </w:p>
    <w:p w14:paraId="47F9A33D" w14:textId="77777777" w:rsidR="005D240B" w:rsidRPr="005B64D9" w:rsidRDefault="005D240B" w:rsidP="005D240B">
      <w:pPr>
        <w:spacing w:line="480" w:lineRule="auto"/>
        <w:jc w:val="both"/>
        <w:rPr>
          <w:sz w:val="22"/>
          <w:szCs w:val="22"/>
        </w:rPr>
      </w:pPr>
    </w:p>
    <w:p w14:paraId="4EF82ACF" w14:textId="77777777" w:rsidR="005D240B" w:rsidRPr="005B64D9" w:rsidRDefault="005D240B" w:rsidP="005D240B">
      <w:pPr>
        <w:spacing w:line="480" w:lineRule="auto"/>
        <w:jc w:val="both"/>
        <w:rPr>
          <w:sz w:val="22"/>
          <w:szCs w:val="22"/>
        </w:rPr>
      </w:pPr>
      <w:r w:rsidRPr="005B64D9">
        <w:rPr>
          <w:sz w:val="22"/>
          <w:szCs w:val="22"/>
        </w:rPr>
        <w:t>We conducted two concurrent systematic reviews of the BPD literature, focusing on genome-scale studies in humans and rodents. Results were extracted from identified studies, where possible, and analysed using Meta Analysis by Information Content (MAIC) algorithm. MAIC is a previously described algorithm that uses data-driven gene list weightings to produce a comprehensive ranked list of genes associated with the trait of interest.</w:t>
      </w:r>
      <w:r w:rsidRPr="005B64D9">
        <w:rPr>
          <w:sz w:val="22"/>
          <w:szCs w:val="22"/>
        </w:rPr>
        <w:fldChar w:fldCharType="begin"/>
      </w:r>
      <w:r>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 Parkinson et al., 2020; The GenOMICC Investigators et al., 2021; B. Wang et al., 2022)</w:t>
      </w:r>
      <w:r w:rsidRPr="005B64D9">
        <w:rPr>
          <w:sz w:val="22"/>
          <w:szCs w:val="22"/>
        </w:rPr>
        <w:fldChar w:fldCharType="end"/>
      </w:r>
    </w:p>
    <w:p w14:paraId="218F2443" w14:textId="77777777" w:rsidR="005D240B" w:rsidRPr="005B64D9" w:rsidRDefault="005D240B" w:rsidP="005D240B">
      <w:pPr>
        <w:spacing w:line="480" w:lineRule="auto"/>
        <w:jc w:val="both"/>
        <w:rPr>
          <w:sz w:val="22"/>
          <w:szCs w:val="22"/>
        </w:rPr>
      </w:pPr>
    </w:p>
    <w:p w14:paraId="0B6EE8BF" w14:textId="47DFB652" w:rsidR="005D240B" w:rsidRPr="005B64D9" w:rsidRDefault="005D240B" w:rsidP="005D240B">
      <w:pPr>
        <w:spacing w:line="480" w:lineRule="auto"/>
        <w:jc w:val="both"/>
        <w:rPr>
          <w:color w:val="FF0000"/>
          <w:sz w:val="22"/>
          <w:szCs w:val="22"/>
        </w:rPr>
      </w:pPr>
      <w:r w:rsidRPr="005B64D9">
        <w:rPr>
          <w:sz w:val="22"/>
          <w:szCs w:val="22"/>
        </w:rPr>
        <w:t xml:space="preserve">Our findings demonstrate that BPD is a complex disease which involves dysregulation in adaptive immune signalling, and extracellular matrix organisation. Of note, T cell-associated genes feature prominently suggesting that </w:t>
      </w:r>
      <w:r w:rsidR="00645074">
        <w:rPr>
          <w:sz w:val="22"/>
          <w:szCs w:val="22"/>
        </w:rPr>
        <w:t>adaptive-lineage cells</w:t>
      </w:r>
      <w:r w:rsidRPr="005B64D9">
        <w:rPr>
          <w:sz w:val="22"/>
          <w:szCs w:val="22"/>
        </w:rPr>
        <w:t xml:space="preserve"> may play a larger role in BPD pathogenesis</w:t>
      </w:r>
      <w:r>
        <w:rPr>
          <w:sz w:val="22"/>
          <w:szCs w:val="22"/>
        </w:rPr>
        <w:t>,</w:t>
      </w:r>
      <w:r w:rsidRPr="005B64D9">
        <w:rPr>
          <w:sz w:val="22"/>
          <w:szCs w:val="22"/>
        </w:rPr>
        <w:t xml:space="preserve"> and potentially ventilator associated lung injury, than previously appreciated.</w:t>
      </w:r>
      <w:r w:rsidRPr="005B64D9">
        <w:rPr>
          <w:color w:val="FF0000"/>
          <w:sz w:val="22"/>
          <w:szCs w:val="22"/>
        </w:rPr>
        <w:br w:type="page"/>
      </w:r>
    </w:p>
    <w:p w14:paraId="38E3A906" w14:textId="77777777" w:rsidR="005D240B" w:rsidRPr="005B64D9" w:rsidRDefault="005D240B" w:rsidP="005D240B">
      <w:pPr>
        <w:spacing w:line="480" w:lineRule="auto"/>
        <w:jc w:val="both"/>
        <w:rPr>
          <w:b/>
          <w:bCs/>
          <w:sz w:val="22"/>
          <w:szCs w:val="22"/>
        </w:rPr>
      </w:pPr>
      <w:r w:rsidRPr="005B64D9">
        <w:rPr>
          <w:b/>
          <w:bCs/>
          <w:sz w:val="22"/>
          <w:szCs w:val="22"/>
        </w:rPr>
        <w:lastRenderedPageBreak/>
        <w:t>Result</w:t>
      </w:r>
      <w:commentRangeStart w:id="1"/>
      <w:r w:rsidRPr="005B64D9">
        <w:rPr>
          <w:b/>
          <w:bCs/>
          <w:sz w:val="22"/>
          <w:szCs w:val="22"/>
        </w:rPr>
        <w:t>s</w:t>
      </w:r>
      <w:commentRangeEnd w:id="1"/>
      <w:r>
        <w:rPr>
          <w:rStyle w:val="CommentReference"/>
        </w:rPr>
        <w:commentReference w:id="1"/>
      </w:r>
    </w:p>
    <w:p w14:paraId="10D82985" w14:textId="77777777" w:rsidR="005D240B" w:rsidRPr="005B64D9" w:rsidRDefault="005D240B" w:rsidP="005D240B">
      <w:pPr>
        <w:spacing w:line="480" w:lineRule="auto"/>
        <w:jc w:val="both"/>
        <w:rPr>
          <w:sz w:val="22"/>
          <w:szCs w:val="22"/>
        </w:rPr>
      </w:pPr>
    </w:p>
    <w:p w14:paraId="4FBD7ABA" w14:textId="77777777" w:rsidR="005D240B" w:rsidRPr="005B64D9" w:rsidRDefault="005D240B" w:rsidP="005D240B">
      <w:pPr>
        <w:spacing w:line="480" w:lineRule="auto"/>
        <w:jc w:val="both"/>
        <w:rPr>
          <w:i/>
          <w:iCs/>
          <w:sz w:val="22"/>
          <w:szCs w:val="22"/>
        </w:rPr>
      </w:pPr>
      <w:r w:rsidRPr="005B64D9">
        <w:rPr>
          <w:i/>
          <w:iCs/>
          <w:sz w:val="22"/>
          <w:szCs w:val="22"/>
        </w:rPr>
        <w:t xml:space="preserve">Systematic review </w:t>
      </w:r>
    </w:p>
    <w:p w14:paraId="331A203E" w14:textId="77777777" w:rsidR="005D240B" w:rsidRPr="005B64D9" w:rsidRDefault="005D240B" w:rsidP="005D240B">
      <w:pPr>
        <w:spacing w:line="480" w:lineRule="auto"/>
        <w:jc w:val="both"/>
        <w:rPr>
          <w:sz w:val="22"/>
          <w:szCs w:val="22"/>
        </w:rPr>
      </w:pPr>
    </w:p>
    <w:p w14:paraId="008204EC" w14:textId="3DF8889A" w:rsidR="005D240B" w:rsidRDefault="005D240B" w:rsidP="005D240B">
      <w:pPr>
        <w:spacing w:line="480" w:lineRule="auto"/>
        <w:jc w:val="both"/>
        <w:rPr>
          <w:sz w:val="22"/>
          <w:szCs w:val="22"/>
        </w:rPr>
      </w:pPr>
      <w:r w:rsidRPr="005B64D9">
        <w:rPr>
          <w:sz w:val="22"/>
          <w:szCs w:val="22"/>
        </w:rPr>
        <w:t xml:space="preserve">We </w:t>
      </w:r>
      <w:r w:rsidR="00740014">
        <w:rPr>
          <w:sz w:val="22"/>
          <w:szCs w:val="22"/>
        </w:rPr>
        <w:t xml:space="preserve">first </w:t>
      </w:r>
      <w:r w:rsidRPr="005B64D9">
        <w:rPr>
          <w:sz w:val="22"/>
          <w:szCs w:val="22"/>
        </w:rPr>
        <w:t xml:space="preserve">conducted a systematic review of studies that reported associations between genes, transcripts, or proteins, and the development of BPD in humans or the study of BPD in </w:t>
      </w:r>
      <w:r w:rsidR="00740014">
        <w:rPr>
          <w:sz w:val="22"/>
          <w:szCs w:val="22"/>
        </w:rPr>
        <w:t>mammalian</w:t>
      </w:r>
      <w:r w:rsidRPr="005B64D9">
        <w:rPr>
          <w:sz w:val="22"/>
          <w:szCs w:val="22"/>
        </w:rPr>
        <w:t xml:space="preserve"> models. We did not limit the search to any specific definition of BPD. Our search yielded 4450 unique citations that were evaluated for inclusion [</w:t>
      </w:r>
      <w:r w:rsidRPr="000F518A">
        <w:rPr>
          <w:sz w:val="22"/>
          <w:szCs w:val="22"/>
          <w:highlight w:val="darkMagenta"/>
        </w:rPr>
        <w:t>Supplementary Figures 1 and 2</w:t>
      </w:r>
      <w:r w:rsidRPr="005B64D9">
        <w:rPr>
          <w:sz w:val="22"/>
          <w:szCs w:val="22"/>
        </w:rPr>
        <w:t xml:space="preserve">]. For full text evaluation we retrieved 76 articles for human studies and 118 for </w:t>
      </w:r>
      <w:r w:rsidR="00740014">
        <w:rPr>
          <w:sz w:val="22"/>
          <w:szCs w:val="22"/>
        </w:rPr>
        <w:t>mammalian</w:t>
      </w:r>
      <w:r w:rsidRPr="005B64D9">
        <w:rPr>
          <w:sz w:val="22"/>
          <w:szCs w:val="22"/>
        </w:rPr>
        <w:t xml:space="preserve"> studies</w:t>
      </w:r>
      <w:r>
        <w:rPr>
          <w:sz w:val="22"/>
          <w:szCs w:val="22"/>
        </w:rPr>
        <w:t xml:space="preserve">, </w:t>
      </w:r>
      <w:r w:rsidRPr="00E76DCD">
        <w:rPr>
          <w:sz w:val="22"/>
          <w:szCs w:val="22"/>
        </w:rPr>
        <w:t>without overlap. Although</w:t>
      </w:r>
      <w:r w:rsidRPr="005B64D9">
        <w:rPr>
          <w:sz w:val="22"/>
          <w:szCs w:val="22"/>
        </w:rPr>
        <w:t xml:space="preserve"> large </w:t>
      </w:r>
      <w:r w:rsidR="00740014">
        <w:rPr>
          <w:sz w:val="22"/>
          <w:szCs w:val="22"/>
        </w:rPr>
        <w:t>mammal</w:t>
      </w:r>
      <w:r w:rsidRPr="005B64D9">
        <w:rPr>
          <w:sz w:val="22"/>
          <w:szCs w:val="22"/>
        </w:rPr>
        <w:t xml:space="preserve"> models are used to explore BPD,</w:t>
      </w:r>
      <w:r w:rsidRPr="005B64D9">
        <w:rPr>
          <w:sz w:val="22"/>
          <w:szCs w:val="22"/>
        </w:rPr>
        <w:fldChar w:fldCharType="begin"/>
      </w:r>
      <w:r>
        <w:rPr>
          <w:sz w:val="22"/>
          <w:szCs w:val="22"/>
        </w:rPr>
        <w:instrText xml:space="preserve"> ADDIN ZOTERO_ITEM CSL_CITATION {"citationID":"zyyDahLY","properties":{"formattedCitation":"(Eiby et al., 2013)","plainCitation":"(Eiby et al., 2013)","noteIndex":0},"citationItems":[{"id":2060,"uris":["http://zotero.org/users/14418362/items/4W55XNDV"],"itemData":{"id":2060,"type":"article-journal","abstract":"Background: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Gerbert"}],"accessed":{"date-parts":[["2024",11,8]]},"issued":{"date-parts":[["2013",7,9]]}}}],"schema":"https://github.com/citation-style-language/schema/raw/master/csl-citation.json"} </w:instrText>
      </w:r>
      <w:r w:rsidRPr="005B64D9">
        <w:rPr>
          <w:sz w:val="22"/>
          <w:szCs w:val="22"/>
        </w:rPr>
        <w:fldChar w:fldCharType="separate"/>
      </w:r>
      <w:r>
        <w:rPr>
          <w:rFonts w:cs="Times New Roman"/>
          <w:sz w:val="22"/>
          <w:szCs w:val="22"/>
        </w:rPr>
        <w:t>(Eiby et al., 2013)</w:t>
      </w:r>
      <w:r w:rsidRPr="005B64D9">
        <w:rPr>
          <w:sz w:val="22"/>
          <w:szCs w:val="22"/>
        </w:rPr>
        <w:fldChar w:fldCharType="end"/>
      </w:r>
      <w:r w:rsidRPr="005B64D9">
        <w:rPr>
          <w:sz w:val="22"/>
          <w:szCs w:val="22"/>
          <w:shd w:val="clear" w:color="auto" w:fill="FFFFFF"/>
        </w:rPr>
        <w:fldChar w:fldCharType="begin"/>
      </w:r>
      <w:r>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found none that met our inclusion criteria</w:t>
      </w:r>
      <w:r>
        <w:rPr>
          <w:sz w:val="22"/>
          <w:szCs w:val="22"/>
        </w:rPr>
        <w:t xml:space="preserve"> (</w:t>
      </w:r>
      <w:r w:rsidRPr="004201F6">
        <w:rPr>
          <w:sz w:val="22"/>
          <w:szCs w:val="22"/>
          <w:highlight w:val="darkMagenta"/>
        </w:rPr>
        <w:t>Supplementary Tables 1 and 2)</w:t>
      </w:r>
      <w:r>
        <w:rPr>
          <w:sz w:val="22"/>
          <w:szCs w:val="22"/>
        </w:rPr>
        <w:t xml:space="preserve"> and the analysis therefore focused on rodents(mice and rats).</w:t>
      </w:r>
    </w:p>
    <w:p w14:paraId="71C971F9" w14:textId="77777777" w:rsidR="00E334A6" w:rsidRPr="005B64D9" w:rsidRDefault="00E334A6" w:rsidP="005D240B">
      <w:pPr>
        <w:spacing w:line="480" w:lineRule="auto"/>
        <w:jc w:val="both"/>
        <w:rPr>
          <w:sz w:val="22"/>
          <w:szCs w:val="22"/>
        </w:rPr>
      </w:pPr>
    </w:p>
    <w:p w14:paraId="17039506"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human studies</w:t>
      </w:r>
    </w:p>
    <w:p w14:paraId="7F78BF00" w14:textId="55F5959F" w:rsidR="005D240B" w:rsidRPr="005B64D9" w:rsidRDefault="005D240B" w:rsidP="005D240B">
      <w:pPr>
        <w:tabs>
          <w:tab w:val="left" w:pos="8364"/>
        </w:tabs>
        <w:spacing w:line="480" w:lineRule="auto"/>
        <w:jc w:val="both"/>
        <w:rPr>
          <w:sz w:val="22"/>
          <w:szCs w:val="22"/>
        </w:rPr>
      </w:pPr>
      <w:r w:rsidRPr="005B64D9">
        <w:rPr>
          <w:sz w:val="22"/>
          <w:szCs w:val="22"/>
        </w:rPr>
        <w:t xml:space="preserve">From the 81 human studies, 21 met our eligibility </w:t>
      </w:r>
      <w:proofErr w:type="gramStart"/>
      <w:r w:rsidRPr="005B64D9">
        <w:rPr>
          <w:sz w:val="22"/>
          <w:szCs w:val="22"/>
        </w:rPr>
        <w:t>criteria[</w:t>
      </w:r>
      <w:proofErr w:type="gramEnd"/>
      <w:r w:rsidRPr="000F518A">
        <w:rPr>
          <w:sz w:val="22"/>
          <w:szCs w:val="22"/>
          <w:highlight w:val="darkMagenta"/>
        </w:rPr>
        <w:t>Supplementary Figure</w:t>
      </w:r>
      <w:r>
        <w:rPr>
          <w:sz w:val="22"/>
          <w:szCs w:val="22"/>
        </w:rPr>
        <w:t xml:space="preserve"> 1, Table 1</w:t>
      </w:r>
      <w:r w:rsidRPr="005B64D9">
        <w:rPr>
          <w:sz w:val="22"/>
          <w:szCs w:val="22"/>
        </w:rPr>
        <w:t xml:space="preserve">]. This yielded 31 gene lists, 23 ranked and 8 unranked, employing 5 experimental </w:t>
      </w:r>
      <w:proofErr w:type="gramStart"/>
      <w:r w:rsidRPr="005B64D9">
        <w:rPr>
          <w:sz w:val="22"/>
          <w:szCs w:val="22"/>
        </w:rPr>
        <w:t xml:space="preserve">techniques  </w:t>
      </w:r>
      <w:r>
        <w:rPr>
          <w:sz w:val="22"/>
          <w:szCs w:val="22"/>
        </w:rPr>
        <w:t>(</w:t>
      </w:r>
      <w:proofErr w:type="gramEnd"/>
      <w:r w:rsidRPr="004201F6">
        <w:rPr>
          <w:sz w:val="22"/>
          <w:szCs w:val="22"/>
          <w:highlight w:val="darkMagenta"/>
        </w:rPr>
        <w:t xml:space="preserve">Supplementary Table </w:t>
      </w:r>
      <w:r>
        <w:rPr>
          <w:sz w:val="22"/>
          <w:szCs w:val="22"/>
        </w:rPr>
        <w:t>3</w:t>
      </w:r>
      <w:r w:rsidRPr="005B64D9">
        <w:rPr>
          <w:sz w:val="22"/>
          <w:szCs w:val="22"/>
        </w:rPr>
        <w:t>,</w:t>
      </w:r>
      <w:r>
        <w:rPr>
          <w:sz w:val="22"/>
          <w:szCs w:val="22"/>
        </w:rPr>
        <w:t>)</w:t>
      </w:r>
      <w:r w:rsidRPr="005B64D9">
        <w:rPr>
          <w:sz w:val="22"/>
          <w:szCs w:val="22"/>
        </w:rPr>
        <w:t xml:space="preserve"> and representing 4358 infants (cases = 2247, controls = 2111).  While the definition of BPD varied between studies, over two-thirds of studies, (71.4%, 15/21), used receipt of respiratory support at 36 weeks PMA.</w:t>
      </w:r>
      <w:r w:rsidRPr="005B64D9">
        <w:rPr>
          <w:sz w:val="22"/>
          <w:szCs w:val="22"/>
        </w:rPr>
        <w:fldChar w:fldCharType="begin"/>
      </w:r>
      <w:r>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(Jensen et al., 2019)</w:t>
      </w:r>
      <w:r w:rsidRPr="005B64D9">
        <w:rPr>
          <w:sz w:val="22"/>
          <w:szCs w:val="22"/>
        </w:rPr>
        <w:fldChar w:fldCharType="end"/>
      </w:r>
      <w:r w:rsidRPr="005B64D9">
        <w:rPr>
          <w:sz w:val="22"/>
          <w:szCs w:val="22"/>
        </w:rPr>
        <w:t xml:space="preserve"> All but a single study used primary tissue</w:t>
      </w:r>
      <w:r w:rsidR="00740014">
        <w:rPr>
          <w:sz w:val="22"/>
          <w:szCs w:val="22"/>
        </w:rPr>
        <w:t xml:space="preserve"> or blood</w:t>
      </w:r>
      <w:r w:rsidRPr="005B64D9">
        <w:rPr>
          <w:sz w:val="22"/>
          <w:szCs w:val="22"/>
        </w:rPr>
        <w:t xml:space="preserve">. </w:t>
      </w:r>
      <w:r>
        <w:rPr>
          <w:sz w:val="22"/>
          <w:szCs w:val="22"/>
        </w:rPr>
        <w:t xml:space="preserve">MAIC collated and ranked </w:t>
      </w:r>
      <w:r w:rsidRPr="005B64D9">
        <w:rPr>
          <w:sz w:val="22"/>
          <w:szCs w:val="22"/>
        </w:rPr>
        <w:t>8017 unique genes across the datasets</w:t>
      </w:r>
      <w:r>
        <w:rPr>
          <w:sz w:val="22"/>
          <w:szCs w:val="22"/>
        </w:rPr>
        <w:t xml:space="preserve"> [</w:t>
      </w:r>
      <w:proofErr w:type="spellStart"/>
      <w:r w:rsidRPr="00F25B82">
        <w:rPr>
          <w:sz w:val="22"/>
          <w:szCs w:val="22"/>
          <w:highlight w:val="darkMagenta"/>
        </w:rPr>
        <w:t>Supplmentary</w:t>
      </w:r>
      <w:proofErr w:type="spellEnd"/>
      <w:r w:rsidRPr="00F25B82">
        <w:rPr>
          <w:sz w:val="22"/>
          <w:szCs w:val="22"/>
          <w:highlight w:val="darkMagenta"/>
        </w:rPr>
        <w:t xml:space="preserve"> Table 4</w:t>
      </w:r>
      <w:r>
        <w:rPr>
          <w:sz w:val="22"/>
          <w:szCs w:val="22"/>
        </w:rPr>
        <w:t xml:space="preserve">, </w:t>
      </w:r>
      <w:r w:rsidRPr="00F25B82">
        <w:rPr>
          <w:sz w:val="22"/>
          <w:szCs w:val="22"/>
          <w:highlight w:val="red"/>
        </w:rPr>
        <w:t>Figure1A</w:t>
      </w:r>
      <w:r>
        <w:rPr>
          <w:sz w:val="22"/>
          <w:szCs w:val="22"/>
        </w:rPr>
        <w:t>]</w:t>
      </w:r>
      <w:commentRangeStart w:id="2"/>
      <w:r w:rsidRPr="005B64D9">
        <w:rPr>
          <w:sz w:val="22"/>
          <w:szCs w:val="22"/>
        </w:rPr>
        <w:t>,</w:t>
      </w:r>
      <w:commentRangeEnd w:id="2"/>
      <w:r>
        <w:rPr>
          <w:rStyle w:val="CommentReference"/>
        </w:rPr>
        <w:commentReference w:id="2"/>
      </w:r>
      <w:r w:rsidRPr="005B64D9">
        <w:rPr>
          <w:sz w:val="22"/>
          <w:szCs w:val="22"/>
        </w:rPr>
        <w:t xml:space="preserve"> </w:t>
      </w:r>
      <w:r>
        <w:rPr>
          <w:sz w:val="22"/>
          <w:szCs w:val="22"/>
        </w:rPr>
        <w:t xml:space="preserve">and </w:t>
      </w:r>
      <w:r w:rsidRPr="005B64D9">
        <w:rPr>
          <w:sz w:val="22"/>
          <w:szCs w:val="22"/>
        </w:rPr>
        <w:t>only a single gene was supported by evidence from all 5 experimental techniques (</w:t>
      </w:r>
      <w:r w:rsidRPr="005B64D9">
        <w:rPr>
          <w:i/>
          <w:iCs/>
          <w:sz w:val="22"/>
          <w:szCs w:val="22"/>
        </w:rPr>
        <w:t>RASGRP3</w:t>
      </w:r>
      <w:r w:rsidRPr="005B64D9">
        <w:rPr>
          <w:sz w:val="22"/>
          <w:szCs w:val="22"/>
        </w:rPr>
        <w:t>, rank = 1). Few genes (n = 53 genes, 0.6%) were supported by &gt;=3 methods while 745 genes (9.74%) were supported by more than 1 method.</w:t>
      </w:r>
      <w:r>
        <w:rPr>
          <w:sz w:val="22"/>
          <w:szCs w:val="22"/>
        </w:rPr>
        <w:t xml:space="preserve"> There is a focus on immunity (</w:t>
      </w:r>
      <w:r w:rsidRPr="006639D2">
        <w:rPr>
          <w:i/>
          <w:iCs/>
          <w:sz w:val="22"/>
          <w:szCs w:val="22"/>
        </w:rPr>
        <w:t>RASGRP3, IL1R2, CD2, CHIT1, GPA33, CD177</w:t>
      </w:r>
      <w:r>
        <w:rPr>
          <w:i/>
          <w:iCs/>
          <w:sz w:val="22"/>
          <w:szCs w:val="22"/>
        </w:rPr>
        <w:t xml:space="preserve">, RCAN3) </w:t>
      </w:r>
      <w:r w:rsidRPr="00750C51">
        <w:rPr>
          <w:sz w:val="22"/>
          <w:szCs w:val="22"/>
        </w:rPr>
        <w:t xml:space="preserve">and </w:t>
      </w:r>
      <w:r w:rsidR="00740014">
        <w:rPr>
          <w:sz w:val="22"/>
          <w:szCs w:val="22"/>
        </w:rPr>
        <w:t xml:space="preserve">extracellular </w:t>
      </w:r>
      <w:r w:rsidRPr="00750C51">
        <w:rPr>
          <w:sz w:val="22"/>
          <w:szCs w:val="22"/>
        </w:rPr>
        <w:t>structure</w:t>
      </w:r>
      <w:r>
        <w:rPr>
          <w:i/>
          <w:iCs/>
          <w:sz w:val="22"/>
          <w:szCs w:val="22"/>
        </w:rPr>
        <w:t xml:space="preserve"> (</w:t>
      </w:r>
      <w:r w:rsidRPr="006639D2">
        <w:rPr>
          <w:i/>
          <w:iCs/>
          <w:sz w:val="22"/>
          <w:szCs w:val="22"/>
        </w:rPr>
        <w:t>LRRN3,</w:t>
      </w:r>
      <w:r w:rsidRPr="00750C51">
        <w:rPr>
          <w:i/>
          <w:iCs/>
          <w:sz w:val="22"/>
          <w:szCs w:val="22"/>
        </w:rPr>
        <w:t xml:space="preserve"> </w:t>
      </w:r>
      <w:r w:rsidRPr="006639D2">
        <w:rPr>
          <w:i/>
          <w:iCs/>
          <w:sz w:val="22"/>
          <w:szCs w:val="22"/>
        </w:rPr>
        <w:t>FBN1</w:t>
      </w:r>
      <w:r>
        <w:rPr>
          <w:i/>
          <w:iCs/>
          <w:sz w:val="22"/>
          <w:szCs w:val="22"/>
        </w:rPr>
        <w:t>)</w:t>
      </w:r>
      <w:r>
        <w:rPr>
          <w:sz w:val="22"/>
          <w:szCs w:val="22"/>
        </w:rPr>
        <w:t xml:space="preserve"> within the top 10 ranked genes. Additionally, </w:t>
      </w:r>
      <w:r w:rsidRPr="00750C51">
        <w:rPr>
          <w:i/>
          <w:iCs/>
          <w:sz w:val="22"/>
          <w:szCs w:val="22"/>
        </w:rPr>
        <w:t>HGB1</w:t>
      </w:r>
      <w:r>
        <w:rPr>
          <w:sz w:val="22"/>
          <w:szCs w:val="22"/>
        </w:rPr>
        <w:t xml:space="preserve"> features, a subunit of foetal </w:t>
      </w:r>
      <w:r w:rsidR="00740014">
        <w:rPr>
          <w:sz w:val="22"/>
          <w:szCs w:val="22"/>
        </w:rPr>
        <w:lastRenderedPageBreak/>
        <w:t>haemoglobin</w:t>
      </w:r>
      <w:r>
        <w:rPr>
          <w:sz w:val="22"/>
          <w:szCs w:val="22"/>
        </w:rPr>
        <w:t xml:space="preserve">. </w:t>
      </w:r>
      <w:r w:rsidRPr="005B64D9">
        <w:rPr>
          <w:sz w:val="22"/>
          <w:szCs w:val="22"/>
        </w:rPr>
        <w:t>We prioritised 945 genes for further investigation [</w:t>
      </w:r>
      <w:r w:rsidRPr="00AB1CAB">
        <w:rPr>
          <w:sz w:val="22"/>
          <w:szCs w:val="22"/>
          <w:highlight w:val="darkMagenta"/>
        </w:rPr>
        <w:t>Figure 1B</w:t>
      </w:r>
      <w:r w:rsidRPr="005B64D9">
        <w:rPr>
          <w:sz w:val="22"/>
          <w:szCs w:val="22"/>
        </w:rPr>
        <w:t>], as previously described.</w:t>
      </w:r>
      <w:r w:rsidRPr="005B64D9">
        <w:rPr>
          <w:sz w:val="22"/>
          <w:szCs w:val="22"/>
        </w:rPr>
        <w:fldChar w:fldCharType="begin"/>
      </w:r>
      <w:r>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p>
    <w:p w14:paraId="564454B4" w14:textId="77777777" w:rsidR="005D240B" w:rsidRPr="005B64D9" w:rsidRDefault="005D240B" w:rsidP="005D240B">
      <w:pPr>
        <w:spacing w:line="480" w:lineRule="auto"/>
        <w:jc w:val="both"/>
        <w:rPr>
          <w:i/>
          <w:iCs/>
          <w:sz w:val="22"/>
          <w:szCs w:val="22"/>
        </w:rPr>
      </w:pPr>
    </w:p>
    <w:p w14:paraId="16725CA1" w14:textId="77777777" w:rsidR="005D240B" w:rsidRPr="005B64D9" w:rsidRDefault="005D240B" w:rsidP="005D240B">
      <w:pPr>
        <w:spacing w:line="480" w:lineRule="auto"/>
        <w:jc w:val="both"/>
        <w:rPr>
          <w:i/>
          <w:iCs/>
          <w:sz w:val="22"/>
          <w:szCs w:val="22"/>
        </w:rPr>
      </w:pPr>
      <w:r w:rsidRPr="005B64D9">
        <w:rPr>
          <w:i/>
          <w:iCs/>
          <w:sz w:val="22"/>
          <w:szCs w:val="22"/>
        </w:rPr>
        <w:t>Over representation and enrichment analyses</w:t>
      </w:r>
    </w:p>
    <w:p w14:paraId="3C583ACB" w14:textId="01A3287B" w:rsidR="005D240B" w:rsidRDefault="005D240B" w:rsidP="005D240B">
      <w:pPr>
        <w:spacing w:line="480" w:lineRule="auto"/>
        <w:jc w:val="both"/>
        <w:rPr>
          <w:sz w:val="22"/>
          <w:szCs w:val="22"/>
        </w:rPr>
      </w:pPr>
      <w:r w:rsidRPr="005B64D9">
        <w:rPr>
          <w:sz w:val="22"/>
          <w:szCs w:val="22"/>
        </w:rPr>
        <w:t xml:space="preserve">We first performed Over Representation Analysis (ORA), on the prioritised list of 945 genes. The ORA results from the Gene Ontology database (encompassing all ontologies) were grouped first based on semantic similarity and then based on function </w:t>
      </w:r>
      <w:r w:rsidRPr="00AB1CAB">
        <w:rPr>
          <w:sz w:val="22"/>
          <w:szCs w:val="22"/>
          <w:highlight w:val="darkMagenta"/>
        </w:rPr>
        <w:t>[Figure 1C</w:t>
      </w:r>
      <w:r w:rsidRPr="005B64D9">
        <w:rPr>
          <w:sz w:val="22"/>
          <w:szCs w:val="22"/>
        </w:rPr>
        <w:t xml:space="preserve">].  Our analysis reveals a significant over-representation of adaptive immune system processes, with a prominent emphasis on T cell differentiation and regulation, as well as cell-cell adhesion. This is further supported by ORA using the KEGG and </w:t>
      </w:r>
      <w:proofErr w:type="spellStart"/>
      <w:r w:rsidRPr="005B64D9">
        <w:rPr>
          <w:sz w:val="22"/>
          <w:szCs w:val="22"/>
        </w:rPr>
        <w:t>Reactome</w:t>
      </w:r>
      <w:proofErr w:type="spellEnd"/>
      <w:r w:rsidRPr="005B64D9">
        <w:rPr>
          <w:sz w:val="22"/>
          <w:szCs w:val="22"/>
        </w:rPr>
        <w:t xml:space="preserve"> databases [</w:t>
      </w:r>
      <w:r w:rsidRPr="00F76418">
        <w:rPr>
          <w:sz w:val="22"/>
          <w:szCs w:val="22"/>
          <w:highlight w:val="red"/>
        </w:rPr>
        <w:t>Supplementary Figures</w:t>
      </w:r>
      <w:r w:rsidR="00955096" w:rsidRPr="00F76418">
        <w:rPr>
          <w:sz w:val="22"/>
          <w:szCs w:val="22"/>
          <w:highlight w:val="red"/>
        </w:rPr>
        <w:t xml:space="preserve"> &amp; Tables</w:t>
      </w:r>
      <w:r w:rsidRPr="005B64D9">
        <w:rPr>
          <w:sz w:val="22"/>
          <w:szCs w:val="22"/>
        </w:rPr>
        <w:t xml:space="preserve">]. T cell development was further highlighted when we carried out gene set enrichment analysis (GSEA) of </w:t>
      </w:r>
      <w:r w:rsidRPr="00F76418">
        <w:rPr>
          <w:sz w:val="22"/>
          <w:szCs w:val="22"/>
        </w:rPr>
        <w:t>the human BPD MAIC dataset</w:t>
      </w:r>
      <w:r w:rsidRPr="005B64D9">
        <w:rPr>
          <w:sz w:val="22"/>
          <w:szCs w:val="22"/>
        </w:rPr>
        <w:t xml:space="preserve"> [</w:t>
      </w:r>
      <w:r w:rsidRPr="00F76418">
        <w:rPr>
          <w:sz w:val="22"/>
          <w:szCs w:val="22"/>
          <w:highlight w:val="darkMagenta"/>
        </w:rPr>
        <w:t>Figure 1D, E</w:t>
      </w:r>
      <w:r w:rsidRPr="005B64D9">
        <w:rPr>
          <w:sz w:val="22"/>
          <w:szCs w:val="22"/>
        </w:rPr>
        <w:t>].</w:t>
      </w:r>
    </w:p>
    <w:p w14:paraId="392D3E95" w14:textId="77777777" w:rsidR="007C3ADC" w:rsidRPr="005B64D9" w:rsidRDefault="007C3ADC" w:rsidP="005D240B">
      <w:pPr>
        <w:spacing w:line="480" w:lineRule="auto"/>
        <w:jc w:val="both"/>
        <w:rPr>
          <w:sz w:val="22"/>
          <w:szCs w:val="22"/>
        </w:rPr>
      </w:pPr>
    </w:p>
    <w:p w14:paraId="31A6965A" w14:textId="46A79AAE" w:rsidR="005D240B" w:rsidRDefault="005D240B" w:rsidP="005D240B">
      <w:pPr>
        <w:spacing w:line="480" w:lineRule="auto"/>
        <w:jc w:val="both"/>
        <w:rPr>
          <w:sz w:val="22"/>
          <w:szCs w:val="22"/>
        </w:rPr>
      </w:pPr>
      <w:r w:rsidRPr="005B64D9">
        <w:rPr>
          <w:sz w:val="22"/>
          <w:szCs w:val="22"/>
        </w:rPr>
        <w:t xml:space="preserve">We then created a protein-protein interaction (PPI) network using the prioritised set of genes. </w:t>
      </w:r>
      <w:r w:rsidRPr="005B64D9">
        <w:rPr>
          <w:rFonts w:cs="Helvetica"/>
          <w:sz w:val="22"/>
          <w:szCs w:val="22"/>
        </w:rPr>
        <w:t xml:space="preserve">MCL clustering identified </w:t>
      </w:r>
      <w:r>
        <w:rPr>
          <w:rFonts w:cs="Helvetica"/>
          <w:sz w:val="22"/>
          <w:szCs w:val="22"/>
        </w:rPr>
        <w:t>25</w:t>
      </w:r>
      <w:r w:rsidRPr="005B64D9">
        <w:rPr>
          <w:rFonts w:cs="Helvetica"/>
          <w:sz w:val="22"/>
          <w:szCs w:val="22"/>
        </w:rPr>
        <w:t xml:space="preserve"> clusters with &gt;=</w:t>
      </w:r>
      <w:r>
        <w:rPr>
          <w:rFonts w:cs="Helvetica"/>
          <w:sz w:val="22"/>
          <w:szCs w:val="22"/>
        </w:rPr>
        <w:t>5</w:t>
      </w:r>
      <w:r w:rsidRPr="005B64D9">
        <w:rPr>
          <w:rFonts w:cs="Helvetica"/>
          <w:sz w:val="22"/>
          <w:szCs w:val="22"/>
        </w:rPr>
        <w:t xml:space="preserve"> members. The 7 largest clusters contained &gt;=10 members [</w:t>
      </w:r>
      <w:r w:rsidRPr="00996103">
        <w:rPr>
          <w:rFonts w:cs="Helvetica"/>
          <w:sz w:val="22"/>
          <w:szCs w:val="22"/>
          <w:highlight w:val="darkMagenta"/>
        </w:rPr>
        <w:t>Supplementary Figures shows the top 5 clusters</w:t>
      </w:r>
      <w:r w:rsidRPr="005B64D9">
        <w:rPr>
          <w:rFonts w:cs="Helvetica"/>
          <w:sz w:val="22"/>
          <w:szCs w:val="22"/>
        </w:rPr>
        <w:t xml:space="preserve">]. </w:t>
      </w:r>
      <w:r w:rsidR="001D6A71">
        <w:t xml:space="preserve">Using previously reported </w:t>
      </w:r>
      <w:r w:rsidR="001D6A71" w:rsidRPr="001D6A71">
        <w:rPr>
          <w:sz w:val="22"/>
          <w:szCs w:val="22"/>
        </w:rPr>
        <w:t>methods (Millar et al., 2024), we identified 32 hub genes within the PPI network, proposed to play central roles in the broader network [</w:t>
      </w:r>
      <w:r w:rsidR="001D6A71" w:rsidRPr="00E334A6">
        <w:rPr>
          <w:sz w:val="22"/>
          <w:szCs w:val="22"/>
          <w:highlight w:val="darkMagenta"/>
        </w:rPr>
        <w:t>Figure 1F</w:t>
      </w:r>
      <w:r w:rsidR="001D6A71" w:rsidRPr="001D6A71">
        <w:rPr>
          <w:sz w:val="22"/>
          <w:szCs w:val="22"/>
        </w:rPr>
        <w:t>]. MCL clustering revealed three major clusters related to lymphocytes, corresponding to activation (red, blue), receptors (blue), and immunoglobulins (green) (</w:t>
      </w:r>
      <w:r w:rsidR="001D6A71" w:rsidRPr="00E334A6">
        <w:rPr>
          <w:sz w:val="22"/>
          <w:szCs w:val="22"/>
          <w:highlight w:val="darkMagenta"/>
        </w:rPr>
        <w:t>Figure 1G</w:t>
      </w:r>
      <w:r w:rsidR="001D6A71" w:rsidRPr="001D6A71">
        <w:rPr>
          <w:sz w:val="22"/>
          <w:szCs w:val="22"/>
        </w:rPr>
        <w:t>).</w:t>
      </w:r>
    </w:p>
    <w:p w14:paraId="17861E94" w14:textId="77777777" w:rsidR="001D6A71" w:rsidRPr="005B64D9" w:rsidRDefault="001D6A71" w:rsidP="005D240B">
      <w:pPr>
        <w:spacing w:line="480" w:lineRule="auto"/>
        <w:jc w:val="both"/>
        <w:rPr>
          <w:sz w:val="22"/>
          <w:szCs w:val="22"/>
        </w:rPr>
      </w:pPr>
    </w:p>
    <w:p w14:paraId="5EE2D56F" w14:textId="77777777" w:rsidR="005D240B" w:rsidRPr="005B64D9" w:rsidRDefault="005D240B" w:rsidP="005D240B">
      <w:pPr>
        <w:spacing w:line="480" w:lineRule="auto"/>
        <w:jc w:val="both"/>
        <w:rPr>
          <w:i/>
          <w:iCs/>
          <w:sz w:val="22"/>
          <w:szCs w:val="22"/>
        </w:rPr>
      </w:pPr>
      <w:r w:rsidRPr="005B64D9">
        <w:rPr>
          <w:i/>
          <w:iCs/>
          <w:sz w:val="22"/>
          <w:szCs w:val="22"/>
        </w:rPr>
        <w:t>ARDS dataset</w:t>
      </w:r>
    </w:p>
    <w:p w14:paraId="375A8821" w14:textId="1586F8DD" w:rsidR="005D240B" w:rsidRDefault="005D240B" w:rsidP="005D240B">
      <w:pPr>
        <w:spacing w:line="480" w:lineRule="auto"/>
        <w:jc w:val="both"/>
        <w:rPr>
          <w:sz w:val="22"/>
          <w:szCs w:val="22"/>
        </w:rPr>
      </w:pPr>
      <w:r w:rsidRPr="005B64D9">
        <w:rPr>
          <w:sz w:val="22"/>
          <w:szCs w:val="22"/>
        </w:rPr>
        <w:t xml:space="preserve">Acute lung injury caused or worsened by mechanical ventilation during treatment is a feature of BPD in neonates and </w:t>
      </w:r>
      <w:proofErr w:type="gramStart"/>
      <w:r w:rsidRPr="005B64D9">
        <w:rPr>
          <w:sz w:val="22"/>
          <w:szCs w:val="22"/>
        </w:rPr>
        <w:t>Acute Respiratory Distress Syndrome</w:t>
      </w:r>
      <w:proofErr w:type="gramEnd"/>
      <w:r w:rsidRPr="005B64D9">
        <w:rPr>
          <w:sz w:val="22"/>
          <w:szCs w:val="22"/>
        </w:rPr>
        <w:t xml:space="preserve"> (ARDS) in adults (paediatric ARDS in children). We </w:t>
      </w:r>
      <w:r w:rsidR="00955096">
        <w:rPr>
          <w:sz w:val="22"/>
          <w:szCs w:val="22"/>
        </w:rPr>
        <w:t>wished</w:t>
      </w:r>
      <w:r w:rsidRPr="005B64D9">
        <w:rPr>
          <w:sz w:val="22"/>
          <w:szCs w:val="22"/>
        </w:rPr>
        <w:t xml:space="preserve"> to </w:t>
      </w:r>
      <w:r w:rsidR="00955096">
        <w:rPr>
          <w:sz w:val="22"/>
          <w:szCs w:val="22"/>
        </w:rPr>
        <w:t>characterise, as a first step</w:t>
      </w:r>
      <w:r w:rsidRPr="005B64D9">
        <w:rPr>
          <w:sz w:val="22"/>
          <w:szCs w:val="22"/>
        </w:rPr>
        <w:t xml:space="preserve"> firstly, the </w:t>
      </w:r>
      <w:r w:rsidR="00955096">
        <w:rPr>
          <w:sz w:val="22"/>
          <w:szCs w:val="22"/>
        </w:rPr>
        <w:t>shared of</w:t>
      </w:r>
      <w:r w:rsidRPr="005B64D9">
        <w:rPr>
          <w:sz w:val="22"/>
          <w:szCs w:val="22"/>
        </w:rPr>
        <w:t xml:space="preserve"> effects mechanical ventilation may have on the developed </w:t>
      </w:r>
      <w:r w:rsidR="00955096">
        <w:rPr>
          <w:sz w:val="22"/>
          <w:szCs w:val="22"/>
        </w:rPr>
        <w:t>and</w:t>
      </w:r>
      <w:r w:rsidRPr="005B64D9">
        <w:rPr>
          <w:sz w:val="22"/>
          <w:szCs w:val="22"/>
        </w:rPr>
        <w:t xml:space="preserve"> the developing lung, and to understand </w:t>
      </w:r>
      <w:r w:rsidR="00955096">
        <w:rPr>
          <w:sz w:val="22"/>
          <w:szCs w:val="22"/>
        </w:rPr>
        <w:t>distinct</w:t>
      </w:r>
      <w:r w:rsidRPr="005B64D9">
        <w:rPr>
          <w:sz w:val="22"/>
          <w:szCs w:val="22"/>
        </w:rPr>
        <w:t xml:space="preserve"> </w:t>
      </w:r>
      <w:r w:rsidRPr="005B64D9">
        <w:rPr>
          <w:sz w:val="22"/>
          <w:szCs w:val="22"/>
        </w:rPr>
        <w:lastRenderedPageBreak/>
        <w:t xml:space="preserve">factors that may underlie </w:t>
      </w:r>
      <w:r w:rsidR="00955096">
        <w:rPr>
          <w:sz w:val="22"/>
          <w:szCs w:val="22"/>
        </w:rPr>
        <w:t>each</w:t>
      </w:r>
      <w:r w:rsidRPr="005B64D9">
        <w:rPr>
          <w:sz w:val="22"/>
          <w:szCs w:val="22"/>
        </w:rPr>
        <w:t xml:space="preserve"> syndrome. </w:t>
      </w:r>
      <w:r w:rsidR="00955096">
        <w:rPr>
          <w:sz w:val="22"/>
          <w:szCs w:val="22"/>
        </w:rPr>
        <w:t>We</w:t>
      </w:r>
      <w:r w:rsidRPr="005B64D9">
        <w:rPr>
          <w:sz w:val="22"/>
          <w:szCs w:val="22"/>
        </w:rPr>
        <w:t xml:space="preserve"> evaluated </w:t>
      </w:r>
      <w:r w:rsidRPr="001B5DBE">
        <w:rPr>
          <w:sz w:val="22"/>
          <w:szCs w:val="22"/>
        </w:rPr>
        <w:t>the human BPD MAIC dataset</w:t>
      </w:r>
      <w:r w:rsidRPr="005B64D9">
        <w:rPr>
          <w:sz w:val="22"/>
          <w:szCs w:val="22"/>
        </w:rPr>
        <w:t xml:space="preserve"> against our previously generated ARDS MAIC analysis.</w:t>
      </w:r>
      <w:r w:rsidRPr="005B64D9">
        <w:rPr>
          <w:sz w:val="22"/>
          <w:szCs w:val="22"/>
        </w:rPr>
        <w:fldChar w:fldCharType="begin"/>
      </w:r>
      <w:r>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sz w:val="22"/>
          <w:szCs w:val="22"/>
        </w:rPr>
        <w:t xml:space="preserve"> </w:t>
      </w:r>
    </w:p>
    <w:p w14:paraId="15EDB832" w14:textId="77777777" w:rsidR="007C3ADC" w:rsidRPr="005B64D9" w:rsidRDefault="007C3ADC" w:rsidP="005D240B">
      <w:pPr>
        <w:spacing w:line="480" w:lineRule="auto"/>
        <w:jc w:val="both"/>
        <w:rPr>
          <w:sz w:val="22"/>
          <w:szCs w:val="22"/>
        </w:rPr>
      </w:pPr>
    </w:p>
    <w:p w14:paraId="5C5DFECB" w14:textId="71A19A0D" w:rsidR="005D240B" w:rsidRPr="00745C0E" w:rsidRDefault="005D240B" w:rsidP="005D240B">
      <w:pPr>
        <w:spacing w:line="480" w:lineRule="auto"/>
        <w:jc w:val="both"/>
        <w:rPr>
          <w:sz w:val="22"/>
          <w:szCs w:val="22"/>
          <w:highlight w:val="yellow"/>
        </w:rPr>
      </w:pPr>
      <w:r w:rsidRPr="005B64D9">
        <w:rPr>
          <w:sz w:val="22"/>
          <w:szCs w:val="22"/>
        </w:rPr>
        <w:t xml:space="preserve">Over Representation Analysis focusing on the prioritised genes from both datasets highlighted shared pathology relating to adaptive immunity with pathways associated with positive regulation </w:t>
      </w:r>
      <w:r w:rsidRPr="001B5DBE">
        <w:rPr>
          <w:rFonts w:ascii="Aptos" w:hAnsi="Aptos"/>
          <w:sz w:val="22"/>
          <w:szCs w:val="22"/>
        </w:rPr>
        <w:t>of T cell activation [</w:t>
      </w:r>
      <w:r w:rsidRPr="001B5DBE">
        <w:rPr>
          <w:rFonts w:ascii="Aptos" w:hAnsi="Aptos"/>
          <w:sz w:val="22"/>
          <w:szCs w:val="22"/>
          <w:highlight w:val="darkMagenta"/>
        </w:rPr>
        <w:t>Figure2A</w:t>
      </w:r>
      <w:r w:rsidRPr="001B5DBE">
        <w:rPr>
          <w:rFonts w:ascii="Aptos" w:hAnsi="Aptos"/>
          <w:sz w:val="22"/>
          <w:szCs w:val="22"/>
        </w:rPr>
        <w:t xml:space="preserve">]. While NF-kappa signal transduction is associated with ARDS, it does </w:t>
      </w:r>
      <w:r w:rsidR="001B5DBE" w:rsidRPr="001B5DBE">
        <w:rPr>
          <w:rFonts w:ascii="Aptos" w:hAnsi="Aptos"/>
          <w:sz w:val="22"/>
          <w:szCs w:val="22"/>
        </w:rPr>
        <w:t>it is not evident in our BPD dataset, suggesting a divergence in the underlying pathologies.</w:t>
      </w:r>
      <w:r w:rsidRPr="001B5DBE">
        <w:rPr>
          <w:rFonts w:ascii="Aptos" w:hAnsi="Aptos"/>
          <w:sz w:val="22"/>
          <w:szCs w:val="22"/>
        </w:rPr>
        <w:t xml:space="preserve"> </w:t>
      </w:r>
      <w:r w:rsidR="00745C0E" w:rsidRPr="001B5DBE">
        <w:rPr>
          <w:rFonts w:ascii="Aptos" w:hAnsi="Aptos"/>
          <w:sz w:val="22"/>
          <w:szCs w:val="22"/>
        </w:rPr>
        <w:t xml:space="preserve"> </w:t>
      </w:r>
      <w:r w:rsidRPr="001B5DBE">
        <w:rPr>
          <w:rFonts w:ascii="Aptos" w:hAnsi="Aptos"/>
          <w:sz w:val="22"/>
          <w:szCs w:val="22"/>
        </w:rPr>
        <w:t>We then sought the overlap between both datasets, to find the genes most likely to be associated</w:t>
      </w:r>
      <w:r w:rsidRPr="005B64D9">
        <w:rPr>
          <w:sz w:val="22"/>
          <w:szCs w:val="22"/>
        </w:rPr>
        <w:t xml:space="preserve"> with both syndromes from the literature. There were 112 genes that overlapped in the prioritised sets from both datasets,</w:t>
      </w:r>
      <w:r>
        <w:rPr>
          <w:sz w:val="22"/>
          <w:szCs w:val="22"/>
        </w:rPr>
        <w:t xml:space="preserve"> [</w:t>
      </w:r>
      <w:r w:rsidRPr="00B822A7">
        <w:rPr>
          <w:sz w:val="22"/>
          <w:szCs w:val="22"/>
          <w:highlight w:val="darkMagenta"/>
        </w:rPr>
        <w:t>Figure2B</w:t>
      </w:r>
      <w:r>
        <w:rPr>
          <w:sz w:val="22"/>
          <w:szCs w:val="22"/>
        </w:rPr>
        <w:t>]</w:t>
      </w:r>
      <w:r w:rsidRPr="005B64D9">
        <w:rPr>
          <w:sz w:val="22"/>
          <w:szCs w:val="22"/>
        </w:rPr>
        <w:t xml:space="preserve"> and this overlap was found to be significant using a hypergeometric test using the protein-coding genome as the background set (p&lt;0.005).</w:t>
      </w:r>
      <w:r w:rsidR="00745C0E">
        <w:rPr>
          <w:sz w:val="22"/>
          <w:szCs w:val="22"/>
        </w:rPr>
        <w:t xml:space="preserve"> </w:t>
      </w:r>
      <w:r w:rsidRPr="005B64D9">
        <w:rPr>
          <w:sz w:val="22"/>
          <w:szCs w:val="22"/>
        </w:rPr>
        <w:t xml:space="preserve"> </w:t>
      </w:r>
      <w:r w:rsidR="00745C0E">
        <w:rPr>
          <w:sz w:val="22"/>
          <w:szCs w:val="22"/>
        </w:rPr>
        <w:t xml:space="preserve">We </w:t>
      </w:r>
      <w:r w:rsidR="00745C0E" w:rsidRPr="0077789B">
        <w:rPr>
          <w:sz w:val="22"/>
          <w:szCs w:val="22"/>
        </w:rPr>
        <w:t>assess</w:t>
      </w:r>
      <w:r w:rsidR="00745C0E">
        <w:rPr>
          <w:sz w:val="22"/>
          <w:szCs w:val="22"/>
        </w:rPr>
        <w:t>ed</w:t>
      </w:r>
      <w:r w:rsidR="00745C0E" w:rsidRPr="0077789B">
        <w:rPr>
          <w:sz w:val="22"/>
          <w:szCs w:val="22"/>
        </w:rPr>
        <w:t xml:space="preserve"> the degree of similarity between ranked lists</w:t>
      </w:r>
      <w:r w:rsidR="00745C0E">
        <w:rPr>
          <w:sz w:val="22"/>
          <w:szCs w:val="22"/>
        </w:rPr>
        <w:t xml:space="preserve"> and found much of the overlap </w:t>
      </w:r>
      <w:proofErr w:type="gramStart"/>
      <w:r w:rsidR="00745C0E">
        <w:rPr>
          <w:sz w:val="22"/>
          <w:szCs w:val="22"/>
        </w:rPr>
        <w:t>occurred</w:t>
      </w:r>
      <w:r w:rsidR="001B5DBE">
        <w:rPr>
          <w:sz w:val="22"/>
          <w:szCs w:val="22"/>
        </w:rPr>
        <w:t xml:space="preserve"> </w:t>
      </w:r>
      <w:r w:rsidR="00745C0E" w:rsidRPr="005B64D9">
        <w:rPr>
          <w:sz w:val="22"/>
          <w:szCs w:val="22"/>
        </w:rPr>
        <w:t xml:space="preserve"> </w:t>
      </w:r>
      <w:r w:rsidR="001B5DBE">
        <w:rPr>
          <w:sz w:val="22"/>
          <w:szCs w:val="22"/>
        </w:rPr>
        <w:t>toward</w:t>
      </w:r>
      <w:proofErr w:type="gramEnd"/>
      <w:r w:rsidR="001B5DBE">
        <w:rPr>
          <w:sz w:val="22"/>
          <w:szCs w:val="22"/>
        </w:rPr>
        <w:t xml:space="preserve"> the top of the lists. [</w:t>
      </w:r>
      <w:r w:rsidR="001B5DBE" w:rsidRPr="001B5DBE">
        <w:rPr>
          <w:sz w:val="22"/>
          <w:szCs w:val="22"/>
          <w:highlight w:val="darkMagenta"/>
        </w:rPr>
        <w:t>Figure 2C</w:t>
      </w:r>
      <w:r w:rsidR="001B5DBE">
        <w:rPr>
          <w:sz w:val="22"/>
          <w:szCs w:val="22"/>
        </w:rPr>
        <w:t xml:space="preserve">]. </w:t>
      </w:r>
      <w:r w:rsidRPr="005B64D9">
        <w:rPr>
          <w:sz w:val="22"/>
          <w:szCs w:val="22"/>
        </w:rPr>
        <w:t>Over representation analysis found leukocyte mediated immunity, lymphocyte mediated immunity</w:t>
      </w:r>
      <w:r w:rsidR="009F3C8A">
        <w:rPr>
          <w:sz w:val="22"/>
          <w:szCs w:val="22"/>
        </w:rPr>
        <w:t>,</w:t>
      </w:r>
      <w:r w:rsidRPr="005B64D9">
        <w:rPr>
          <w:sz w:val="22"/>
          <w:szCs w:val="22"/>
        </w:rPr>
        <w:t xml:space="preserve"> and positive regulation of </w:t>
      </w:r>
      <w:r w:rsidRPr="00C2707E">
        <w:rPr>
          <w:color w:val="000000" w:themeColor="text1"/>
          <w:sz w:val="22"/>
          <w:szCs w:val="22"/>
        </w:rPr>
        <w:t>both</w:t>
      </w:r>
      <w:r w:rsidRPr="005B64D9">
        <w:rPr>
          <w:sz w:val="22"/>
          <w:szCs w:val="22"/>
        </w:rPr>
        <w:t xml:space="preserve"> T cells and type II interferon were highlighted [</w:t>
      </w:r>
      <w:r w:rsidRPr="00B822A7">
        <w:rPr>
          <w:sz w:val="22"/>
          <w:szCs w:val="22"/>
          <w:highlight w:val="darkMagenta"/>
        </w:rPr>
        <w:t>Figure2</w:t>
      </w:r>
      <w:r w:rsidR="001B5DBE" w:rsidRPr="001B5DBE">
        <w:rPr>
          <w:sz w:val="22"/>
          <w:szCs w:val="22"/>
          <w:highlight w:val="darkMagenta"/>
        </w:rPr>
        <w:t>D</w:t>
      </w:r>
      <w:r w:rsidRPr="005B64D9">
        <w:rPr>
          <w:sz w:val="22"/>
          <w:szCs w:val="22"/>
        </w:rPr>
        <w:t>]</w:t>
      </w:r>
      <w:r w:rsidR="00642B03">
        <w:rPr>
          <w:sz w:val="22"/>
          <w:szCs w:val="22"/>
        </w:rPr>
        <w:t xml:space="preserve"> in the overlapping genes</w:t>
      </w:r>
      <w:r w:rsidRPr="005B64D9">
        <w:rPr>
          <w:sz w:val="22"/>
          <w:szCs w:val="22"/>
        </w:rPr>
        <w:t xml:space="preserve">. </w:t>
      </w:r>
      <w:r w:rsidR="00C2707E" w:rsidRPr="00C2707E">
        <w:rPr>
          <w:sz w:val="22"/>
          <w:szCs w:val="22"/>
        </w:rPr>
        <w:t xml:space="preserve">A PPI network focused on the overlap between datasets identifies a hub consisting of 5 genes </w:t>
      </w:r>
      <w:r w:rsidR="000C33C9">
        <w:rPr>
          <w:sz w:val="22"/>
          <w:szCs w:val="22"/>
        </w:rPr>
        <w:t>with roles in</w:t>
      </w:r>
      <w:r w:rsidR="00C2707E" w:rsidRPr="00C2707E">
        <w:rPr>
          <w:sz w:val="22"/>
          <w:szCs w:val="22"/>
        </w:rPr>
        <w:t xml:space="preserve"> IL8 signalling (</w:t>
      </w:r>
      <w:r w:rsidR="00C2707E" w:rsidRPr="007816AD">
        <w:rPr>
          <w:i/>
          <w:iCs/>
          <w:sz w:val="22"/>
          <w:szCs w:val="22"/>
        </w:rPr>
        <w:t>CXCL8, MMP9</w:t>
      </w:r>
      <w:r w:rsidR="00C2707E" w:rsidRPr="00C2707E">
        <w:rPr>
          <w:sz w:val="22"/>
          <w:szCs w:val="22"/>
        </w:rPr>
        <w:t>) and lymphocyte surface receptors (</w:t>
      </w:r>
      <w:r w:rsidR="00C2707E" w:rsidRPr="007816AD">
        <w:rPr>
          <w:i/>
          <w:iCs/>
          <w:sz w:val="22"/>
          <w:szCs w:val="22"/>
        </w:rPr>
        <w:t>CD4, CD40, CD2</w:t>
      </w:r>
      <w:r w:rsidR="00C2707E" w:rsidRPr="00C2707E">
        <w:rPr>
          <w:sz w:val="22"/>
          <w:szCs w:val="22"/>
        </w:rPr>
        <w:t>). [</w:t>
      </w:r>
      <w:r w:rsidR="00C2707E" w:rsidRPr="00F76418">
        <w:rPr>
          <w:color w:val="000000" w:themeColor="text1"/>
          <w:sz w:val="22"/>
          <w:szCs w:val="22"/>
          <w:highlight w:val="darkMagenta"/>
        </w:rPr>
        <w:t xml:space="preserve">Figure </w:t>
      </w:r>
      <w:r w:rsidR="00C2707E" w:rsidRPr="001B5DBE">
        <w:rPr>
          <w:color w:val="000000" w:themeColor="text1"/>
          <w:sz w:val="22"/>
          <w:szCs w:val="22"/>
          <w:highlight w:val="darkMagenta"/>
        </w:rPr>
        <w:t>2</w:t>
      </w:r>
      <w:r w:rsidR="001B5DBE" w:rsidRPr="001B5DBE">
        <w:rPr>
          <w:color w:val="000000" w:themeColor="text1"/>
          <w:sz w:val="22"/>
          <w:szCs w:val="22"/>
          <w:highlight w:val="darkMagenta"/>
        </w:rPr>
        <w:t>E</w:t>
      </w:r>
      <w:r w:rsidR="00C2707E" w:rsidRPr="00C2707E">
        <w:rPr>
          <w:color w:val="000000" w:themeColor="text1"/>
          <w:sz w:val="22"/>
          <w:szCs w:val="22"/>
        </w:rPr>
        <w:t>].</w:t>
      </w:r>
    </w:p>
    <w:p w14:paraId="03C54BD5" w14:textId="77777777" w:rsidR="00BD33E1" w:rsidRPr="00C2707E" w:rsidRDefault="00BD33E1" w:rsidP="005D240B">
      <w:pPr>
        <w:spacing w:line="480" w:lineRule="auto"/>
        <w:jc w:val="both"/>
        <w:rPr>
          <w:i/>
          <w:iCs/>
          <w:color w:val="000000" w:themeColor="text1"/>
          <w:sz w:val="22"/>
          <w:szCs w:val="22"/>
        </w:rPr>
      </w:pPr>
    </w:p>
    <w:p w14:paraId="1D04AC08"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rodent studies</w:t>
      </w:r>
    </w:p>
    <w:p w14:paraId="5748732A" w14:textId="77777777" w:rsidR="005D240B" w:rsidRPr="007733E8" w:rsidRDefault="005D240B" w:rsidP="005D240B">
      <w:pPr>
        <w:spacing w:line="480" w:lineRule="auto"/>
        <w:jc w:val="both"/>
        <w:rPr>
          <w:sz w:val="22"/>
          <w:szCs w:val="22"/>
        </w:rPr>
      </w:pPr>
      <w:r w:rsidRPr="005B64D9">
        <w:rPr>
          <w:sz w:val="22"/>
          <w:szCs w:val="22"/>
        </w:rPr>
        <w:t>From 20 eligible rodent BPD studies [</w:t>
      </w:r>
      <w:r w:rsidRPr="00B822A7">
        <w:rPr>
          <w:sz w:val="22"/>
          <w:szCs w:val="22"/>
          <w:highlight w:val="darkMagenta"/>
        </w:rPr>
        <w:t>Supplementary Figure 2</w:t>
      </w:r>
      <w:r w:rsidRPr="00FE63F4">
        <w:rPr>
          <w:sz w:val="22"/>
          <w:szCs w:val="22"/>
          <w:highlight w:val="darkMagenta"/>
        </w:rPr>
        <w:t>, Table 2</w:t>
      </w:r>
      <w:r w:rsidRPr="005B64D9">
        <w:rPr>
          <w:sz w:val="22"/>
          <w:szCs w:val="22"/>
        </w:rPr>
        <w:t xml:space="preserve">] we extracted 35 gene lists for MAIC analysis (28 ranked and 7 unranked), employing 5 experimental techniques </w:t>
      </w:r>
      <w:r>
        <w:rPr>
          <w:sz w:val="22"/>
          <w:szCs w:val="22"/>
        </w:rPr>
        <w:t>(</w:t>
      </w:r>
      <w:r w:rsidRPr="00B822A7">
        <w:rPr>
          <w:sz w:val="22"/>
          <w:szCs w:val="22"/>
          <w:highlight w:val="darkMagenta"/>
        </w:rPr>
        <w:t>Supplementary Table 3</w:t>
      </w:r>
      <w:r>
        <w:rPr>
          <w:sz w:val="22"/>
          <w:szCs w:val="22"/>
        </w:rPr>
        <w:t>)</w:t>
      </w:r>
      <w:r w:rsidRPr="005B64D9">
        <w:rPr>
          <w:sz w:val="22"/>
          <w:szCs w:val="22"/>
        </w:rPr>
        <w:t>. Of these studies, 13 used mice models and 7 used rat models</w:t>
      </w:r>
      <w:r>
        <w:rPr>
          <w:sz w:val="22"/>
          <w:szCs w:val="22"/>
        </w:rPr>
        <w:t xml:space="preserve">. </w:t>
      </w:r>
      <w:r w:rsidRPr="002470AF">
        <w:rPr>
          <w:sz w:val="22"/>
          <w:szCs w:val="22"/>
        </w:rPr>
        <w:t>The study therefore reflects primarily a rodent dataset rather than the broader non</w:t>
      </w:r>
      <w:r w:rsidRPr="002470AF">
        <w:rPr>
          <w:rFonts w:ascii="Cambria Math" w:hAnsi="Cambria Math" w:cs="Cambria Math"/>
          <w:sz w:val="22"/>
          <w:szCs w:val="22"/>
        </w:rPr>
        <w:t>‑</w:t>
      </w:r>
      <w:r w:rsidRPr="002470AF">
        <w:rPr>
          <w:sz w:val="22"/>
          <w:szCs w:val="22"/>
        </w:rPr>
        <w:t>human mammalian dataset originally intended.</w:t>
      </w:r>
      <w:r>
        <w:rPr>
          <w:sz w:val="22"/>
          <w:szCs w:val="22"/>
        </w:rPr>
        <w:t xml:space="preserve"> </w:t>
      </w:r>
      <w:r w:rsidRPr="005B64D9">
        <w:rPr>
          <w:sz w:val="22"/>
          <w:szCs w:val="22"/>
        </w:rPr>
        <w:t xml:space="preserve">The majority (17/20; 85%) </w:t>
      </w:r>
      <w:r>
        <w:rPr>
          <w:sz w:val="22"/>
          <w:szCs w:val="22"/>
        </w:rPr>
        <w:t xml:space="preserve">of studies </w:t>
      </w:r>
      <w:r w:rsidRPr="005B64D9">
        <w:rPr>
          <w:sz w:val="22"/>
          <w:szCs w:val="22"/>
        </w:rPr>
        <w:t xml:space="preserve">modelled BPD by exposing neonatal pups to a </w:t>
      </w:r>
      <w:proofErr w:type="spellStart"/>
      <w:r w:rsidRPr="005B64D9">
        <w:rPr>
          <w:sz w:val="22"/>
          <w:szCs w:val="22"/>
        </w:rPr>
        <w:t>hyperoxic</w:t>
      </w:r>
      <w:proofErr w:type="spellEnd"/>
      <w:r w:rsidRPr="005B64D9">
        <w:rPr>
          <w:sz w:val="22"/>
          <w:szCs w:val="22"/>
        </w:rPr>
        <w:t xml:space="preserve"> environment, though the approaches differed; there was variation in the timeframe of hyperoxia (from 3 days to 14 days), recovery in room air (0 days to </w:t>
      </w:r>
      <w:r w:rsidRPr="005B64D9">
        <w:rPr>
          <w:sz w:val="22"/>
          <w:szCs w:val="22"/>
        </w:rPr>
        <w:lastRenderedPageBreak/>
        <w:t xml:space="preserve">57 days), continuous versus intermittent hyperoxia, and the percent oxygen (70 – 100%) used across the studies. Other methods to model BPD in rodent models included lipopolysaccharide (LPS) treatment (1 study) and induced IUGR through maternal diet (1 study). All but one included study used lung tissue for analyses. </w:t>
      </w:r>
      <w:r>
        <w:rPr>
          <w:sz w:val="22"/>
          <w:szCs w:val="22"/>
        </w:rPr>
        <w:t>MAIC collated</w:t>
      </w:r>
      <w:r w:rsidRPr="005B64D9">
        <w:rPr>
          <w:sz w:val="22"/>
          <w:szCs w:val="22"/>
        </w:rPr>
        <w:t xml:space="preserve"> 7637 genes across all datasets</w:t>
      </w:r>
      <w:r>
        <w:rPr>
          <w:sz w:val="22"/>
          <w:szCs w:val="22"/>
        </w:rPr>
        <w:t xml:space="preserve"> [</w:t>
      </w:r>
      <w:r w:rsidRPr="00B822A7">
        <w:rPr>
          <w:sz w:val="22"/>
          <w:szCs w:val="22"/>
          <w:highlight w:val="red"/>
        </w:rPr>
        <w:t>Figure 3A</w:t>
      </w:r>
      <w:r>
        <w:rPr>
          <w:sz w:val="22"/>
          <w:szCs w:val="22"/>
        </w:rPr>
        <w:t xml:space="preserve">, </w:t>
      </w:r>
      <w:r w:rsidRPr="00B822A7">
        <w:rPr>
          <w:sz w:val="22"/>
          <w:szCs w:val="22"/>
          <w:highlight w:val="darkMagenta"/>
        </w:rPr>
        <w:t>Supplementary table 5</w:t>
      </w:r>
      <w:r>
        <w:rPr>
          <w:sz w:val="22"/>
          <w:szCs w:val="22"/>
        </w:rPr>
        <w:t>] and</w:t>
      </w:r>
      <w:r w:rsidRPr="005B64D9">
        <w:rPr>
          <w:sz w:val="22"/>
          <w:szCs w:val="22"/>
        </w:rPr>
        <w:t xml:space="preserve"> 3 genes were supported by evidence from &gt;=4 experimental techniques (</w:t>
      </w:r>
      <w:r w:rsidRPr="00DA5C8C">
        <w:rPr>
          <w:i/>
          <w:iCs/>
          <w:sz w:val="22"/>
          <w:szCs w:val="22"/>
        </w:rPr>
        <w:t>RAC2</w:t>
      </w:r>
      <w:r w:rsidRPr="005B64D9">
        <w:rPr>
          <w:sz w:val="22"/>
          <w:szCs w:val="22"/>
        </w:rPr>
        <w:t xml:space="preserve">, </w:t>
      </w:r>
      <w:r w:rsidRPr="00DA5C8C">
        <w:rPr>
          <w:i/>
          <w:iCs/>
          <w:sz w:val="22"/>
          <w:szCs w:val="22"/>
        </w:rPr>
        <w:t>CXCR2</w:t>
      </w:r>
      <w:r w:rsidRPr="005B64D9">
        <w:rPr>
          <w:sz w:val="22"/>
          <w:szCs w:val="22"/>
        </w:rPr>
        <w:t xml:space="preserve">, </w:t>
      </w:r>
      <w:r w:rsidRPr="00DA5C8C">
        <w:rPr>
          <w:i/>
          <w:iCs/>
          <w:sz w:val="22"/>
          <w:szCs w:val="22"/>
        </w:rPr>
        <w:t>IL1R2</w:t>
      </w:r>
      <w:r w:rsidRPr="005B64D9">
        <w:rPr>
          <w:sz w:val="22"/>
          <w:szCs w:val="22"/>
        </w:rPr>
        <w:t>).</w:t>
      </w:r>
      <w:r>
        <w:rPr>
          <w:sz w:val="22"/>
          <w:szCs w:val="22"/>
        </w:rPr>
        <w:t xml:space="preserve"> </w:t>
      </w:r>
      <w:r w:rsidRPr="005B64D9">
        <w:rPr>
          <w:sz w:val="22"/>
          <w:szCs w:val="22"/>
        </w:rPr>
        <w:t xml:space="preserve"> One in five genes were supported by more than 1 method (n = 1597, 20.91%), with 141 genes (1.85%) supported by &gt;=3 methods. </w:t>
      </w:r>
      <w:r>
        <w:rPr>
          <w:sz w:val="22"/>
          <w:szCs w:val="22"/>
        </w:rPr>
        <w:t xml:space="preserve"> Immune processes are again represented within the top ten genes (</w:t>
      </w:r>
      <w:r w:rsidRPr="007733E8">
        <w:rPr>
          <w:i/>
          <w:iCs/>
          <w:sz w:val="22"/>
          <w:szCs w:val="22"/>
        </w:rPr>
        <w:t>RAC2</w:t>
      </w:r>
      <w:r>
        <w:rPr>
          <w:sz w:val="22"/>
          <w:szCs w:val="22"/>
        </w:rPr>
        <w:t xml:space="preserve">, </w:t>
      </w:r>
      <w:r w:rsidRPr="007733E8">
        <w:rPr>
          <w:i/>
          <w:iCs/>
          <w:sz w:val="22"/>
          <w:szCs w:val="22"/>
        </w:rPr>
        <w:t>CXCR2</w:t>
      </w:r>
      <w:r>
        <w:rPr>
          <w:sz w:val="22"/>
          <w:szCs w:val="22"/>
        </w:rPr>
        <w:t xml:space="preserve">, </w:t>
      </w:r>
      <w:r w:rsidRPr="007733E8">
        <w:rPr>
          <w:i/>
          <w:iCs/>
          <w:sz w:val="22"/>
          <w:szCs w:val="22"/>
        </w:rPr>
        <w:t>IL1R2</w:t>
      </w:r>
      <w:r>
        <w:rPr>
          <w:sz w:val="22"/>
          <w:szCs w:val="22"/>
        </w:rPr>
        <w:t xml:space="preserve">, </w:t>
      </w:r>
      <w:r w:rsidRPr="007733E8">
        <w:rPr>
          <w:i/>
          <w:iCs/>
          <w:sz w:val="22"/>
          <w:szCs w:val="22"/>
        </w:rPr>
        <w:t>CCDC3</w:t>
      </w:r>
      <w:r>
        <w:rPr>
          <w:sz w:val="22"/>
          <w:szCs w:val="22"/>
        </w:rPr>
        <w:t xml:space="preserve">, </w:t>
      </w:r>
      <w:r w:rsidRPr="007733E8">
        <w:rPr>
          <w:i/>
          <w:iCs/>
          <w:sz w:val="22"/>
          <w:szCs w:val="22"/>
        </w:rPr>
        <w:t>PTGS2</w:t>
      </w:r>
      <w:r>
        <w:rPr>
          <w:sz w:val="22"/>
          <w:szCs w:val="22"/>
        </w:rPr>
        <w:t xml:space="preserve">). Interestingly, </w:t>
      </w:r>
      <w:r w:rsidRPr="007733E8">
        <w:rPr>
          <w:i/>
          <w:iCs/>
          <w:sz w:val="22"/>
          <w:szCs w:val="22"/>
        </w:rPr>
        <w:t>IL1R2</w:t>
      </w:r>
      <w:r>
        <w:rPr>
          <w:sz w:val="22"/>
          <w:szCs w:val="22"/>
        </w:rPr>
        <w:t xml:space="preserve"> is shared between the top 10 lists of both analyses. </w:t>
      </w:r>
      <w:r w:rsidRPr="005B64D9">
        <w:rPr>
          <w:sz w:val="22"/>
          <w:szCs w:val="22"/>
        </w:rPr>
        <w:t>We prioritised 1783 genes for further investigation</w:t>
      </w:r>
      <w:r>
        <w:rPr>
          <w:sz w:val="22"/>
          <w:szCs w:val="22"/>
        </w:rPr>
        <w:t xml:space="preserve"> [</w:t>
      </w:r>
      <w:r w:rsidRPr="00034A3A">
        <w:rPr>
          <w:sz w:val="22"/>
          <w:szCs w:val="22"/>
          <w:highlight w:val="darkMagenta"/>
        </w:rPr>
        <w:t>Figure 3B</w:t>
      </w:r>
      <w:r>
        <w:rPr>
          <w:sz w:val="22"/>
          <w:szCs w:val="22"/>
        </w:rPr>
        <w:t>]</w:t>
      </w:r>
      <w:r w:rsidRPr="005B64D9">
        <w:rPr>
          <w:sz w:val="22"/>
          <w:szCs w:val="22"/>
        </w:rPr>
        <w:t>.</w:t>
      </w:r>
    </w:p>
    <w:p w14:paraId="1176FE4F" w14:textId="77777777" w:rsidR="005D240B" w:rsidRPr="005B64D9" w:rsidRDefault="005D240B" w:rsidP="005D240B">
      <w:pPr>
        <w:spacing w:line="480" w:lineRule="auto"/>
        <w:jc w:val="both"/>
        <w:rPr>
          <w:b/>
          <w:bCs/>
          <w:sz w:val="22"/>
          <w:szCs w:val="22"/>
        </w:rPr>
      </w:pPr>
    </w:p>
    <w:p w14:paraId="1D06CD55" w14:textId="77777777" w:rsidR="005D240B" w:rsidRPr="005B64D9" w:rsidRDefault="005D240B" w:rsidP="005D240B">
      <w:pPr>
        <w:spacing w:line="480" w:lineRule="auto"/>
        <w:rPr>
          <w:i/>
          <w:iCs/>
          <w:sz w:val="22"/>
          <w:szCs w:val="22"/>
        </w:rPr>
      </w:pPr>
      <w:r w:rsidRPr="005B64D9">
        <w:rPr>
          <w:i/>
          <w:iCs/>
          <w:sz w:val="22"/>
          <w:szCs w:val="22"/>
        </w:rPr>
        <w:t>Rodent functional enrichment</w:t>
      </w:r>
    </w:p>
    <w:p w14:paraId="28FFE4F0" w14:textId="619E1BEA" w:rsidR="005D240B" w:rsidRPr="005B64D9" w:rsidRDefault="005D240B" w:rsidP="005D240B">
      <w:pPr>
        <w:spacing w:line="480" w:lineRule="auto"/>
        <w:jc w:val="both"/>
        <w:rPr>
          <w:sz w:val="22"/>
          <w:szCs w:val="22"/>
        </w:rPr>
      </w:pPr>
      <w:r w:rsidRPr="005B64D9">
        <w:rPr>
          <w:sz w:val="22"/>
          <w:szCs w:val="22"/>
        </w:rPr>
        <w:t>Gene ontology ORA revealed a significant overrepresentation of pathways related to myeloid cells and development of muscle tissue and extracellular matrix organisation</w:t>
      </w:r>
      <w:r w:rsidR="009B65CF">
        <w:rPr>
          <w:sz w:val="22"/>
          <w:szCs w:val="22"/>
        </w:rPr>
        <w:t xml:space="preserve"> </w:t>
      </w:r>
      <w:r w:rsidRPr="005B64D9">
        <w:rPr>
          <w:sz w:val="22"/>
          <w:szCs w:val="22"/>
        </w:rPr>
        <w:t>[</w:t>
      </w:r>
      <w:r w:rsidRPr="00034A3A">
        <w:rPr>
          <w:sz w:val="22"/>
          <w:szCs w:val="22"/>
          <w:highlight w:val="darkMagenta"/>
        </w:rPr>
        <w:t>Figure 3C</w:t>
      </w:r>
      <w:r w:rsidRPr="005B64D9">
        <w:rPr>
          <w:sz w:val="22"/>
          <w:szCs w:val="22"/>
        </w:rPr>
        <w:t xml:space="preserve">]. Regulation of T cell activation is also observed though is less prominent than seen in the human results. </w:t>
      </w:r>
      <w:r w:rsidR="000C33C9">
        <w:rPr>
          <w:sz w:val="22"/>
          <w:szCs w:val="22"/>
        </w:rPr>
        <w:t>We</w:t>
      </w:r>
      <w:r w:rsidRPr="005B64D9">
        <w:rPr>
          <w:sz w:val="22"/>
          <w:szCs w:val="22"/>
        </w:rPr>
        <w:t xml:space="preserve"> created a protein-protein interaction (PPI) network. MCL clustering identified </w:t>
      </w:r>
      <w:r>
        <w:rPr>
          <w:sz w:val="22"/>
          <w:szCs w:val="22"/>
        </w:rPr>
        <w:t>55</w:t>
      </w:r>
      <w:r w:rsidRPr="005B64D9">
        <w:rPr>
          <w:sz w:val="22"/>
          <w:szCs w:val="22"/>
        </w:rPr>
        <w:t xml:space="preserve"> clusters with &gt;=5 members</w:t>
      </w:r>
      <w:r w:rsidR="00A55110">
        <w:rPr>
          <w:sz w:val="22"/>
          <w:szCs w:val="22"/>
        </w:rPr>
        <w:t xml:space="preserve"> [</w:t>
      </w:r>
      <w:r w:rsidR="00A55110" w:rsidRPr="00CF1C78">
        <w:rPr>
          <w:sz w:val="22"/>
          <w:szCs w:val="22"/>
          <w:highlight w:val="darkMagenta"/>
        </w:rPr>
        <w:t>Suppl</w:t>
      </w:r>
      <w:r w:rsidR="00CF1C78" w:rsidRPr="00CF1C78">
        <w:rPr>
          <w:sz w:val="22"/>
          <w:szCs w:val="22"/>
          <w:highlight w:val="darkMagenta"/>
        </w:rPr>
        <w:t>e</w:t>
      </w:r>
      <w:r w:rsidR="00A55110" w:rsidRPr="00CF1C78">
        <w:rPr>
          <w:sz w:val="22"/>
          <w:szCs w:val="22"/>
          <w:highlight w:val="darkMagenta"/>
        </w:rPr>
        <w:t>mentary Figure</w:t>
      </w:r>
      <w:r w:rsidR="00A55110">
        <w:rPr>
          <w:sz w:val="22"/>
          <w:szCs w:val="22"/>
        </w:rPr>
        <w:t>]</w:t>
      </w:r>
      <w:r w:rsidRPr="005B64D9">
        <w:rPr>
          <w:sz w:val="22"/>
          <w:szCs w:val="22"/>
        </w:rPr>
        <w:t xml:space="preserve">. The 21 largest clusters contained &gt;=10 members. Among these, we found programs associated with the adaptive immune response and mitosis. We used the PPI network to identify 13 hub genes, </w:t>
      </w:r>
      <w:r w:rsidR="00A55110">
        <w:rPr>
          <w:sz w:val="22"/>
          <w:szCs w:val="22"/>
        </w:rPr>
        <w:t>including FC gamma receptors [</w:t>
      </w:r>
      <w:r w:rsidR="00A55110" w:rsidRPr="00A55110">
        <w:rPr>
          <w:i/>
          <w:iCs/>
          <w:sz w:val="22"/>
          <w:szCs w:val="22"/>
        </w:rPr>
        <w:t>FCGR1A, FCGR2A, FCGR2B</w:t>
      </w:r>
      <w:r w:rsidR="00A55110">
        <w:rPr>
          <w:sz w:val="22"/>
          <w:szCs w:val="22"/>
        </w:rPr>
        <w:t>] and lymphocyte markers [</w:t>
      </w:r>
      <w:r w:rsidR="00A55110" w:rsidRPr="00CF1C78">
        <w:rPr>
          <w:i/>
          <w:iCs/>
          <w:sz w:val="22"/>
          <w:szCs w:val="22"/>
        </w:rPr>
        <w:t>CD3E, CD2</w:t>
      </w:r>
      <w:r w:rsidR="00A55110">
        <w:rPr>
          <w:sz w:val="22"/>
          <w:szCs w:val="22"/>
        </w:rPr>
        <w:t xml:space="preserve">], </w:t>
      </w:r>
      <w:r w:rsidRPr="005B64D9">
        <w:rPr>
          <w:sz w:val="22"/>
          <w:szCs w:val="22"/>
        </w:rPr>
        <w:t>suggested as being central to the wider network</w:t>
      </w:r>
      <w:r>
        <w:rPr>
          <w:sz w:val="22"/>
          <w:szCs w:val="22"/>
        </w:rPr>
        <w:t xml:space="preserve"> [</w:t>
      </w:r>
      <w:r w:rsidRPr="00D3572D">
        <w:rPr>
          <w:i/>
          <w:iCs/>
          <w:sz w:val="22"/>
          <w:szCs w:val="22"/>
          <w:highlight w:val="darkMagenta"/>
        </w:rPr>
        <w:t>Figure 3D</w:t>
      </w:r>
      <w:r>
        <w:rPr>
          <w:sz w:val="22"/>
          <w:szCs w:val="22"/>
        </w:rPr>
        <w:t>]</w:t>
      </w:r>
      <w:r w:rsidRPr="005B64D9">
        <w:rPr>
          <w:sz w:val="22"/>
          <w:szCs w:val="22"/>
        </w:rPr>
        <w:t>.</w:t>
      </w:r>
    </w:p>
    <w:p w14:paraId="7BFE815B" w14:textId="77777777" w:rsidR="005D240B" w:rsidRPr="005B64D9" w:rsidRDefault="005D240B" w:rsidP="005D240B">
      <w:pPr>
        <w:spacing w:line="480" w:lineRule="auto"/>
        <w:jc w:val="both"/>
        <w:rPr>
          <w:sz w:val="22"/>
          <w:szCs w:val="22"/>
        </w:rPr>
      </w:pPr>
    </w:p>
    <w:p w14:paraId="6DB58CC5" w14:textId="77777777" w:rsidR="005D240B" w:rsidRPr="005B64D9" w:rsidRDefault="005D240B" w:rsidP="005D240B">
      <w:pPr>
        <w:spacing w:line="480" w:lineRule="auto"/>
        <w:jc w:val="both"/>
        <w:rPr>
          <w:i/>
          <w:iCs/>
          <w:sz w:val="22"/>
          <w:szCs w:val="22"/>
        </w:rPr>
      </w:pPr>
      <w:r>
        <w:rPr>
          <w:i/>
          <w:iCs/>
          <w:sz w:val="22"/>
          <w:szCs w:val="22"/>
        </w:rPr>
        <w:t>Comparison</w:t>
      </w:r>
      <w:r w:rsidRPr="005B64D9">
        <w:rPr>
          <w:i/>
          <w:iCs/>
          <w:sz w:val="22"/>
          <w:szCs w:val="22"/>
        </w:rPr>
        <w:t xml:space="preserve"> of human and rodent datasets</w:t>
      </w:r>
    </w:p>
    <w:p w14:paraId="68E66690" w14:textId="0BB71AC9" w:rsidR="005D240B" w:rsidRDefault="005D240B" w:rsidP="005D240B">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 xml:space="preserve">Figure </w:t>
      </w:r>
      <w:r w:rsidRPr="00D3572D">
        <w:rPr>
          <w:sz w:val="22"/>
          <w:szCs w:val="22"/>
          <w:highlight w:val="darkMagenta"/>
        </w:rPr>
        <w:t>4A</w:t>
      </w:r>
      <w:r w:rsidRPr="005B64D9">
        <w:rPr>
          <w:sz w:val="22"/>
          <w:szCs w:val="22"/>
        </w:rPr>
        <w:t>].</w:t>
      </w:r>
      <w:r>
        <w:rPr>
          <w:sz w:val="22"/>
          <w:szCs w:val="22"/>
        </w:rPr>
        <w:t xml:space="preserve"> </w:t>
      </w:r>
      <w:r w:rsidRPr="005B64D9">
        <w:rPr>
          <w:sz w:val="22"/>
          <w:szCs w:val="22"/>
        </w:rPr>
        <w:t xml:space="preserve">The gross overlap between the two parallel MAIC analyses </w:t>
      </w:r>
      <w:r w:rsidRPr="005B64D9">
        <w:rPr>
          <w:sz w:val="22"/>
          <w:szCs w:val="22"/>
        </w:rPr>
        <w:lastRenderedPageBreak/>
        <w:t>carried out in this study was not shown to be significant by hypergeometric test (p&gt;0.5). However, focusing on the prioritised genes from both datasets</w:t>
      </w:r>
      <w:r w:rsidR="00E715A3">
        <w:rPr>
          <w:sz w:val="22"/>
          <w:szCs w:val="22"/>
        </w:rPr>
        <w:t xml:space="preserve"> </w:t>
      </w:r>
      <w:r w:rsidRPr="005B64D9">
        <w:rPr>
          <w:sz w:val="22"/>
          <w:szCs w:val="22"/>
        </w:rPr>
        <w:t>indicated the overlap</w:t>
      </w:r>
      <w:r>
        <w:rPr>
          <w:sz w:val="22"/>
          <w:szCs w:val="22"/>
        </w:rPr>
        <w:t xml:space="preserve"> of 163 genes [</w:t>
      </w:r>
      <w:r w:rsidRPr="008C6988">
        <w:rPr>
          <w:sz w:val="22"/>
          <w:szCs w:val="22"/>
          <w:highlight w:val="darkMagenta"/>
        </w:rPr>
        <w:t xml:space="preserve">Figure </w:t>
      </w:r>
      <w:r w:rsidRPr="00D3572D">
        <w:rPr>
          <w:sz w:val="22"/>
          <w:szCs w:val="22"/>
          <w:highlight w:val="darkMagenta"/>
        </w:rPr>
        <w:t>4B</w:t>
      </w:r>
      <w:r>
        <w:rPr>
          <w:sz w:val="22"/>
          <w:szCs w:val="22"/>
        </w:rPr>
        <w:t>]</w:t>
      </w:r>
      <w:r w:rsidRPr="005B64D9">
        <w:rPr>
          <w:sz w:val="22"/>
          <w:szCs w:val="22"/>
        </w:rPr>
        <w:t xml:space="preserve"> was significant [</w:t>
      </w:r>
      <w:r w:rsidRPr="00034A3A">
        <w:rPr>
          <w:sz w:val="22"/>
          <w:szCs w:val="22"/>
          <w:highlight w:val="darkMagenta"/>
        </w:rPr>
        <w:t>Supplementary Table 6</w:t>
      </w:r>
      <w:r w:rsidRPr="005B64D9">
        <w:rPr>
          <w:sz w:val="22"/>
          <w:szCs w:val="22"/>
        </w:rPr>
        <w:t>]</w:t>
      </w:r>
      <w:commentRangeStart w:id="3"/>
      <w:r>
        <w:rPr>
          <w:sz w:val="22"/>
          <w:szCs w:val="22"/>
        </w:rPr>
        <w:t>.</w:t>
      </w:r>
      <w:commentRangeEnd w:id="3"/>
      <w:r w:rsidR="00053511">
        <w:rPr>
          <w:rStyle w:val="CommentReference"/>
        </w:rPr>
        <w:commentReference w:id="3"/>
      </w:r>
      <w:r>
        <w:rPr>
          <w:sz w:val="22"/>
          <w:szCs w:val="22"/>
        </w:rPr>
        <w:t xml:space="preserve"> </w:t>
      </w:r>
      <w:r w:rsidR="00E715A3">
        <w:rPr>
          <w:sz w:val="22"/>
          <w:szCs w:val="22"/>
        </w:rPr>
        <w:t>The</w:t>
      </w:r>
      <w:r w:rsidR="00E715A3" w:rsidRPr="0077789B">
        <w:rPr>
          <w:sz w:val="22"/>
          <w:szCs w:val="22"/>
        </w:rPr>
        <w:t xml:space="preserve"> similarity between ranked lists</w:t>
      </w:r>
      <w:r w:rsidR="00E715A3">
        <w:rPr>
          <w:sz w:val="22"/>
          <w:szCs w:val="22"/>
        </w:rPr>
        <w:t xml:space="preserve"> occurred </w:t>
      </w:r>
      <w:r w:rsidR="00E715A3">
        <w:rPr>
          <w:sz w:val="22"/>
          <w:szCs w:val="22"/>
        </w:rPr>
        <w:t>predominantly</w:t>
      </w:r>
      <w:r w:rsidR="00E715A3" w:rsidRPr="005B64D9">
        <w:rPr>
          <w:sz w:val="22"/>
          <w:szCs w:val="22"/>
        </w:rPr>
        <w:t xml:space="preserve"> </w:t>
      </w:r>
      <w:r w:rsidR="00E715A3">
        <w:rPr>
          <w:sz w:val="22"/>
          <w:szCs w:val="22"/>
        </w:rPr>
        <w:t xml:space="preserve">toward the top of the </w:t>
      </w:r>
      <w:r w:rsidR="00E715A3">
        <w:rPr>
          <w:sz w:val="22"/>
          <w:szCs w:val="22"/>
        </w:rPr>
        <w:t xml:space="preserve">prioritised </w:t>
      </w:r>
      <w:r w:rsidR="00E715A3">
        <w:rPr>
          <w:sz w:val="22"/>
          <w:szCs w:val="22"/>
        </w:rPr>
        <w:t>lists.</w:t>
      </w:r>
      <w:r w:rsidR="00E715A3">
        <w:rPr>
          <w:sz w:val="22"/>
          <w:szCs w:val="22"/>
        </w:rPr>
        <w:t xml:space="preserve"> [</w:t>
      </w:r>
      <w:r w:rsidR="00E715A3" w:rsidRPr="00E715A3">
        <w:rPr>
          <w:sz w:val="22"/>
          <w:szCs w:val="22"/>
          <w:highlight w:val="darkMagenta"/>
        </w:rPr>
        <w:t>Figure 4C</w:t>
      </w:r>
      <w:r w:rsidR="00E715A3">
        <w:rPr>
          <w:sz w:val="22"/>
          <w:szCs w:val="22"/>
        </w:rPr>
        <w:t xml:space="preserve">] </w:t>
      </w:r>
    </w:p>
    <w:p w14:paraId="112B3BB2" w14:textId="21EDDFF9" w:rsidR="007C3ADC" w:rsidRDefault="007C3ADC" w:rsidP="005D240B">
      <w:pPr>
        <w:spacing w:line="480" w:lineRule="auto"/>
        <w:rPr>
          <w:sz w:val="22"/>
          <w:szCs w:val="22"/>
        </w:rPr>
      </w:pPr>
      <w:r>
        <w:rPr>
          <w:sz w:val="22"/>
          <w:szCs w:val="22"/>
        </w:rPr>
        <w:t xml:space="preserve">Focusing on the overlapping genes, </w:t>
      </w:r>
    </w:p>
    <w:p w14:paraId="7C6C0E41" w14:textId="77777777" w:rsidR="001B5DBE" w:rsidRDefault="001B5DBE" w:rsidP="005D240B">
      <w:pPr>
        <w:spacing w:line="480" w:lineRule="auto"/>
        <w:rPr>
          <w:sz w:val="22"/>
          <w:szCs w:val="22"/>
        </w:rPr>
      </w:pPr>
    </w:p>
    <w:p w14:paraId="69F98C09" w14:textId="77777777" w:rsidR="005D240B" w:rsidRPr="005B64D9" w:rsidRDefault="005D240B" w:rsidP="005D240B">
      <w:pPr>
        <w:spacing w:line="480" w:lineRule="auto"/>
        <w:rPr>
          <w:sz w:val="22"/>
          <w:szCs w:val="22"/>
        </w:rPr>
      </w:pPr>
    </w:p>
    <w:p w14:paraId="257E1A6D" w14:textId="77777777" w:rsidR="005D240B" w:rsidRPr="005B64D9" w:rsidRDefault="005D240B" w:rsidP="005D240B">
      <w:pPr>
        <w:spacing w:line="480" w:lineRule="auto"/>
        <w:rPr>
          <w:b/>
          <w:bCs/>
          <w:sz w:val="22"/>
          <w:szCs w:val="22"/>
        </w:rPr>
      </w:pPr>
      <w:r w:rsidRPr="005B64D9">
        <w:rPr>
          <w:sz w:val="22"/>
          <w:szCs w:val="22"/>
        </w:rPr>
        <w:br w:type="column"/>
      </w:r>
      <w:r w:rsidRPr="005B64D9">
        <w:rPr>
          <w:b/>
          <w:bCs/>
          <w:sz w:val="22"/>
          <w:szCs w:val="22"/>
        </w:rPr>
        <w:lastRenderedPageBreak/>
        <w:t>Discussion</w:t>
      </w:r>
    </w:p>
    <w:p w14:paraId="71C88350" w14:textId="50726DB6" w:rsidR="005D240B" w:rsidRDefault="005D240B" w:rsidP="005D240B">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t>
      </w:r>
      <w:r w:rsidR="006030CD">
        <w:rPr>
          <w:sz w:val="22"/>
          <w:szCs w:val="22"/>
        </w:rPr>
        <w:t>Further to this, we</w:t>
      </w:r>
      <w:r w:rsidRPr="005A5A49">
        <w:rPr>
          <w:sz w:val="22"/>
          <w:szCs w:val="22"/>
        </w:rPr>
        <w:t xml:space="preserve"> compared our</w:t>
      </w:r>
      <w:r w:rsidR="006030CD">
        <w:rPr>
          <w:sz w:val="22"/>
          <w:szCs w:val="22"/>
        </w:rPr>
        <w:t xml:space="preserve"> human BPD MAIC results</w:t>
      </w:r>
      <w:r w:rsidRPr="005A5A49">
        <w:rPr>
          <w:sz w:val="22"/>
          <w:szCs w:val="22"/>
        </w:rPr>
        <w:t xml:space="preserve"> to</w:t>
      </w:r>
      <w:r w:rsidR="00F76418">
        <w:rPr>
          <w:sz w:val="22"/>
          <w:szCs w:val="22"/>
        </w:rPr>
        <w:t xml:space="preserve"> </w:t>
      </w:r>
      <w:r w:rsidRPr="005A5A49">
        <w:rPr>
          <w:sz w:val="22"/>
          <w:szCs w:val="22"/>
        </w:rPr>
        <w:t xml:space="preserve">previously generated similar output for ARDS generated within our lab. </w:t>
      </w:r>
    </w:p>
    <w:p w14:paraId="34628B59" w14:textId="77777777" w:rsidR="005D240B" w:rsidRDefault="005D240B" w:rsidP="005D240B">
      <w:pPr>
        <w:spacing w:line="480" w:lineRule="auto"/>
        <w:rPr>
          <w:sz w:val="22"/>
          <w:szCs w:val="22"/>
        </w:rPr>
      </w:pPr>
    </w:p>
    <w:p w14:paraId="56F818A7" w14:textId="22562F28" w:rsidR="007816AD" w:rsidRDefault="007816AD" w:rsidP="005D240B">
      <w:pPr>
        <w:spacing w:line="480" w:lineRule="auto"/>
        <w:rPr>
          <w:sz w:val="22"/>
          <w:szCs w:val="22"/>
        </w:rPr>
      </w:pPr>
      <w:r>
        <w:rPr>
          <w:sz w:val="22"/>
          <w:szCs w:val="22"/>
        </w:rPr>
        <w:t>Human results</w:t>
      </w:r>
    </w:p>
    <w:p w14:paraId="05D2C858" w14:textId="5F91AACD" w:rsidR="007816AD" w:rsidRDefault="00D76E64" w:rsidP="00D76E64">
      <w:pPr>
        <w:spacing w:line="480" w:lineRule="auto"/>
        <w:ind w:left="720"/>
        <w:rPr>
          <w:sz w:val="22"/>
          <w:szCs w:val="22"/>
        </w:rPr>
      </w:pPr>
      <w:r>
        <w:rPr>
          <w:sz w:val="22"/>
          <w:szCs w:val="22"/>
        </w:rPr>
        <w:t>Lymphocytes</w:t>
      </w:r>
    </w:p>
    <w:p w14:paraId="26A8EC34" w14:textId="62E805AF" w:rsidR="00D76E64" w:rsidRDefault="00D76E64" w:rsidP="00D76E64">
      <w:pPr>
        <w:spacing w:line="480" w:lineRule="auto"/>
        <w:ind w:left="720"/>
        <w:rPr>
          <w:sz w:val="22"/>
          <w:szCs w:val="22"/>
        </w:rPr>
      </w:pPr>
      <w:r>
        <w:rPr>
          <w:sz w:val="22"/>
          <w:szCs w:val="22"/>
        </w:rPr>
        <w:t>T</w:t>
      </w:r>
      <w:r w:rsidR="006030CD">
        <w:rPr>
          <w:sz w:val="22"/>
          <w:szCs w:val="22"/>
        </w:rPr>
        <w:t xml:space="preserve"> </w:t>
      </w:r>
      <w:r>
        <w:rPr>
          <w:sz w:val="22"/>
          <w:szCs w:val="22"/>
        </w:rPr>
        <w:t>cells and their development</w:t>
      </w:r>
    </w:p>
    <w:p w14:paraId="419C55F9" w14:textId="3D7B1994" w:rsidR="00D76E64" w:rsidRDefault="00D76E64" w:rsidP="00D76E64">
      <w:pPr>
        <w:spacing w:line="480" w:lineRule="auto"/>
        <w:ind w:left="720"/>
        <w:rPr>
          <w:sz w:val="22"/>
          <w:szCs w:val="22"/>
        </w:rPr>
      </w:pPr>
      <w:r>
        <w:rPr>
          <w:sz w:val="22"/>
          <w:szCs w:val="22"/>
        </w:rPr>
        <w:t>RASGRP3, involvement of endothelium</w:t>
      </w:r>
      <w:r w:rsidR="006030CD">
        <w:rPr>
          <w:sz w:val="22"/>
          <w:szCs w:val="22"/>
        </w:rPr>
        <w:t>?</w:t>
      </w:r>
    </w:p>
    <w:p w14:paraId="7456BFC3" w14:textId="062C96DC" w:rsidR="00D3572D" w:rsidRDefault="00D3572D" w:rsidP="00D76E64">
      <w:pPr>
        <w:spacing w:line="480" w:lineRule="auto"/>
        <w:ind w:left="720"/>
        <w:rPr>
          <w:sz w:val="22"/>
          <w:szCs w:val="22"/>
        </w:rPr>
      </w:pPr>
      <w:r>
        <w:rPr>
          <w:sz w:val="22"/>
          <w:szCs w:val="22"/>
        </w:rPr>
        <w:t xml:space="preserve">Supplementary Figure </w:t>
      </w:r>
      <w:r w:rsidR="00F76418">
        <w:rPr>
          <w:sz w:val="22"/>
          <w:szCs w:val="22"/>
        </w:rPr>
        <w:t>5</w:t>
      </w:r>
    </w:p>
    <w:p w14:paraId="33A382F5" w14:textId="6149E579" w:rsidR="007816AD" w:rsidRDefault="007816AD" w:rsidP="005D240B">
      <w:pPr>
        <w:spacing w:line="480" w:lineRule="auto"/>
        <w:rPr>
          <w:sz w:val="22"/>
          <w:szCs w:val="22"/>
        </w:rPr>
      </w:pPr>
      <w:r>
        <w:rPr>
          <w:sz w:val="22"/>
          <w:szCs w:val="22"/>
        </w:rPr>
        <w:t>ARDS results</w:t>
      </w:r>
    </w:p>
    <w:p w14:paraId="7681286D" w14:textId="7BF404BC" w:rsidR="00D76E64" w:rsidRDefault="00D76E64" w:rsidP="00D76E64">
      <w:pPr>
        <w:spacing w:line="480" w:lineRule="auto"/>
        <w:ind w:left="720"/>
        <w:rPr>
          <w:sz w:val="22"/>
          <w:szCs w:val="22"/>
        </w:rPr>
      </w:pPr>
      <w:r>
        <w:rPr>
          <w:sz w:val="22"/>
          <w:szCs w:val="22"/>
        </w:rPr>
        <w:t>IL8 signalling</w:t>
      </w:r>
    </w:p>
    <w:p w14:paraId="160DD46B" w14:textId="6860D770" w:rsidR="00D76E64" w:rsidRDefault="00D76E64" w:rsidP="00D76E64">
      <w:pPr>
        <w:spacing w:line="480" w:lineRule="auto"/>
        <w:ind w:left="720"/>
        <w:rPr>
          <w:sz w:val="22"/>
          <w:szCs w:val="22"/>
        </w:rPr>
      </w:pPr>
      <w:r>
        <w:rPr>
          <w:sz w:val="22"/>
          <w:szCs w:val="22"/>
        </w:rPr>
        <w:t>Lymphocytes</w:t>
      </w:r>
    </w:p>
    <w:p w14:paraId="2E1426A7" w14:textId="494BFFAD" w:rsidR="007816AD" w:rsidRDefault="00B67F7B" w:rsidP="007C3ADC">
      <w:pPr>
        <w:spacing w:line="480" w:lineRule="auto"/>
        <w:ind w:left="720"/>
        <w:rPr>
          <w:sz w:val="22"/>
          <w:szCs w:val="22"/>
        </w:rPr>
      </w:pPr>
      <w:r>
        <w:rPr>
          <w:sz w:val="22"/>
          <w:szCs w:val="22"/>
        </w:rPr>
        <w:t>We don’t see the cholesterol pathways.</w:t>
      </w:r>
    </w:p>
    <w:p w14:paraId="279FA3D7" w14:textId="4E700B88" w:rsidR="007816AD" w:rsidRDefault="007816AD" w:rsidP="005D240B">
      <w:pPr>
        <w:spacing w:line="480" w:lineRule="auto"/>
        <w:rPr>
          <w:sz w:val="22"/>
          <w:szCs w:val="22"/>
        </w:rPr>
      </w:pPr>
      <w:r>
        <w:rPr>
          <w:sz w:val="22"/>
          <w:szCs w:val="22"/>
        </w:rPr>
        <w:t>Rodent results</w:t>
      </w:r>
    </w:p>
    <w:p w14:paraId="2358F8DC" w14:textId="1959221B" w:rsidR="007816AD" w:rsidRDefault="00F76418" w:rsidP="007C3ADC">
      <w:pPr>
        <w:spacing w:line="480" w:lineRule="auto"/>
        <w:ind w:left="720"/>
        <w:rPr>
          <w:sz w:val="22"/>
          <w:szCs w:val="22"/>
        </w:rPr>
      </w:pPr>
      <w:r>
        <w:rPr>
          <w:sz w:val="22"/>
          <w:szCs w:val="22"/>
        </w:rPr>
        <w:t>Supplementary Figure 6</w:t>
      </w:r>
    </w:p>
    <w:p w14:paraId="2AF77363" w14:textId="71DE265D" w:rsidR="00EA1A53" w:rsidRDefault="006030CD" w:rsidP="005D240B">
      <w:pPr>
        <w:spacing w:line="480" w:lineRule="auto"/>
        <w:rPr>
          <w:sz w:val="22"/>
          <w:szCs w:val="22"/>
        </w:rPr>
      </w:pPr>
      <w:r w:rsidRPr="006030CD">
        <w:rPr>
          <w:sz w:val="22"/>
          <w:szCs w:val="22"/>
        </w:rPr>
        <w:t xml:space="preserve">The Interleukin-1 Receptor Type 2 (IL1R2) gene was identified as a significant locus in BPD, a finding that anchors the disease in the context of the perinatal hypoxic-inflammatory environment. </w:t>
      </w:r>
      <w:r>
        <w:rPr>
          <w:sz w:val="22"/>
          <w:szCs w:val="22"/>
        </w:rPr>
        <w:t>IL1R2 is upregulated in acute hypoxia.</w:t>
      </w:r>
      <w:r>
        <w:rPr>
          <w:sz w:val="22"/>
          <w:szCs w:val="22"/>
        </w:rPr>
        <w:fldChar w:fldCharType="begin"/>
      </w:r>
      <w:r>
        <w:rPr>
          <w:sz w:val="22"/>
          <w:szCs w:val="22"/>
        </w:rPr>
        <w:instrText xml:space="preserve"> ADDIN ZOTERO_ITEM CSL_CITATION {"citationID":"8Cr45T4i","properties":{"formattedCitation":"(Johnson et al., 2007)","plainCitation":"(Johnson et al., 2007)","noteIndex":0},"citationItems":[{"id":2453,"uris":["http://zotero.org/users/14418362/items/BBNNCKGM"],"itemData":{"id":2453,"type":"article-journal","abstract":"Acute hypoxia is experienced in an array of ailments and conditions, including asthma, chronic obstructive pulmonary disease, heart failure, sleep apnea, acute hypotension, and blast lung injury. Classically, infection activates the neuroimmune system, causing loss of interest in the social environment. We report that the non-infectious stimulus acute hypoxia triggers neuroimmune system activation (NSA), causing loss of interest in the social environment, and that recovery from hypoxia-induced NSA is impaired in a mouse model of type 2 diabetes. Importantly, recovery from the behavioral consequences of hypoxia-induced NSA was nearly ablated in MyD88 (myeloid differentiation factor 88) knock-out mice and in mice intracerebroventricularly administered the caspase-1 inhibitor ac-YVAD-CMK (ac-Tyr-Val-Asp-2,6-dimethylbenzoyloxymethylketone). Diabetic mice had prolonged recovery from NSA that could be halved by administration of subcutaneous interleukin-1 (IL-1) receptor antagonist (RA). These results show that acute hypoxia activates the IL-1beta arm of the neuroimmune system, which diabetes exacerbates and treatment with IL-1RA ameliorates.","container-title":"The Journal of Neuroscience: The Official Journal of the Society for Neuroscience","DOI":"10.1523/JNEUROSCI.4560-06.2007","ISSN":"1529-2401","issue":"5","journalAbbreviation":"J Neurosci","language":"eng","note":"PMID: 17267571\nPMCID: PMC6673177","page":"1161-1166","source":"PubMed","title":"Acute hypoxia activates the neuroimmune system, which diabetes exacerbates","volume":"27","author":[{"family":"Johnson","given":"Daniel R."},{"family":"O'Connor","given":"Jason C."},{"family":"Hartman","given":"Matthew E."},{"family":"Tapping","given":"Richard I."},{"family":"Freund","given":"Gregory G."}],"issued":{"date-parts":[["2007",1,31]]}}}],"schema":"https://github.com/citation-style-language/schema/raw/master/csl-citation.json"} </w:instrText>
      </w:r>
      <w:r>
        <w:rPr>
          <w:sz w:val="22"/>
          <w:szCs w:val="22"/>
        </w:rPr>
        <w:fldChar w:fldCharType="separate"/>
      </w:r>
      <w:r>
        <w:rPr>
          <w:noProof/>
          <w:sz w:val="22"/>
          <w:szCs w:val="22"/>
        </w:rPr>
        <w:t>(Johnson et al., 2007)</w:t>
      </w:r>
      <w:r>
        <w:rPr>
          <w:sz w:val="22"/>
          <w:szCs w:val="22"/>
        </w:rPr>
        <w:fldChar w:fldCharType="end"/>
      </w:r>
      <w:r>
        <w:rPr>
          <w:sz w:val="22"/>
          <w:szCs w:val="22"/>
        </w:rPr>
        <w:t xml:space="preserve">  and </w:t>
      </w:r>
      <w:r w:rsidRPr="006030CD">
        <w:rPr>
          <w:sz w:val="22"/>
          <w:szCs w:val="22"/>
        </w:rPr>
        <w:t xml:space="preserve">functions as a decoy receptor, acting as a crucial endogenous brake on the potent pro-inflammatory signalling cascade initiated by Interleukin-1 (IL-1) </w:t>
      </w:r>
      <w:r>
        <w:rPr>
          <w:sz w:val="22"/>
          <w:szCs w:val="22"/>
        </w:rPr>
        <w:fldChar w:fldCharType="begin"/>
      </w:r>
      <w:r>
        <w:rPr>
          <w:sz w:val="22"/>
          <w:szCs w:val="22"/>
        </w:rPr>
        <w:instrText xml:space="preserve"> ADDIN ZOTERO_ITEM CSL_CITATION {"citationID":"LXWmnGnp","properties":{"formattedCitation":"(Peters et al., 2013)","plainCitation":"(Peters et al., 2013)","noteIndex":0},"citationItems":[{"id":2488,"uris":["http://zotero.org/users/14418362/items/TSD7RPJ5"],"itemData":{"id":2488,"type":"article-journal","abstract":"The cytokine IL-1 is critical to the pathogenesis of a variety of human conditions and diseases. Unlike most other cytokines, IL-1 is counterbalanced by two endogenous inhibitors. The functional significance of IL-1 receptor antagonist (IL-1RA) is well documented due to the clinical utilization of the recombinant human IL-1RA analog, anakinra. In contrast, much less is known about the type 2 IL-1 receptor (IL-1R2), which acts as a decoy receptor for IL-1. While IL-1R2 is structurally similar to the type 1 IL-1 receptor (IL-1R1) responsible for IL-1 signal transduction, its truncated cytoplasmic domain and lack of Toll-IL-1 receptor (TIR) region renders IL-1R2 incapable of transmembrane signaling. IL-1R2 competes with IL-1R1 for ligands and for the IL-1R1 co-receptor, IL-1 receptor accessory protein (IL-1RAP). Additionally, IL-1R2 exists in both a membrane bound and soluble form (sIL-1R2) that has biological properties similar to both a decoy receptor and a binding protein. Thus far, IL-1R2 has been implicated in arthritis, endometriosis, organ transplantation, sepsis/sickness behavior, diabetes, atherosclerosis, autoimmune inner ear disease (AIED), Alzheimer's disease and ulcerative colitis. In this review, we will detail the functional properties of IL-1R2 and examine its role in human disease.","container-title":"Brain, Behavior, and Immunity","DOI":"10.1016/j.bbi.2012.11.006","ISSN":"1090-2139","journalAbbreviation":"Brain Behav Immun","language":"eng","note":"PMID: 23195532\nPMCID: PMC3610842","page":"1-8","source":"PubMed","title":"IL-1 receptor 2 (IL-1R2) and its role in immune regulation","volume":"32","author":[{"family":"Peters","given":"Vanessa A."},{"family":"Joesting","given":"Jennifer J."},{"family":"Freund","given":"Gregory G."}],"issued":{"date-parts":[["2013",8]]}}}],"schema":"https://github.com/citation-style-language/schema/raw/master/csl-citation.json"} </w:instrText>
      </w:r>
      <w:r>
        <w:rPr>
          <w:sz w:val="22"/>
          <w:szCs w:val="22"/>
        </w:rPr>
        <w:fldChar w:fldCharType="separate"/>
      </w:r>
      <w:r>
        <w:rPr>
          <w:noProof/>
          <w:sz w:val="22"/>
          <w:szCs w:val="22"/>
        </w:rPr>
        <w:t>(Peters et al., 2013)</w:t>
      </w:r>
      <w:r>
        <w:rPr>
          <w:sz w:val="22"/>
          <w:szCs w:val="22"/>
        </w:rPr>
        <w:fldChar w:fldCharType="end"/>
      </w:r>
      <w:r w:rsidRPr="006030CD">
        <w:rPr>
          <w:sz w:val="22"/>
          <w:szCs w:val="22"/>
        </w:rPr>
        <w:t>. The preterm lung is uniquely vulnerable to hypoxia, which can trigger a dangerous, self-amplifying cycle of injury and inflammation</w:t>
      </w:r>
      <w:r>
        <w:rPr>
          <w:sz w:val="22"/>
          <w:szCs w:val="22"/>
        </w:rPr>
        <w:t>.</w:t>
      </w:r>
      <w:r>
        <w:rPr>
          <w:sz w:val="22"/>
          <w:szCs w:val="22"/>
        </w:rPr>
        <w:fldChar w:fldCharType="begin"/>
      </w:r>
      <w:r>
        <w:rPr>
          <w:sz w:val="22"/>
          <w:szCs w:val="22"/>
        </w:rPr>
        <w:instrText xml:space="preserve"> ADDIN ZOTERO_ITEM CSL_CITATION {"citationID":"oNmHuXWk","properties":{"formattedCitation":"(Eltzschig &amp; Carmeliet, 2011)","plainCitation":"(Eltzschig &amp; Carmeliet, 2011)","noteIndex":0},"citationItems":[{"id":2491,"uris":["http://zotero.org/users/14418362/items/C37FAQ8G"],"itemData":{"id":2491,"type":"article-journal","container-title":"The New England Journal of Medicine","DOI":"10.1056/NEJMra0910283","ISSN":"1533-4406","issue":"7","journalAbbreviation":"N Engl J Med","language":"eng","note":"PMID: 21323543\nPMCID: PMC3930928","page":"656-665","source":"PubMed","title":"Hypoxia and inflammation","volume":"364","author":[{"family":"Eltzschig","given":"Holger K."},{"family":"Carmeliet","given":"Peter"}],"issued":{"date-parts":[["2011",2,17]]}}}],"schema":"https://github.com/citation-style-language/schema/raw/master/csl-citation.json"} </w:instrText>
      </w:r>
      <w:r>
        <w:rPr>
          <w:sz w:val="22"/>
          <w:szCs w:val="22"/>
        </w:rPr>
        <w:fldChar w:fldCharType="separate"/>
      </w:r>
      <w:r>
        <w:rPr>
          <w:noProof/>
          <w:sz w:val="22"/>
          <w:szCs w:val="22"/>
        </w:rPr>
        <w:t>(Eltzschig &amp; Carmeliet, 2011)</w:t>
      </w:r>
      <w:r>
        <w:rPr>
          <w:sz w:val="22"/>
          <w:szCs w:val="22"/>
        </w:rPr>
        <w:fldChar w:fldCharType="end"/>
      </w:r>
      <w:r>
        <w:rPr>
          <w:sz w:val="22"/>
          <w:szCs w:val="22"/>
        </w:rPr>
        <w:t xml:space="preserve"> </w:t>
      </w:r>
      <w:r w:rsidRPr="006030CD">
        <w:rPr>
          <w:sz w:val="22"/>
          <w:szCs w:val="22"/>
        </w:rPr>
        <w:t>Our results</w:t>
      </w:r>
      <w:r>
        <w:rPr>
          <w:sz w:val="22"/>
          <w:szCs w:val="22"/>
        </w:rPr>
        <w:t xml:space="preserve"> are</w:t>
      </w:r>
      <w:r w:rsidRPr="006030CD">
        <w:rPr>
          <w:sz w:val="22"/>
          <w:szCs w:val="22"/>
        </w:rPr>
        <w:t xml:space="preserve"> suggest</w:t>
      </w:r>
      <w:r>
        <w:rPr>
          <w:sz w:val="22"/>
          <w:szCs w:val="22"/>
        </w:rPr>
        <w:t>ive</w:t>
      </w:r>
      <w:r w:rsidRPr="006030CD">
        <w:rPr>
          <w:sz w:val="22"/>
          <w:szCs w:val="22"/>
        </w:rPr>
        <w:t xml:space="preserve"> </w:t>
      </w:r>
      <w:r>
        <w:rPr>
          <w:sz w:val="22"/>
          <w:szCs w:val="22"/>
        </w:rPr>
        <w:t>of</w:t>
      </w:r>
      <w:r w:rsidRPr="006030CD">
        <w:rPr>
          <w:sz w:val="22"/>
          <w:szCs w:val="22"/>
        </w:rPr>
        <w:t xml:space="preserve"> IL1R2</w:t>
      </w:r>
      <w:r>
        <w:rPr>
          <w:sz w:val="22"/>
          <w:szCs w:val="22"/>
        </w:rPr>
        <w:t xml:space="preserve"> acting</w:t>
      </w:r>
      <w:r w:rsidRPr="006030CD">
        <w:rPr>
          <w:sz w:val="22"/>
          <w:szCs w:val="22"/>
        </w:rPr>
        <w:t xml:space="preserve"> as an anti-inflammatory ‘brake’ protein. </w:t>
      </w:r>
      <w:r>
        <w:rPr>
          <w:sz w:val="22"/>
          <w:szCs w:val="22"/>
        </w:rPr>
        <w:t>I</w:t>
      </w:r>
      <w:r w:rsidRPr="006030CD">
        <w:rPr>
          <w:sz w:val="22"/>
          <w:szCs w:val="22"/>
        </w:rPr>
        <w:t xml:space="preserve">nsufficient </w:t>
      </w:r>
      <w:r>
        <w:rPr>
          <w:sz w:val="22"/>
          <w:szCs w:val="22"/>
        </w:rPr>
        <w:t xml:space="preserve">upregulation of this gene </w:t>
      </w:r>
      <w:r w:rsidRPr="006030CD">
        <w:rPr>
          <w:sz w:val="22"/>
          <w:szCs w:val="22"/>
        </w:rPr>
        <w:t xml:space="preserve">would leave the </w:t>
      </w:r>
      <w:r w:rsidRPr="006030CD">
        <w:rPr>
          <w:sz w:val="22"/>
          <w:szCs w:val="22"/>
        </w:rPr>
        <w:lastRenderedPageBreak/>
        <w:t>preterm lung defenceless against unchecked IL-1-driven inflammation, leading to the severe and progressive lung damage that defines BPD.</w:t>
      </w:r>
    </w:p>
    <w:p w14:paraId="25D5BFFB" w14:textId="77777777" w:rsidR="007C3ADC" w:rsidRPr="00F76418" w:rsidRDefault="007C3ADC" w:rsidP="005D240B">
      <w:pPr>
        <w:spacing w:line="480" w:lineRule="auto"/>
        <w:rPr>
          <w:sz w:val="22"/>
          <w:szCs w:val="22"/>
        </w:rPr>
      </w:pPr>
    </w:p>
    <w:p w14:paraId="0839689F" w14:textId="1EDBC333" w:rsidR="005D240B" w:rsidRPr="00F76418" w:rsidRDefault="005D240B" w:rsidP="005D240B">
      <w:pPr>
        <w:spacing w:line="480" w:lineRule="auto"/>
        <w:rPr>
          <w:rFonts w:cs="Calibri"/>
          <w:color w:val="000000" w:themeColor="text1"/>
          <w:sz w:val="22"/>
          <w:szCs w:val="22"/>
        </w:rPr>
      </w:pPr>
      <w:r w:rsidRPr="005A5A49">
        <w:rPr>
          <w:rFonts w:cs="Calibri"/>
          <w:color w:val="000000" w:themeColor="text1"/>
          <w:sz w:val="22"/>
          <w:szCs w:val="22"/>
        </w:rPr>
        <w:t xml:space="preserve">Our findings prioritise specific elements of the </w:t>
      </w:r>
      <w:r>
        <w:rPr>
          <w:rFonts w:cs="Calibri"/>
          <w:color w:val="000000" w:themeColor="text1"/>
          <w:sz w:val="22"/>
          <w:szCs w:val="22"/>
        </w:rPr>
        <w:t>T cell</w:t>
      </w:r>
      <w:r w:rsidRPr="005A5A49">
        <w:rPr>
          <w:rFonts w:cs="Calibri"/>
          <w:color w:val="000000" w:themeColor="text1"/>
          <w:sz w:val="22"/>
          <w:szCs w:val="22"/>
        </w:rPr>
        <w:t xml:space="preserve"> immune response</w:t>
      </w:r>
      <w:r w:rsidR="00EA1A53">
        <w:rPr>
          <w:rFonts w:cs="Calibri"/>
          <w:color w:val="000000" w:themeColor="text1"/>
          <w:sz w:val="22"/>
          <w:szCs w:val="22"/>
        </w:rPr>
        <w:t>, in</w:t>
      </w:r>
      <w:r w:rsidRPr="005A5A49">
        <w:rPr>
          <w:rFonts w:cs="Calibri"/>
          <w:color w:val="000000" w:themeColor="text1"/>
          <w:sz w:val="22"/>
          <w:szCs w:val="22"/>
        </w:rPr>
        <w:t xml:space="preserve"> particular development and adhesion.</w:t>
      </w:r>
      <w:r w:rsidR="00EA1A53">
        <w:rPr>
          <w:rFonts w:cs="Calibri"/>
          <w:color w:val="000000" w:themeColor="text1"/>
          <w:sz w:val="22"/>
          <w:szCs w:val="22"/>
        </w:rPr>
        <w:t xml:space="preserve"> While this is a surprising funding, it is not without foundation within the literature.  </w:t>
      </w:r>
      <w:r w:rsidR="00AB2D4D">
        <w:rPr>
          <w:rFonts w:cs="Calibri"/>
          <w:color w:val="000000" w:themeColor="text1"/>
          <w:sz w:val="22"/>
          <w:szCs w:val="22"/>
        </w:rPr>
        <w:t xml:space="preserve">A recent study of potential transcriptomic endotypes in BPD focused on the </w:t>
      </w:r>
      <w:r w:rsidR="00AB2D4D" w:rsidRPr="00AB2D4D">
        <w:rPr>
          <w:rFonts w:cs="Calibri"/>
          <w:color w:val="000000" w:themeColor="text1"/>
          <w:sz w:val="22"/>
          <w:szCs w:val="22"/>
        </w:rPr>
        <w:t>Pietrzyk</w:t>
      </w:r>
      <w:r w:rsidR="005508DA">
        <w:rPr>
          <w:rFonts w:cs="Calibri"/>
          <w:color w:val="000000" w:themeColor="text1"/>
          <w:sz w:val="22"/>
          <w:szCs w:val="22"/>
        </w:rPr>
        <w:t xml:space="preserve"> data</w:t>
      </w:r>
      <w:r w:rsidR="00AB2D4D">
        <w:rPr>
          <w:rFonts w:cs="Calibri"/>
          <w:color w:val="000000" w:themeColor="text1"/>
          <w:sz w:val="22"/>
          <w:szCs w:val="22"/>
        </w:rPr>
        <w:t>set included in our analysis</w:t>
      </w:r>
      <w:r w:rsidR="005508DA">
        <w:rPr>
          <w:rFonts w:cs="Calibri"/>
          <w:color w:val="000000" w:themeColor="text1"/>
          <w:sz w:val="22"/>
          <w:szCs w:val="22"/>
        </w:rPr>
        <w:t>.</w:t>
      </w:r>
      <w:r w:rsidR="00AB2D4D" w:rsidRPr="00EA1A53">
        <w:rPr>
          <w:rFonts w:cs="Calibri"/>
          <w:color w:val="000000" w:themeColor="text1"/>
          <w:sz w:val="22"/>
          <w:szCs w:val="22"/>
        </w:rPr>
        <w:fldChar w:fldCharType="begin"/>
      </w:r>
      <w:r w:rsidR="00BF2C13" w:rsidRPr="00EA1A53">
        <w:rPr>
          <w:rFonts w:cs="Calibri"/>
          <w:color w:val="000000" w:themeColor="text1"/>
          <w:sz w:val="22"/>
          <w:szCs w:val="22"/>
        </w:rPr>
        <w:instrText xml:space="preserve"> ADDIN ZOTERO_ITEM CSL_CITATION {"citationID":"m8civNmW","properties":{"formattedCitation":"(Moreira et al., 2023; Pietrzyk et al., 2013)","plainCitation":"(Moreira et al., 2023; Pietrzyk et al., 2013)","noteIndex":0},"citationItems":[{"id":1738,"uris":["http://zotero.org/users/14418362/items/4FM3ID98"],"itemData":{"id":1738,"type":"article-journal","abstract":"IMPACT: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T"},{"family":"Kwinta","given":"Przemko"}],"issued":{"date-parts":[["2023"]]}}},{"id":1723,"uris":["http://zotero.org/users/14418362/items/4P4GWIER"],"itemData":{"id":1723,"type":"article-journal","abstract":"RATIONALE: Bronchopulmonary dysplasia is one of the most serious complications observed in premature infants. Thanks to microarray technique, expression of nearly all human genes can be reliably evaluated., OBJECTIVE: To compare whole genome expression in the first month of life in groups of infants with and without bronchopulmonary dysplasia., METHODS: 111 newborns were included in the study. The mean birth weight was 1029 g (SD:290), and the mean gestational age was 27.8 weeks (SD:2.5). Blood samples were drawn from the study participants on the 5th, 14th and 28th day of life. The mRNA samples were evaluated for gene expression with the use of GeneChip R Human Gene 1.0 ST microarrays. The infants were divided into two groups: bronchopulmonary dysplasia (n=68) and control (n=43)., RESULTS: Overall 2086 genes were differentially expressed on the day 5, only 324 on the day 14 and 3498 on the day 28. Based on pathway enrichment analysis we found that the cell cycle pathway was up-regulated in the bronchopulmonary dysplasia group. The activation of this pathway does not seem to be related with the maturity of the infant. Four pathways related to inflammatory response were continuously on the 5(th), 14(th) and 28(th) day of life down-regulated in the bronchopulmonary dysplasia group. However, the expression of genes depended on both factors: immaturity and disease severity. The most significantly down-regulated pathway was the T cell receptor signaling pathway., CONCLUSION: The results of the whole genome expression study revealed alteration of the expression of nearly 10% of the genome in bronchopulmonary dysplasia patients.","archive":"Ovid MEDLINE(R) &lt;2013&gt;","container-title":"PloS one","DOI":"10.1371/journal.pone.0078585","ISSN":"1932-6203","issue":"10","title":"Gene expression profiling in preterm infants: new aspects of bronchopulmonary dysplasia development.","URL":"http://ovidsp.ovid.com/ovidweb.cgi?T=JS&amp;PAGE=reference&amp;D=med10&amp;NEWS=N&amp;AN=24194948","volume":"8","author":[{"family":"Pietrzyk","given":"Jacek J"},{"family":"Kwinta","given":"Przemko"},{"family":"Wollen","given":"Embjorg J"},{"family":"Bik-Multanowski","given":"Miroslaw"},{"family":"Madetko-Talowska","given":"Anna"},{"family":"Gunther","given":"Clara-Cecilie"},{"family":"Jagla","given":"Mateusz"},{"family":"Tomasik","given":"Tomasz"},{"family":"Saugstad","given":"Ola D"}],"issued":{"date-parts":[["2013"]]}}}],"schema":"https://github.com/citation-style-language/schema/raw/master/csl-citation.json"} </w:instrText>
      </w:r>
      <w:r w:rsidR="00AB2D4D" w:rsidRPr="00EA1A53">
        <w:rPr>
          <w:rFonts w:cs="Calibri"/>
          <w:color w:val="000000" w:themeColor="text1"/>
          <w:sz w:val="22"/>
          <w:szCs w:val="22"/>
        </w:rPr>
        <w:fldChar w:fldCharType="separate"/>
      </w:r>
      <w:r w:rsidR="00BF2C13" w:rsidRPr="00EA1A53">
        <w:rPr>
          <w:rFonts w:cs="Calibri"/>
          <w:noProof/>
          <w:color w:val="000000" w:themeColor="text1"/>
          <w:sz w:val="22"/>
          <w:szCs w:val="22"/>
        </w:rPr>
        <w:t>(Moreira et al., 2023; Pietrzyk et al., 2013)</w:t>
      </w:r>
      <w:r w:rsidR="00AB2D4D" w:rsidRPr="00EA1A53">
        <w:rPr>
          <w:rFonts w:cs="Calibri"/>
          <w:color w:val="000000" w:themeColor="text1"/>
          <w:sz w:val="22"/>
          <w:szCs w:val="22"/>
        </w:rPr>
        <w:fldChar w:fldCharType="end"/>
      </w:r>
      <w:r w:rsidR="00BF2C13" w:rsidRPr="00EA1A53">
        <w:rPr>
          <w:rFonts w:cs="Calibri"/>
          <w:color w:val="000000" w:themeColor="text1"/>
          <w:sz w:val="22"/>
          <w:szCs w:val="22"/>
        </w:rPr>
        <w:t xml:space="preserve"> </w:t>
      </w:r>
      <w:r w:rsidR="00EA1A53" w:rsidRPr="00EA1A53">
        <w:rPr>
          <w:rFonts w:cs="Calibri"/>
          <w:color w:val="000000" w:themeColor="text1"/>
          <w:sz w:val="22"/>
          <w:szCs w:val="22"/>
        </w:rPr>
        <w:t xml:space="preserve">and identified 4 potential endotypes underlying BPD progression. T helper 17 (Th17) differentiation </w:t>
      </w:r>
      <w:r w:rsidR="00EA1A53" w:rsidRPr="00EA1A53">
        <w:rPr>
          <w:sz w:val="22"/>
          <w:szCs w:val="22"/>
        </w:rPr>
        <w:t>emerged as the most significant pathway distinguishing the BPD endotypes.</w:t>
      </w:r>
      <w:r w:rsidR="00EA1A53">
        <w:rPr>
          <w:rFonts w:cs="Calibri"/>
          <w:color w:val="000000" w:themeColor="text1"/>
          <w:sz w:val="22"/>
          <w:szCs w:val="22"/>
        </w:rPr>
        <w:t xml:space="preserve">  </w:t>
      </w:r>
      <w:r w:rsidRPr="005A5A49">
        <w:rPr>
          <w:sz w:val="22"/>
          <w:szCs w:val="22"/>
        </w:rPr>
        <w:t>A</w:t>
      </w:r>
      <w:r>
        <w:rPr>
          <w:sz w:val="22"/>
          <w:szCs w:val="22"/>
        </w:rPr>
        <w:t xml:space="preserve"> lower CD4/CD8 ratio</w:t>
      </w:r>
      <w:r w:rsidRPr="005A5A49">
        <w:rPr>
          <w:sz w:val="22"/>
          <w:szCs w:val="22"/>
        </w:rPr>
        <w:t xml:space="preserve"> </w:t>
      </w:r>
      <w:r w:rsidR="00EA1A53">
        <w:rPr>
          <w:sz w:val="22"/>
          <w:szCs w:val="22"/>
        </w:rPr>
        <w:t>has been</w:t>
      </w:r>
      <w:r>
        <w:rPr>
          <w:sz w:val="22"/>
          <w:szCs w:val="22"/>
        </w:rPr>
        <w:t xml:space="preserve"> observed in adults with a history of BPD</w:t>
      </w:r>
      <w:r w:rsidR="006030CD">
        <w:rPr>
          <w:sz w:val="22"/>
          <w:szCs w:val="22"/>
        </w:rPr>
        <w:t>.</w:t>
      </w:r>
      <w:r>
        <w:rPr>
          <w:sz w:val="22"/>
          <w:szCs w:val="22"/>
        </w:rPr>
        <w:fldChar w:fldCharType="begin"/>
      </w:r>
      <w:r>
        <w:rPr>
          <w:sz w:val="22"/>
          <w:szCs w:val="22"/>
        </w:rPr>
        <w:instrText xml:space="preserve"> ADDIN ZOTERO_ITEM CSL_CITATION {"citationID":"PD1cnCT2","properties":{"formattedCitation":"(Um-Bergstr\\uc0\\u246{}m et al., 2022)","plainCitation":"(Um-Bergström et al., 2022)","noteIndex":0},"citationItems":[{"id":2271,"uris":["http://zotero.org/users/14418362/items/EGCZQ2BF"],"itemData":{"id":2271,"type":"article-journal","abstract":"Objectives To characterise the distribution of airway T-cell subsets in adults with a history of BPD.\nMethods Young adults with former BPD (n=22; median age 19.6 years), age-matched adults born preterm (n=22), patients with allergic asthma born at term (n=22) and healthy control subjects born at term (n=24) underwent bronchoalveolar lavage (BAL). T-cell subsets in BAL were analysed using flow cytometry.\nResults The total number of cells and the differential cell counts in BAL were similar among the study groups. The percentage of CD3+CD8+ T-cells was higher ( p=0.005) and the proportion of CD3+CD4+ Tcells was reduced ( p=0.01) in the BPD group, resulting in a lower CD4/CD8 ratio ( p=0.007) compared to the healthy controls (median 2.2 versus 5.3). In BPD and preterm-born study subjects, both CD3+CD4+ Tcells (rs=0.38, p=0.03) and CD4/CD8 ratio (rs=0.44, p=0.01) correlated positively with forced expiratory volume in 1 s (FEV1). Furthermore, CD3+CD8+ T-cells were negatively correlated with both FEV1 and FEV1/forced vital capacity (rs= −0.44, p=0.09 and rs= −0.41, p=0.01, respectively).\nConclusions Young adults with former BPD have a T-cell subset pattern in the airways resembling features of COPD. Our findings are compatible with the hypothesis that CD3+CD8+ T-cells are involved in mechanisms behind chronic airway obstruction in these patients.","container-title":"European Respiratory Journal","DOI":"10.1183/13993003.02531-2021","ISSN":"0903-1936, 1399-3003","issue":"3","journalAbbreviation":"Eur Respir J","language":"en","page":"2102531","source":"DOI.org (Crossref)","title":"Increased cytotoxic T-cells in the airways of adults with former bronchopulmonary dysplasia","URL":"http://publications.ersnet.org/lookup/doi/10.1183/13993003.02531-2021","volume":"60","author":[{"family":"Um-Bergström","given":"Petra"},{"family":"Pourbazargan","given":"Melvin"},{"family":"Brundin","given":"Bettina"},{"family":"Ström","given":"Marika"},{"family":"Ezerskyte","given":"Monika"},{"family":"Gao","given":"Jing"},{"family":"Berggren Broström","given":"Eva"},{"family":"Melén","given":"Erik"},{"family":"Wheelock","given":"Åsa M."},{"family":"Lindén","given":"Anders"},{"family":"Sköld","given":"C. Magnus"}],"accessed":{"date-parts":[["2025",2,21]]},"issued":{"date-parts":[["2022",9]]}}}],"schema":"https://github.com/citation-style-language/schema/raw/master/csl-citation.json"} </w:instrText>
      </w:r>
      <w:r>
        <w:rPr>
          <w:sz w:val="22"/>
          <w:szCs w:val="22"/>
        </w:rPr>
        <w:fldChar w:fldCharType="separate"/>
      </w:r>
      <w:r w:rsidRPr="005D240B">
        <w:rPr>
          <w:rFonts w:ascii="Aptos" w:cs="Times New Roman"/>
          <w:sz w:val="22"/>
        </w:rPr>
        <w:t>(Um-Bergström et al., 2022)</w:t>
      </w:r>
      <w:r>
        <w:rPr>
          <w:sz w:val="22"/>
          <w:szCs w:val="22"/>
        </w:rPr>
        <w:fldChar w:fldCharType="end"/>
      </w:r>
    </w:p>
    <w:p w14:paraId="52650726" w14:textId="337CB4A8" w:rsidR="005D240B" w:rsidRPr="005A5A49" w:rsidRDefault="005D240B" w:rsidP="005D240B">
      <w:pPr>
        <w:spacing w:line="480" w:lineRule="auto"/>
        <w:jc w:val="both"/>
        <w:rPr>
          <w:sz w:val="22"/>
          <w:szCs w:val="22"/>
        </w:rPr>
      </w:pPr>
      <w:r w:rsidRPr="005A5A49">
        <w:rPr>
          <w:sz w:val="22"/>
          <w:szCs w:val="22"/>
        </w:rPr>
        <w:t>This study is based on the published literature and is intended to capture the current state of genome-wide BPD research</w:t>
      </w:r>
      <w:r w:rsidR="00AB7995">
        <w:rPr>
          <w:sz w:val="22"/>
          <w:szCs w:val="22"/>
        </w:rPr>
        <w:t>.</w:t>
      </w:r>
      <w:r w:rsidRPr="005A5A49">
        <w:rPr>
          <w:sz w:val="22"/>
          <w:szCs w:val="22"/>
        </w:rPr>
        <w:t xml:space="preserve"> </w:t>
      </w:r>
      <w:r w:rsidR="00AB7995">
        <w:rPr>
          <w:sz w:val="22"/>
          <w:szCs w:val="22"/>
        </w:rPr>
        <w:t xml:space="preserve">It is </w:t>
      </w:r>
      <w:r w:rsidR="007816AD">
        <w:rPr>
          <w:sz w:val="22"/>
          <w:szCs w:val="22"/>
        </w:rPr>
        <w:t>subject to several</w:t>
      </w:r>
      <w:r w:rsidRPr="005A5A49">
        <w:rPr>
          <w:sz w:val="22"/>
          <w:szCs w:val="22"/>
        </w:rPr>
        <w:t xml:space="preserve"> limitations. Firstly,</w:t>
      </w:r>
      <w:r>
        <w:rPr>
          <w:sz w:val="22"/>
          <w:szCs w:val="22"/>
        </w:rPr>
        <w:t xml:space="preserve"> </w:t>
      </w:r>
      <w:r w:rsidRPr="005A5A49">
        <w:rPr>
          <w:sz w:val="22"/>
          <w:szCs w:val="22"/>
        </w:rPr>
        <w:t xml:space="preserve">blood is among the least invasive and most practical biological samples to collect in the NICU setting. Over half of the </w:t>
      </w:r>
      <w:r w:rsidRPr="00EC174C">
        <w:rPr>
          <w:sz w:val="22"/>
          <w:szCs w:val="22"/>
        </w:rPr>
        <w:t xml:space="preserve">gene lists from human studies were derived from primary blood samples (11/21, 52.4%). </w:t>
      </w:r>
      <w:r w:rsidRPr="00EC174C">
        <w:rPr>
          <w:rFonts w:cs="Helvetica"/>
          <w:sz w:val="22"/>
          <w:szCs w:val="22"/>
        </w:rPr>
        <w:t xml:space="preserve">Gene regulation and expression is often context and tissue specific, </w:t>
      </w:r>
      <w:r w:rsidRPr="00EC174C">
        <w:rPr>
          <w:sz w:val="22"/>
          <w:szCs w:val="22"/>
        </w:rPr>
        <w:t>consequently, our human results are likely indicative of circulating biomarkers and may not entirely reflect the extent of tissue</w:t>
      </w:r>
      <w:r w:rsidRPr="005A5A49">
        <w:rPr>
          <w:sz w:val="22"/>
          <w:szCs w:val="22"/>
        </w:rPr>
        <w:t xml:space="preserve"> injury at its origin. Conversely, blood samples are not commonly taken in rodent studies of BPD, where whole lung tissue is preferred. This may have contributed to the different gene signatures observed between the two analyses. </w:t>
      </w:r>
      <w:r>
        <w:rPr>
          <w:sz w:val="22"/>
          <w:szCs w:val="22"/>
        </w:rPr>
        <w:t>Secondly</w:t>
      </w:r>
      <w:r w:rsidRPr="005A5A49">
        <w:rPr>
          <w:sz w:val="22"/>
          <w:szCs w:val="22"/>
        </w:rPr>
        <w:t>,</w:t>
      </w:r>
      <w:r>
        <w:rPr>
          <w:sz w:val="22"/>
          <w:szCs w:val="22"/>
        </w:rPr>
        <w:t xml:space="preserve"> due to experimental methodologies,</w:t>
      </w:r>
      <w:r w:rsidRPr="005A5A49">
        <w:rPr>
          <w:sz w:val="22"/>
          <w:szCs w:val="22"/>
        </w:rPr>
        <w:t xml:space="preserve"> </w:t>
      </w:r>
      <w:r>
        <w:rPr>
          <w:sz w:val="22"/>
          <w:szCs w:val="22"/>
        </w:rPr>
        <w:t xml:space="preserve">the rodent models of BPD included in this analysis may not accurately reflect the human disease </w:t>
      </w:r>
      <w:proofErr w:type="gramStart"/>
      <w:r>
        <w:rPr>
          <w:sz w:val="22"/>
          <w:szCs w:val="22"/>
        </w:rPr>
        <w:t xml:space="preserve">as a </w:t>
      </w:r>
      <w:r w:rsidR="003508D3">
        <w:rPr>
          <w:sz w:val="22"/>
          <w:szCs w:val="22"/>
        </w:rPr>
        <w:t>whole but</w:t>
      </w:r>
      <w:proofErr w:type="gramEnd"/>
      <w:r>
        <w:rPr>
          <w:sz w:val="22"/>
          <w:szCs w:val="22"/>
        </w:rPr>
        <w:t xml:space="preserve"> summarise the effects of hypoxia induced </w:t>
      </w:r>
      <w:r w:rsidRPr="00B82C33">
        <w:rPr>
          <w:sz w:val="22"/>
          <w:szCs w:val="22"/>
        </w:rPr>
        <w:t xml:space="preserve">during disease. </w:t>
      </w:r>
      <w:r w:rsidR="00AB7995">
        <w:rPr>
          <w:sz w:val="22"/>
          <w:szCs w:val="22"/>
        </w:rPr>
        <w:t>Thirdly</w:t>
      </w:r>
      <w:r>
        <w:rPr>
          <w:sz w:val="22"/>
          <w:szCs w:val="22"/>
        </w:rPr>
        <w:t xml:space="preserve">, </w:t>
      </w:r>
      <w:r w:rsidRPr="005A5A49">
        <w:rPr>
          <w:sz w:val="22"/>
          <w:szCs w:val="22"/>
        </w:rPr>
        <w:t>due to</w:t>
      </w:r>
      <w:r>
        <w:rPr>
          <w:sz w:val="22"/>
          <w:szCs w:val="22"/>
        </w:rPr>
        <w:t xml:space="preserve"> </w:t>
      </w:r>
      <w:r w:rsidRPr="005A5A49">
        <w:rPr>
          <w:sz w:val="22"/>
          <w:szCs w:val="22"/>
        </w:rPr>
        <w:t xml:space="preserve">key developmental differences - such as timing of alveolarisation and immune system maturation – the results may not be directly comparable between species. </w:t>
      </w:r>
      <w:r w:rsidR="00B82C33" w:rsidRPr="00B82C33">
        <w:rPr>
          <w:rFonts w:cs="Helvetica"/>
          <w:sz w:val="22"/>
          <w:szCs w:val="22"/>
        </w:rPr>
        <w:t>It is difficult to determine if some uncommon, enriched pathways reflect rodent-specific responses to experimental injury rather than universally conserved disease mechanisms</w:t>
      </w:r>
      <w:r w:rsidR="00B82C33">
        <w:rPr>
          <w:rFonts w:ascii="Helvetica" w:hAnsi="Helvetica" w:cs="Helvetica"/>
        </w:rPr>
        <w:t xml:space="preserve">. </w:t>
      </w:r>
      <w:r w:rsidR="00AB7995">
        <w:rPr>
          <w:sz w:val="22"/>
          <w:szCs w:val="22"/>
        </w:rPr>
        <w:t xml:space="preserve">Finally, MAIC </w:t>
      </w:r>
      <w:r w:rsidR="005508DA">
        <w:rPr>
          <w:sz w:val="22"/>
          <w:szCs w:val="22"/>
        </w:rPr>
        <w:t xml:space="preserve">does not accommodate direction of effect. </w:t>
      </w:r>
    </w:p>
    <w:p w14:paraId="08D02D5A" w14:textId="77777777" w:rsidR="005D240B" w:rsidRPr="005A5A49" w:rsidRDefault="005D240B" w:rsidP="005D240B">
      <w:pPr>
        <w:spacing w:line="480" w:lineRule="auto"/>
        <w:jc w:val="both"/>
        <w:rPr>
          <w:sz w:val="22"/>
          <w:szCs w:val="22"/>
        </w:rPr>
      </w:pPr>
    </w:p>
    <w:p w14:paraId="3568826E" w14:textId="77777777" w:rsidR="005D240B" w:rsidRPr="005A5A49" w:rsidRDefault="005D240B" w:rsidP="005D240B">
      <w:pPr>
        <w:spacing w:line="480" w:lineRule="auto"/>
        <w:jc w:val="both"/>
        <w:rPr>
          <w:rFonts w:cs="Calibri"/>
          <w:color w:val="000000" w:themeColor="text1"/>
          <w:sz w:val="22"/>
          <w:szCs w:val="22"/>
        </w:rPr>
      </w:pPr>
      <w:r w:rsidRPr="005A5A49">
        <w:rPr>
          <w:rFonts w:cs="Calibri"/>
          <w:color w:val="000000" w:themeColor="text1"/>
          <w:sz w:val="22"/>
          <w:szCs w:val="22"/>
        </w:rPr>
        <w:t xml:space="preserve">In conclusion, ... </w:t>
      </w:r>
    </w:p>
    <w:p w14:paraId="05607A4D" w14:textId="77777777" w:rsidR="005D240B" w:rsidRPr="005A5A49" w:rsidRDefault="005D240B" w:rsidP="005D240B">
      <w:pPr>
        <w:spacing w:line="480" w:lineRule="auto"/>
        <w:jc w:val="both"/>
        <w:rPr>
          <w:sz w:val="22"/>
          <w:szCs w:val="22"/>
        </w:rPr>
      </w:pPr>
    </w:p>
    <w:p w14:paraId="61408242" w14:textId="77777777" w:rsidR="005D240B" w:rsidRPr="005A5A49" w:rsidRDefault="005D240B" w:rsidP="005D240B">
      <w:pPr>
        <w:spacing w:line="480" w:lineRule="auto"/>
        <w:rPr>
          <w:b/>
          <w:bCs/>
          <w:sz w:val="22"/>
          <w:szCs w:val="22"/>
        </w:rPr>
      </w:pPr>
    </w:p>
    <w:p w14:paraId="02D21737" w14:textId="77777777" w:rsidR="005D240B" w:rsidRPr="005B64D9" w:rsidRDefault="005D240B" w:rsidP="005D24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50D14869" w14:textId="77777777" w:rsidR="005D240B" w:rsidRPr="005B64D9" w:rsidRDefault="005D240B" w:rsidP="005D240B">
      <w:pPr>
        <w:spacing w:line="480" w:lineRule="auto"/>
        <w:jc w:val="both"/>
        <w:rPr>
          <w:b/>
          <w:bCs/>
          <w:sz w:val="22"/>
          <w:szCs w:val="22"/>
        </w:rPr>
      </w:pPr>
    </w:p>
    <w:p w14:paraId="07D3BD2A" w14:textId="77777777" w:rsidR="005D240B" w:rsidRPr="00327009" w:rsidRDefault="005D240B" w:rsidP="005D240B">
      <w:pPr>
        <w:spacing w:line="480" w:lineRule="auto"/>
        <w:jc w:val="both"/>
        <w:rPr>
          <w:b/>
          <w:bCs/>
          <w:i/>
          <w:iCs/>
          <w:sz w:val="22"/>
          <w:szCs w:val="22"/>
        </w:rPr>
      </w:pPr>
      <w:r w:rsidRPr="00327009">
        <w:rPr>
          <w:b/>
          <w:bCs/>
          <w:i/>
          <w:iCs/>
          <w:sz w:val="22"/>
          <w:szCs w:val="22"/>
        </w:rPr>
        <w:t>Systematic review</w:t>
      </w:r>
    </w:p>
    <w:p w14:paraId="610CB6A5" w14:textId="77777777" w:rsidR="005D240B" w:rsidRPr="005B64D9" w:rsidRDefault="005D240B" w:rsidP="005D24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Pr>
          <w:rFonts w:ascii="Aptos" w:cs="Times New Roman"/>
          <w:sz w:val="22"/>
        </w:rPr>
        <w:t>(Page et al., 2021)</w:t>
      </w:r>
      <w:r w:rsidRPr="005B64D9">
        <w:rPr>
          <w:sz w:val="22"/>
          <w:szCs w:val="22"/>
        </w:rPr>
        <w:fldChar w:fldCharType="end"/>
      </w:r>
    </w:p>
    <w:p w14:paraId="3FC7AF3C" w14:textId="77777777" w:rsidR="005D240B" w:rsidRPr="005B64D9" w:rsidRDefault="005D240B" w:rsidP="005D240B">
      <w:pPr>
        <w:spacing w:line="480" w:lineRule="auto"/>
        <w:jc w:val="both"/>
        <w:rPr>
          <w:i/>
          <w:iCs/>
          <w:sz w:val="22"/>
          <w:szCs w:val="22"/>
        </w:rPr>
      </w:pPr>
    </w:p>
    <w:p w14:paraId="6A9A5BB9" w14:textId="77777777" w:rsidR="005D240B" w:rsidRPr="00327009" w:rsidRDefault="005D240B" w:rsidP="005D240B">
      <w:pPr>
        <w:spacing w:line="480" w:lineRule="auto"/>
        <w:jc w:val="both"/>
        <w:rPr>
          <w:b/>
          <w:bCs/>
          <w:i/>
          <w:iCs/>
          <w:sz w:val="22"/>
          <w:szCs w:val="22"/>
        </w:rPr>
      </w:pPr>
      <w:r w:rsidRPr="00327009">
        <w:rPr>
          <w:b/>
          <w:bCs/>
          <w:i/>
          <w:iCs/>
          <w:sz w:val="22"/>
          <w:szCs w:val="22"/>
        </w:rPr>
        <w:t>Search strategy and selection criteria</w:t>
      </w:r>
    </w:p>
    <w:p w14:paraId="3EBDBA9F" w14:textId="77777777" w:rsidR="005D240B" w:rsidRPr="005B64D9" w:rsidRDefault="005D240B" w:rsidP="005D24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Pr>
          <w:rFonts w:ascii="Aptos" w:cs="Times New Roman"/>
          <w:sz w:val="22"/>
        </w:rPr>
        <w:t>(Clark et al., 2020)</w:t>
      </w:r>
      <w:r w:rsidRPr="005B64D9">
        <w:rPr>
          <w:sz w:val="22"/>
          <w:szCs w:val="22"/>
        </w:rPr>
        <w:fldChar w:fldCharType="end"/>
      </w:r>
      <w:r w:rsidRPr="005B64D9">
        <w:rPr>
          <w:sz w:val="22"/>
          <w:szCs w:val="22"/>
        </w:rPr>
        <w:t xml:space="preserve"> </w:t>
      </w:r>
    </w:p>
    <w:p w14:paraId="0FAD4D9E" w14:textId="77777777" w:rsidR="005D240B" w:rsidRPr="005B64D9" w:rsidRDefault="005D240B" w:rsidP="005D240B">
      <w:pPr>
        <w:spacing w:line="480" w:lineRule="auto"/>
        <w:jc w:val="both"/>
        <w:rPr>
          <w:sz w:val="22"/>
          <w:szCs w:val="22"/>
        </w:rPr>
      </w:pPr>
    </w:p>
    <w:p w14:paraId="06875070" w14:textId="77777777" w:rsidR="005D240B" w:rsidRPr="005B64D9" w:rsidRDefault="005D240B" w:rsidP="005D24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10258858" w14:textId="77777777" w:rsidR="005D240B" w:rsidRPr="005B64D9" w:rsidRDefault="005D240B" w:rsidP="005D240B">
      <w:pPr>
        <w:spacing w:line="480" w:lineRule="auto"/>
        <w:jc w:val="both"/>
        <w:rPr>
          <w:sz w:val="22"/>
          <w:szCs w:val="22"/>
        </w:rPr>
      </w:pPr>
    </w:p>
    <w:p w14:paraId="0AEC5F87" w14:textId="77777777" w:rsidR="005D240B" w:rsidRPr="00327009" w:rsidRDefault="005D240B" w:rsidP="005D240B">
      <w:pPr>
        <w:spacing w:line="480" w:lineRule="auto"/>
        <w:jc w:val="both"/>
        <w:rPr>
          <w:b/>
          <w:bCs/>
          <w:i/>
          <w:iCs/>
          <w:sz w:val="22"/>
          <w:szCs w:val="22"/>
        </w:rPr>
      </w:pPr>
      <w:r w:rsidRPr="00327009">
        <w:rPr>
          <w:b/>
          <w:bCs/>
          <w:i/>
          <w:iCs/>
          <w:sz w:val="22"/>
          <w:szCs w:val="22"/>
        </w:rPr>
        <w:t>MAIC</w:t>
      </w:r>
    </w:p>
    <w:p w14:paraId="2919836E" w14:textId="77777777" w:rsidR="005D240B" w:rsidRPr="005B64D9" w:rsidRDefault="005D240B" w:rsidP="005D24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We implemented </w:t>
      </w:r>
      <w:proofErr w:type="spellStart"/>
      <w:r w:rsidRPr="005B64D9">
        <w:rPr>
          <w:sz w:val="22"/>
          <w:szCs w:val="22"/>
        </w:rPr>
        <w:t>pymaic</w:t>
      </w:r>
      <w:proofErr w:type="spellEnd"/>
      <w:r w:rsidRPr="005B64D9">
        <w:rPr>
          <w:sz w:val="22"/>
          <w:szCs w:val="22"/>
        </w:rPr>
        <w:t xml:space="preserve"> v0.2 in Python v3.</w:t>
      </w:r>
      <w:r>
        <w:rPr>
          <w:sz w:val="22"/>
          <w:szCs w:val="22"/>
        </w:rPr>
        <w:t>9 and used Technique to categorise input lists.</w:t>
      </w:r>
      <w:r w:rsidRPr="005B64D9">
        <w:rPr>
          <w:sz w:val="22"/>
          <w:szCs w:val="22"/>
        </w:rPr>
        <w:t xml:space="preserve"> 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Pr>
          <w:sz w:val="22"/>
          <w:szCs w:val="22"/>
        </w:rPr>
        <w:t xml:space="preserve"> </w:t>
      </w:r>
    </w:p>
    <w:p w14:paraId="52D3CE14" w14:textId="77777777" w:rsidR="005D240B" w:rsidRPr="005B64D9" w:rsidRDefault="005D240B" w:rsidP="005D240B">
      <w:pPr>
        <w:spacing w:line="480" w:lineRule="auto"/>
        <w:jc w:val="both"/>
        <w:rPr>
          <w:sz w:val="22"/>
          <w:szCs w:val="22"/>
        </w:rPr>
      </w:pPr>
    </w:p>
    <w:p w14:paraId="2295BB2C" w14:textId="323E2A89" w:rsidR="005D240B" w:rsidRPr="00327009" w:rsidRDefault="005D240B" w:rsidP="005D240B">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r w:rsidR="001045AD">
        <w:rPr>
          <w:rFonts w:cs="Calibri"/>
          <w:b/>
          <w:bCs/>
          <w:i/>
          <w:iCs/>
          <w:color w:val="000000" w:themeColor="text1"/>
          <w:szCs w:val="22"/>
        </w:rPr>
        <w:t xml:space="preserve"> and tissue expression</w:t>
      </w:r>
    </w:p>
    <w:p w14:paraId="653A3BA8" w14:textId="375B88BC" w:rsidR="005D240B" w:rsidRDefault="005D240B" w:rsidP="005D24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4957E8">
        <w:rPr>
          <w:rFonts w:ascii="Courier New" w:hAnsi="Courier New" w:cs="Courier New"/>
          <w:sz w:val="22"/>
          <w:szCs w:val="22"/>
        </w:rPr>
        <w:t>clusterProfiler</w:t>
      </w:r>
      <w:proofErr w:type="spellEnd"/>
      <w:r w:rsidRPr="00327009">
        <w:rPr>
          <w:sz w:val="22"/>
          <w:szCs w:val="22"/>
        </w:rPr>
        <w:t xml:space="preserve"> (v4.0)</w:t>
      </w:r>
      <w:r w:rsidRPr="00327009">
        <w:rPr>
          <w:sz w:val="22"/>
          <w:szCs w:val="22"/>
        </w:rPr>
        <w:fldChar w:fldCharType="begin"/>
      </w:r>
      <w:r>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Pr>
          <w:rFonts w:ascii="Aptos" w:cs="Times New Roman"/>
          <w:sz w:val="22"/>
        </w:rPr>
        <w:t>(Wu et al., 2021)</w:t>
      </w:r>
      <w:r w:rsidRPr="00327009">
        <w:rPr>
          <w:sz w:val="22"/>
          <w:szCs w:val="22"/>
        </w:rPr>
        <w:fldChar w:fldCharType="end"/>
      </w:r>
      <w:r w:rsidRPr="00327009">
        <w:rPr>
          <w:sz w:val="22"/>
          <w:szCs w:val="22"/>
        </w:rPr>
        <w:t xml:space="preserve"> in R (v4.4.0)</w:t>
      </w:r>
      <w:r>
        <w:rPr>
          <w:sz w:val="22"/>
          <w:szCs w:val="22"/>
        </w:rPr>
        <w:t xml:space="preserve"> and </w:t>
      </w:r>
      <w:r w:rsidRPr="00BF5456">
        <w:rPr>
          <w:rFonts w:ascii="Aptos" w:hAnsi="Aptos"/>
          <w:sz w:val="22"/>
          <w:szCs w:val="22"/>
        </w:rPr>
        <w:t xml:space="preserve">visualised using functions in that package. </w:t>
      </w:r>
      <w:r w:rsidRPr="00BF5456">
        <w:rPr>
          <w:rFonts w:ascii="Aptos" w:hAnsi="Aptos"/>
          <w:sz w:val="22"/>
          <w:szCs w:val="22"/>
          <w:shd w:val="clear" w:color="auto" w:fill="FFFFFF"/>
        </w:rPr>
        <w:t>Redundancy of enriched GO terms</w:t>
      </w:r>
      <w:r w:rsidRPr="00BF5456">
        <w:rPr>
          <w:rFonts w:ascii="Aptos" w:hAnsi="Aptos"/>
          <w:sz w:val="22"/>
          <w:szCs w:val="22"/>
        </w:rPr>
        <w:t xml:space="preserve"> was removed</w:t>
      </w:r>
      <w:r>
        <w:rPr>
          <w:sz w:val="22"/>
          <w:szCs w:val="22"/>
        </w:rPr>
        <w:t xml:space="preserve"> using the </w:t>
      </w:r>
      <w:r w:rsidRPr="00BF5456">
        <w:rPr>
          <w:rFonts w:ascii="Courier New" w:hAnsi="Courier New" w:cs="Courier New"/>
          <w:sz w:val="22"/>
          <w:szCs w:val="22"/>
        </w:rPr>
        <w:t>simplify</w:t>
      </w:r>
      <w:r>
        <w:rPr>
          <w:sz w:val="22"/>
          <w:szCs w:val="22"/>
        </w:rPr>
        <w:t xml:space="preserve"> function. </w:t>
      </w:r>
      <w:r w:rsidRPr="00327009">
        <w:rPr>
          <w:sz w:val="22"/>
          <w:szCs w:val="22"/>
        </w:rPr>
        <w:t>Hypergeometric</w:t>
      </w:r>
      <w:r w:rsidRPr="005B64D9">
        <w:rPr>
          <w:sz w:val="22"/>
          <w:szCs w:val="22"/>
        </w:rPr>
        <w:t xml:space="preserve"> tests were implemented with the </w:t>
      </w:r>
      <w:r w:rsidRPr="00BF5456">
        <w:rPr>
          <w:rFonts w:ascii="Courier New" w:hAnsi="Courier New" w:cs="Courier New"/>
          <w:sz w:val="22"/>
          <w:szCs w:val="22"/>
        </w:rPr>
        <w:t>1-phyper</w:t>
      </w:r>
      <w:r w:rsidRPr="005B64D9">
        <w:rPr>
          <w:i/>
          <w:iCs/>
          <w:sz w:val="22"/>
          <w:szCs w:val="22"/>
        </w:rPr>
        <w:t xml:space="preserve"> </w:t>
      </w:r>
      <w:r w:rsidRPr="005B64D9">
        <w:rPr>
          <w:sz w:val="22"/>
          <w:szCs w:val="22"/>
        </w:rPr>
        <w:t>function in R.</w:t>
      </w:r>
      <w:r>
        <w:rPr>
          <w:sz w:val="22"/>
          <w:szCs w:val="22"/>
        </w:rPr>
        <w:t xml:space="preserve"> Gene overlaps were visualised using </w:t>
      </w:r>
      <w:proofErr w:type="spellStart"/>
      <w:r w:rsidRPr="00BF5456">
        <w:rPr>
          <w:rFonts w:ascii="Courier New" w:hAnsi="Courier New" w:cs="Courier New"/>
          <w:sz w:val="22"/>
          <w:szCs w:val="22"/>
        </w:rPr>
        <w:t>ggvenn</w:t>
      </w:r>
      <w:proofErr w:type="spellEnd"/>
      <w:r>
        <w:rPr>
          <w:sz w:val="22"/>
          <w:szCs w:val="22"/>
        </w:rPr>
        <w:t>.</w:t>
      </w:r>
      <w:r w:rsidR="001045AD">
        <w:rPr>
          <w:sz w:val="22"/>
          <w:szCs w:val="22"/>
        </w:rPr>
        <w:t xml:space="preserve"> </w:t>
      </w:r>
      <w:r w:rsidR="001045AD" w:rsidRPr="001045AD">
        <w:rPr>
          <w:sz w:val="22"/>
          <w:szCs w:val="22"/>
        </w:rPr>
        <w:t>We conducted cell-</w:t>
      </w:r>
      <w:proofErr w:type="gramStart"/>
      <w:r w:rsidR="001045AD" w:rsidRPr="001045AD">
        <w:rPr>
          <w:sz w:val="22"/>
          <w:szCs w:val="22"/>
        </w:rPr>
        <w:t>type  specific</w:t>
      </w:r>
      <w:proofErr w:type="gramEnd"/>
      <w:r w:rsidR="001045AD" w:rsidRPr="001045AD">
        <w:rPr>
          <w:sz w:val="22"/>
          <w:szCs w:val="22"/>
        </w:rPr>
        <w:t xml:space="preserve"> enrichment analysis using </w:t>
      </w:r>
      <w:proofErr w:type="spellStart"/>
      <w:r w:rsidR="001045AD" w:rsidRPr="001045AD">
        <w:rPr>
          <w:sz w:val="22"/>
          <w:szCs w:val="22"/>
        </w:rPr>
        <w:t>WebCSEA</w:t>
      </w:r>
      <w:proofErr w:type="spellEnd"/>
      <w:r w:rsidR="001045AD">
        <w:rPr>
          <w:sz w:val="22"/>
          <w:szCs w:val="22"/>
        </w:rPr>
        <w:fldChar w:fldCharType="begin"/>
      </w:r>
      <w:r w:rsidR="001045AD">
        <w:rPr>
          <w:sz w:val="22"/>
          <w:szCs w:val="22"/>
        </w:rPr>
        <w:instrText xml:space="preserve"> ADDIN ZOTERO_TEMP </w:instrText>
      </w:r>
      <w:r w:rsidR="001045AD">
        <w:rPr>
          <w:sz w:val="22"/>
          <w:szCs w:val="22"/>
        </w:rPr>
        <w:fldChar w:fldCharType="separate"/>
      </w:r>
      <w:r w:rsidR="001045AD">
        <w:rPr>
          <w:noProof/>
          <w:sz w:val="22"/>
          <w:szCs w:val="22"/>
        </w:rPr>
        <w:t>{Dai}</w:t>
      </w:r>
      <w:r w:rsidR="001045AD">
        <w:rPr>
          <w:sz w:val="22"/>
          <w:szCs w:val="22"/>
        </w:rPr>
        <w:fldChar w:fldCharType="end"/>
      </w:r>
      <w:r w:rsidR="001045AD" w:rsidRPr="001045AD">
        <w:rPr>
          <w:sz w:val="22"/>
          <w:szCs w:val="22"/>
        </w:rPr>
        <w:t xml:space="preserve"> and extracted the top 20 general cell types for each query.</w:t>
      </w:r>
    </w:p>
    <w:p w14:paraId="060F9079" w14:textId="77777777" w:rsidR="005D240B" w:rsidRDefault="005D240B" w:rsidP="005D240B">
      <w:pPr>
        <w:spacing w:line="480" w:lineRule="auto"/>
        <w:jc w:val="both"/>
        <w:rPr>
          <w:sz w:val="22"/>
          <w:szCs w:val="22"/>
        </w:rPr>
      </w:pPr>
    </w:p>
    <w:p w14:paraId="1E262FC6" w14:textId="77777777" w:rsidR="005D240B" w:rsidRPr="004957E8" w:rsidRDefault="005D240B" w:rsidP="005D240B">
      <w:pPr>
        <w:spacing w:line="480" w:lineRule="auto"/>
        <w:jc w:val="both"/>
        <w:rPr>
          <w:b/>
          <w:bCs/>
          <w:i/>
          <w:iCs/>
          <w:sz w:val="22"/>
          <w:szCs w:val="22"/>
        </w:rPr>
      </w:pPr>
      <w:r w:rsidRPr="004957E8">
        <w:rPr>
          <w:b/>
          <w:bCs/>
          <w:i/>
          <w:iCs/>
          <w:sz w:val="22"/>
          <w:szCs w:val="22"/>
        </w:rPr>
        <w:t>Protein Interaction Network</w:t>
      </w:r>
    </w:p>
    <w:p w14:paraId="3A039326" w14:textId="137B5C61" w:rsidR="005D240B" w:rsidRPr="005B64D9" w:rsidRDefault="005D240B" w:rsidP="005D240B">
      <w:pPr>
        <w:spacing w:line="480" w:lineRule="auto"/>
        <w:jc w:val="both"/>
        <w:rPr>
          <w:sz w:val="22"/>
          <w:szCs w:val="22"/>
        </w:rPr>
      </w:pPr>
      <w:r w:rsidRPr="005B64D9">
        <w:rPr>
          <w:sz w:val="22"/>
          <w:szCs w:val="22"/>
        </w:rPr>
        <w:t>Prioritised genes were analysed using the online tool STRING (https:// string-db.org)</w:t>
      </w:r>
      <w:r>
        <w:rPr>
          <w:sz w:val="22"/>
          <w:szCs w:val="22"/>
        </w:rPr>
        <w:t xml:space="preserve"> to determine potential protein-protein interactions</w:t>
      </w:r>
      <w:r w:rsidRPr="005B64D9">
        <w:rPr>
          <w:sz w:val="22"/>
          <w:szCs w:val="22"/>
        </w:rPr>
        <w:t>.</w:t>
      </w:r>
      <w:r>
        <w:rPr>
          <w:sz w:val="22"/>
          <w:szCs w:val="22"/>
        </w:rPr>
        <w:t xml:space="preserve"> For humans 919 genes were mapped, for rodents 1726. </w:t>
      </w:r>
      <w:r w:rsidRPr="005B64D9">
        <w:rPr>
          <w:sz w:val="22"/>
          <w:szCs w:val="22"/>
        </w:rPr>
        <w:t xml:space="preserve"> A </w:t>
      </w:r>
      <w:r w:rsidRPr="005B64D9">
        <w:rPr>
          <w:sz w:val="22"/>
          <w:szCs w:val="22"/>
        </w:rPr>
        <w:lastRenderedPageBreak/>
        <w:t>PPI network was constructed using the MCL (Markov Clustering) algorithm, with an inflation parameter of 3</w:t>
      </w:r>
      <w:r>
        <w:rPr>
          <w:sz w:val="22"/>
          <w:szCs w:val="22"/>
        </w:rPr>
        <w:t xml:space="preserve"> and focused on high confidence (interaction score of &gt;= 0.7) interactions</w:t>
      </w:r>
      <w:r w:rsidRPr="005B64D9">
        <w:rPr>
          <w:sz w:val="22"/>
          <w:szCs w:val="22"/>
        </w:rPr>
        <w:t xml:space="preserve">. The 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w:t>
      </w:r>
      <w:r w:rsidRPr="004957E8">
        <w:rPr>
          <w:sz w:val="22"/>
          <w:szCs w:val="22"/>
        </w:rPr>
        <w:t xml:space="preserve">top 100 ranked genes, ranked using </w:t>
      </w:r>
      <w:r>
        <w:rPr>
          <w:sz w:val="22"/>
          <w:szCs w:val="22"/>
        </w:rPr>
        <w:t>5</w:t>
      </w:r>
      <w:r w:rsidRPr="004957E8">
        <w:rPr>
          <w:sz w:val="22"/>
          <w:szCs w:val="22"/>
        </w:rPr>
        <w:t xml:space="preserve"> common algorithms</w:t>
      </w:r>
      <w:r w:rsidRPr="005B64D9">
        <w:rPr>
          <w:sz w:val="22"/>
          <w:szCs w:val="22"/>
        </w:rPr>
        <w:t xml:space="preserve"> (MCC, MNC, Degree, EPC and </w:t>
      </w:r>
      <w:r w:rsidRPr="004957E8">
        <w:rPr>
          <w:sz w:val="22"/>
          <w:szCs w:val="22"/>
        </w:rPr>
        <w:t>DMNC), was</w:t>
      </w:r>
      <w:r w:rsidRPr="005B64D9">
        <w:rPr>
          <w:sz w:val="22"/>
          <w:szCs w:val="22"/>
        </w:rPr>
        <w:t xml:space="preserve"> used to evaluate hub genes</w:t>
      </w:r>
      <w:r>
        <w:rPr>
          <w:sz w:val="22"/>
          <w:szCs w:val="22"/>
        </w:rPr>
        <w:t>, apart from overlaps</w:t>
      </w:r>
      <w:r w:rsidR="009F3C8A">
        <w:rPr>
          <w:sz w:val="22"/>
          <w:szCs w:val="22"/>
        </w:rPr>
        <w:t xml:space="preserve"> between MAIC analyses</w:t>
      </w:r>
      <w:r>
        <w:rPr>
          <w:sz w:val="22"/>
          <w:szCs w:val="22"/>
        </w:rPr>
        <w:t xml:space="preserve"> where </w:t>
      </w:r>
      <w:r w:rsidR="009F3C8A" w:rsidRPr="005B64D9">
        <w:rPr>
          <w:sz w:val="22"/>
          <w:szCs w:val="22"/>
        </w:rPr>
        <w:t xml:space="preserve">the </w:t>
      </w:r>
      <w:r w:rsidR="009F3C8A" w:rsidRPr="004957E8">
        <w:rPr>
          <w:sz w:val="22"/>
          <w:szCs w:val="22"/>
        </w:rPr>
        <w:t>top 10 ranked genes</w:t>
      </w:r>
      <w:r w:rsidR="009F3C8A">
        <w:rPr>
          <w:sz w:val="22"/>
          <w:szCs w:val="22"/>
        </w:rPr>
        <w:t xml:space="preserve"> </w:t>
      </w:r>
      <w:r>
        <w:rPr>
          <w:sz w:val="22"/>
          <w:szCs w:val="22"/>
        </w:rPr>
        <w:t>were used</w:t>
      </w:r>
      <w:r w:rsidRPr="005B64D9">
        <w:rPr>
          <w:sz w:val="22"/>
          <w:szCs w:val="22"/>
        </w:rPr>
        <w:t>.</w:t>
      </w:r>
      <w:r>
        <w:rPr>
          <w:sz w:val="22"/>
          <w:szCs w:val="22"/>
        </w:rPr>
        <w:fldChar w:fldCharType="begin"/>
      </w:r>
      <w:r>
        <w:rPr>
          <w:sz w:val="22"/>
          <w:szCs w:val="22"/>
        </w:rPr>
        <w:instrText xml:space="preserve"> ADDIN ZOTERO_TEMP </w:instrText>
      </w:r>
      <w:r>
        <w:rPr>
          <w:sz w:val="22"/>
          <w:szCs w:val="22"/>
        </w:rPr>
        <w:fldChar w:fldCharType="separate"/>
      </w:r>
      <w:r>
        <w:rPr>
          <w:sz w:val="22"/>
          <w:szCs w:val="22"/>
        </w:rPr>
        <w:fldChar w:fldCharType="end"/>
      </w:r>
      <w:r w:rsidRPr="005B64D9">
        <w:rPr>
          <w:sz w:val="22"/>
          <w:szCs w:val="22"/>
        </w:rPr>
        <w:t xml:space="preserve"> </w:t>
      </w:r>
    </w:p>
    <w:p w14:paraId="3630F8F0" w14:textId="77777777" w:rsidR="005D240B" w:rsidRPr="005B64D9" w:rsidRDefault="005D240B" w:rsidP="005D240B">
      <w:pPr>
        <w:spacing w:line="480" w:lineRule="auto"/>
        <w:jc w:val="both"/>
        <w:rPr>
          <w:sz w:val="22"/>
          <w:szCs w:val="22"/>
        </w:rPr>
      </w:pPr>
    </w:p>
    <w:p w14:paraId="483B6AFA" w14:textId="77777777" w:rsidR="0077789B" w:rsidRPr="0077789B" w:rsidRDefault="0077789B" w:rsidP="0077789B">
      <w:pPr>
        <w:spacing w:line="480" w:lineRule="auto"/>
        <w:jc w:val="both"/>
        <w:rPr>
          <w:b/>
          <w:bCs/>
          <w:sz w:val="22"/>
          <w:szCs w:val="22"/>
        </w:rPr>
      </w:pPr>
      <w:r w:rsidRPr="0077789B">
        <w:rPr>
          <w:b/>
          <w:bCs/>
          <w:sz w:val="22"/>
          <w:szCs w:val="22"/>
        </w:rPr>
        <w:t>Overlap Analysis of Ranked Gene Lists</w:t>
      </w:r>
    </w:p>
    <w:p w14:paraId="0FCAEAC1" w14:textId="2A83D582" w:rsidR="005D240B" w:rsidRPr="005B64D9" w:rsidRDefault="0077789B" w:rsidP="0077789B">
      <w:pPr>
        <w:spacing w:line="480" w:lineRule="auto"/>
        <w:jc w:val="both"/>
        <w:rPr>
          <w:sz w:val="22"/>
          <w:szCs w:val="22"/>
        </w:rPr>
      </w:pPr>
      <w:r w:rsidRPr="0077789B">
        <w:rPr>
          <w:sz w:val="22"/>
          <w:szCs w:val="22"/>
        </w:rPr>
        <w:t>To assess the degree of similarity between ranked lists, we computed the percent overlap at incremental list lengths. Beginning with the top-ranked gene from each list, we iteratively increased the comparison window by one gene until reaching a maximum of n genes. At each step, the proportion of overlapping genes was calculated as the number of shared genes divided by the number of genes included at that step, expressed as a percentage.</w:t>
      </w:r>
    </w:p>
    <w:p w14:paraId="769CA03D" w14:textId="77777777" w:rsidR="005D240B" w:rsidRPr="005B64D9" w:rsidRDefault="005D240B" w:rsidP="005D240B">
      <w:pPr>
        <w:spacing w:line="480" w:lineRule="auto"/>
        <w:jc w:val="both"/>
        <w:rPr>
          <w:sz w:val="22"/>
          <w:szCs w:val="22"/>
        </w:rPr>
      </w:pPr>
    </w:p>
    <w:p w14:paraId="71BC31DA" w14:textId="77777777" w:rsidR="005D240B" w:rsidRPr="005B64D9" w:rsidRDefault="005D240B" w:rsidP="005D240B">
      <w:pPr>
        <w:spacing w:line="480" w:lineRule="auto"/>
        <w:rPr>
          <w:b/>
          <w:bCs/>
          <w:sz w:val="22"/>
          <w:szCs w:val="22"/>
        </w:rPr>
      </w:pPr>
      <w:r w:rsidRPr="005B64D9">
        <w:rPr>
          <w:b/>
          <w:bCs/>
          <w:sz w:val="22"/>
          <w:szCs w:val="22"/>
        </w:rPr>
        <w:br w:type="page"/>
      </w:r>
    </w:p>
    <w:p w14:paraId="5BD17566" w14:textId="77777777" w:rsidR="005D240B" w:rsidRDefault="005D240B" w:rsidP="005D240B">
      <w:pPr>
        <w:spacing w:line="480" w:lineRule="auto"/>
        <w:jc w:val="both"/>
        <w:rPr>
          <w:b/>
          <w:bCs/>
          <w:sz w:val="22"/>
          <w:szCs w:val="22"/>
        </w:rPr>
      </w:pPr>
      <w:r w:rsidRPr="005B64D9">
        <w:rPr>
          <w:b/>
          <w:bCs/>
          <w:sz w:val="22"/>
          <w:szCs w:val="22"/>
        </w:rPr>
        <w:lastRenderedPageBreak/>
        <w:t>References</w:t>
      </w:r>
    </w:p>
    <w:p w14:paraId="43A9E57E" w14:textId="77777777" w:rsidR="005D240B" w:rsidRDefault="005D240B" w:rsidP="005D240B">
      <w:pPr>
        <w:spacing w:line="480" w:lineRule="auto"/>
        <w:jc w:val="both"/>
        <w:rPr>
          <w:b/>
          <w:bCs/>
          <w:sz w:val="22"/>
          <w:szCs w:val="22"/>
        </w:rPr>
      </w:pPr>
    </w:p>
    <w:p w14:paraId="28319347" w14:textId="77777777" w:rsidR="006030CD" w:rsidRPr="006030CD" w:rsidRDefault="005D240B" w:rsidP="006030CD">
      <w:pPr>
        <w:pStyle w:val="Bibliography"/>
        <w:rPr>
          <w:rFonts w:ascii="Aptos"/>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r w:rsidR="006030CD" w:rsidRPr="006030CD">
        <w:rPr>
          <w:rFonts w:ascii="Aptos"/>
          <w:sz w:val="22"/>
        </w:rPr>
        <w:t xml:space="preserve">Ahmed, S., Odumade, O. A., van Zalm, P., Fatou, B., Hansen, R., Martin, C. R., Angelidou, A., &amp; Steen, H. (2023). Proteomics-Based Mapping of Bronchopulmonary Dysplasia-Associated Changes in Noninvasively Accessible Oral Secretions. </w:t>
      </w:r>
      <w:r w:rsidR="006030CD" w:rsidRPr="006030CD">
        <w:rPr>
          <w:rFonts w:ascii="Aptos"/>
          <w:i/>
          <w:iCs/>
          <w:sz w:val="22"/>
        </w:rPr>
        <w:t>The Journal of Pediatrics</w:t>
      </w:r>
      <w:r w:rsidR="006030CD" w:rsidRPr="006030CD">
        <w:rPr>
          <w:rFonts w:ascii="Aptos"/>
          <w:sz w:val="22"/>
        </w:rPr>
        <w:t xml:space="preserve">, </w:t>
      </w:r>
      <w:r w:rsidR="006030CD" w:rsidRPr="006030CD">
        <w:rPr>
          <w:rFonts w:ascii="Aptos"/>
          <w:i/>
          <w:iCs/>
          <w:sz w:val="22"/>
        </w:rPr>
        <w:t>270</w:t>
      </w:r>
      <w:r w:rsidR="006030CD" w:rsidRPr="006030CD">
        <w:rPr>
          <w:rFonts w:ascii="Aptos"/>
          <w:sz w:val="22"/>
        </w:rPr>
        <w:t>. Ovid MEDLINE(R) Epub Ahead of Print. https://doi.org/10.1016/j.jpeds.2023.113774</w:t>
      </w:r>
    </w:p>
    <w:p w14:paraId="10EBC517" w14:textId="77777777" w:rsidR="006030CD" w:rsidRPr="006030CD" w:rsidRDefault="006030CD" w:rsidP="006030CD">
      <w:pPr>
        <w:pStyle w:val="Bibliography"/>
        <w:rPr>
          <w:rFonts w:ascii="Aptos"/>
          <w:sz w:val="22"/>
        </w:rPr>
      </w:pPr>
      <w:r w:rsidRPr="006030CD">
        <w:rPr>
          <w:rFonts w:ascii="Aptos"/>
          <w:sz w:val="22"/>
        </w:rPr>
        <w:t xml:space="preserve">Ambalavanan, N., Cotten, C. M., Page, G. P., Carlo, W. A., Murray, J. C., Bhattacharya, S., Mariani, T. J., Cuna, A. C., Faye-Petersen, O. M., Kelly, D., &amp; Higgins, R. D. (2015). Integrated Genomic Analyses in Bronchopulmonary Dysplasia. </w:t>
      </w:r>
      <w:r w:rsidRPr="006030CD">
        <w:rPr>
          <w:rFonts w:ascii="Aptos"/>
          <w:i/>
          <w:iCs/>
          <w:sz w:val="22"/>
        </w:rPr>
        <w:t>The Journal of Pediatrics</w:t>
      </w:r>
      <w:r w:rsidRPr="006030CD">
        <w:rPr>
          <w:rFonts w:ascii="Aptos"/>
          <w:sz w:val="22"/>
        </w:rPr>
        <w:t xml:space="preserve">, </w:t>
      </w:r>
      <w:r w:rsidRPr="006030CD">
        <w:rPr>
          <w:rFonts w:ascii="Aptos"/>
          <w:i/>
          <w:iCs/>
          <w:sz w:val="22"/>
        </w:rPr>
        <w:t>166</w:t>
      </w:r>
      <w:r w:rsidRPr="006030CD">
        <w:rPr>
          <w:rFonts w:ascii="Aptos"/>
          <w:sz w:val="22"/>
        </w:rPr>
        <w:t>(3), 531-537.e13. https://doi.org/10.1016/j.jpeds.2014.09.052</w:t>
      </w:r>
    </w:p>
    <w:p w14:paraId="3FF4C2F8" w14:textId="77777777" w:rsidR="006030CD" w:rsidRPr="006030CD" w:rsidRDefault="006030CD" w:rsidP="006030CD">
      <w:pPr>
        <w:pStyle w:val="Bibliography"/>
        <w:rPr>
          <w:rFonts w:ascii="Aptos"/>
          <w:sz w:val="22"/>
        </w:rPr>
      </w:pPr>
      <w:r w:rsidRPr="006030CD">
        <w:rPr>
          <w:rFonts w:ascii="Aptos"/>
          <w:sz w:val="22"/>
        </w:rPr>
        <w:t xml:space="preserve">Bhandari, V., Bizzarro, M. J., Shetty, A., Zhong, X., Page, G. P., Zhang, H., Ment, L. R., Gruen, J. R., &amp; for the Neonatal Genetics Study Group. (2006). Familial and Genetic Susceptibility to Major Neonatal Morbidities in Preterm Twins. </w:t>
      </w:r>
      <w:r w:rsidRPr="006030CD">
        <w:rPr>
          <w:rFonts w:ascii="Aptos"/>
          <w:i/>
          <w:iCs/>
          <w:sz w:val="22"/>
        </w:rPr>
        <w:t>Pediatrics</w:t>
      </w:r>
      <w:r w:rsidRPr="006030CD">
        <w:rPr>
          <w:rFonts w:ascii="Aptos"/>
          <w:sz w:val="22"/>
        </w:rPr>
        <w:t xml:space="preserve">, </w:t>
      </w:r>
      <w:r w:rsidRPr="006030CD">
        <w:rPr>
          <w:rFonts w:ascii="Aptos"/>
          <w:i/>
          <w:iCs/>
          <w:sz w:val="22"/>
        </w:rPr>
        <w:t>117</w:t>
      </w:r>
      <w:r w:rsidRPr="006030CD">
        <w:rPr>
          <w:rFonts w:ascii="Aptos"/>
          <w:sz w:val="22"/>
        </w:rPr>
        <w:t>(6), 1901–1906. https://doi.org/10.1542/peds.2005-1414</w:t>
      </w:r>
    </w:p>
    <w:p w14:paraId="2BE8861A" w14:textId="77777777" w:rsidR="006030CD" w:rsidRPr="006030CD" w:rsidRDefault="006030CD" w:rsidP="006030CD">
      <w:pPr>
        <w:pStyle w:val="Bibliography"/>
        <w:rPr>
          <w:rFonts w:ascii="Aptos"/>
          <w:sz w:val="22"/>
        </w:rPr>
      </w:pPr>
      <w:r w:rsidRPr="006030CD">
        <w:rPr>
          <w:rFonts w:ascii="Aptos"/>
          <w:sz w:val="22"/>
        </w:rPr>
        <w:t xml:space="preserve">Bhattacharya, S., Go, D., Krenitsky, D. L., Huyck, H. L., Solleti, S. K., Lunger, V. A., Metlay, L., Srisuma, S., Wert, S. E., Mariani, T. J., &amp; Pryhuber, G. S. (2012). Genome-wide transcriptional profiling reveals connective tissue mast cell accumulation in bronchopulmonary dysplasia. </w:t>
      </w:r>
      <w:r w:rsidRPr="006030CD">
        <w:rPr>
          <w:rFonts w:ascii="Aptos"/>
          <w:i/>
          <w:iCs/>
          <w:sz w:val="22"/>
        </w:rPr>
        <w:t>American Journal of Respiratory and Critical Care Medicine</w:t>
      </w:r>
      <w:r w:rsidRPr="006030CD">
        <w:rPr>
          <w:rFonts w:ascii="Aptos"/>
          <w:sz w:val="22"/>
        </w:rPr>
        <w:t xml:space="preserve">, </w:t>
      </w:r>
      <w:r w:rsidRPr="006030CD">
        <w:rPr>
          <w:rFonts w:ascii="Aptos"/>
          <w:i/>
          <w:iCs/>
          <w:sz w:val="22"/>
        </w:rPr>
        <w:t>186</w:t>
      </w:r>
      <w:r w:rsidRPr="006030CD">
        <w:rPr>
          <w:rFonts w:ascii="Aptos"/>
          <w:sz w:val="22"/>
        </w:rPr>
        <w:t>(4). Ovid MEDLINE(R) &lt;2012&gt;. https://doi.org/10.1164/rccm.201203-0406OC</w:t>
      </w:r>
    </w:p>
    <w:p w14:paraId="126D5D67" w14:textId="77777777" w:rsidR="006030CD" w:rsidRPr="006030CD" w:rsidRDefault="006030CD" w:rsidP="006030CD">
      <w:pPr>
        <w:pStyle w:val="Bibliography"/>
        <w:rPr>
          <w:rFonts w:ascii="Aptos"/>
          <w:sz w:val="22"/>
        </w:rPr>
      </w:pPr>
      <w:r w:rsidRPr="006030CD">
        <w:rPr>
          <w:rFonts w:ascii="Aptos"/>
          <w:sz w:val="22"/>
        </w:rPr>
        <w:t xml:space="preserve">Bhattacharya, S., Mereness, J. A., Baran, A. M., Misra, R. S., Peterson, D. R., Ryan, R. M., Reynolds, A. M., Pryhuber, G. S., &amp; Mariani, T. J. (2020). Lymphocyte-Specific Biomarkers Associated With Preterm Birth and Bronchopulmonary Dysplasia. </w:t>
      </w:r>
      <w:r w:rsidRPr="006030CD">
        <w:rPr>
          <w:rFonts w:ascii="Aptos"/>
          <w:i/>
          <w:iCs/>
          <w:sz w:val="22"/>
        </w:rPr>
        <w:t>Frontiers in Immunology</w:t>
      </w:r>
      <w:r w:rsidRPr="006030CD">
        <w:rPr>
          <w:rFonts w:ascii="Aptos"/>
          <w:sz w:val="22"/>
        </w:rPr>
        <w:t xml:space="preserve">, </w:t>
      </w:r>
      <w:r w:rsidRPr="006030CD">
        <w:rPr>
          <w:rFonts w:ascii="Aptos"/>
          <w:i/>
          <w:iCs/>
          <w:sz w:val="22"/>
        </w:rPr>
        <w:t>11</w:t>
      </w:r>
      <w:r w:rsidRPr="006030CD">
        <w:rPr>
          <w:rFonts w:ascii="Aptos"/>
          <w:sz w:val="22"/>
        </w:rPr>
        <w:t>. Ovid MEDLINE(R) &lt;2020&gt;. https://doi.org/10.3389/fimmu.2020.563473</w:t>
      </w:r>
    </w:p>
    <w:p w14:paraId="08A4F69D" w14:textId="77777777" w:rsidR="006030CD" w:rsidRPr="006030CD" w:rsidRDefault="006030CD" w:rsidP="006030CD">
      <w:pPr>
        <w:pStyle w:val="Bibliography"/>
        <w:rPr>
          <w:rFonts w:ascii="Aptos"/>
          <w:sz w:val="22"/>
        </w:rPr>
      </w:pPr>
      <w:r w:rsidRPr="006030CD">
        <w:rPr>
          <w:rFonts w:ascii="Aptos"/>
          <w:sz w:val="22"/>
        </w:rPr>
        <w:lastRenderedPageBreak/>
        <w:t xml:space="preserve">Clark, J., Glasziou, P., Del Mar, C., Bannach-Brown, A., Stehlik, P., &amp; Scott, A. M. (2020). A full systematic review was completed in 2 weeks using automation tools: A case study. </w:t>
      </w:r>
      <w:r w:rsidRPr="006030CD">
        <w:rPr>
          <w:rFonts w:ascii="Aptos"/>
          <w:i/>
          <w:iCs/>
          <w:sz w:val="22"/>
        </w:rPr>
        <w:t>Journal of Clinical Epidemiology</w:t>
      </w:r>
      <w:r w:rsidRPr="006030CD">
        <w:rPr>
          <w:rFonts w:ascii="Aptos"/>
          <w:sz w:val="22"/>
        </w:rPr>
        <w:t xml:space="preserve">, </w:t>
      </w:r>
      <w:r w:rsidRPr="006030CD">
        <w:rPr>
          <w:rFonts w:ascii="Aptos"/>
          <w:i/>
          <w:iCs/>
          <w:sz w:val="22"/>
        </w:rPr>
        <w:t>121</w:t>
      </w:r>
      <w:r w:rsidRPr="006030CD">
        <w:rPr>
          <w:rFonts w:ascii="Aptos"/>
          <w:sz w:val="22"/>
        </w:rPr>
        <w:t>, 81–90. https://doi.org/10.1016/j.jclinepi.2020.01.008</w:t>
      </w:r>
    </w:p>
    <w:p w14:paraId="3B958F5F" w14:textId="77777777" w:rsidR="006030CD" w:rsidRPr="006030CD" w:rsidRDefault="006030CD" w:rsidP="006030CD">
      <w:pPr>
        <w:pStyle w:val="Bibliography"/>
        <w:rPr>
          <w:rFonts w:ascii="Aptos"/>
          <w:sz w:val="22"/>
        </w:rPr>
      </w:pPr>
      <w:r w:rsidRPr="006030CD">
        <w:rPr>
          <w:rFonts w:ascii="Aptos"/>
          <w:sz w:val="22"/>
        </w:rPr>
        <w:t xml:space="preserve">Dassios, T., &amp; Greenough, A. (2021). Long-term sequelae of bronchopulmonary dysplasia. In I. P. Sinha, J. M. Bhatt, A. Cleator, &amp; H. Wallace (Eds), </w:t>
      </w:r>
      <w:r w:rsidRPr="006030CD">
        <w:rPr>
          <w:rFonts w:ascii="Aptos"/>
          <w:i/>
          <w:iCs/>
          <w:sz w:val="22"/>
        </w:rPr>
        <w:t>Respiratory Diseases of the Newborn Infant</w:t>
      </w:r>
      <w:r w:rsidRPr="006030CD">
        <w:rPr>
          <w:rFonts w:ascii="Aptos"/>
          <w:sz w:val="22"/>
        </w:rPr>
        <w:t xml:space="preserve"> (pp. 68–78). European Respiratory Society. https://doi.org/10.1183/2312508X.10013720</w:t>
      </w:r>
    </w:p>
    <w:p w14:paraId="73A9FB09" w14:textId="77777777" w:rsidR="006030CD" w:rsidRPr="006030CD" w:rsidRDefault="006030CD" w:rsidP="006030CD">
      <w:pPr>
        <w:pStyle w:val="Bibliography"/>
        <w:rPr>
          <w:rFonts w:ascii="Aptos"/>
          <w:sz w:val="22"/>
        </w:rPr>
      </w:pPr>
      <w:r w:rsidRPr="006030CD">
        <w:rPr>
          <w:rFonts w:ascii="Aptos"/>
          <w:sz w:val="22"/>
        </w:rPr>
        <w:t xml:space="preserve">Eiby, Y. A., Wright, L. L., Kalanjati, V. P., Miller, S. M., Bjorkman, S. T., Keates, H. L., Lumbers, E. R., Colditz, P. B., &amp; Lingwood, B. E. (2013). A Pig Model of the Preterm Neonate: Anthropometric and Physiological Characteristics. </w:t>
      </w:r>
      <w:r w:rsidRPr="006030CD">
        <w:rPr>
          <w:rFonts w:ascii="Aptos"/>
          <w:i/>
          <w:iCs/>
          <w:sz w:val="22"/>
        </w:rPr>
        <w:t>PLoS ONE</w:t>
      </w:r>
      <w:r w:rsidRPr="006030CD">
        <w:rPr>
          <w:rFonts w:ascii="Aptos"/>
          <w:sz w:val="22"/>
        </w:rPr>
        <w:t xml:space="preserve">, </w:t>
      </w:r>
      <w:r w:rsidRPr="006030CD">
        <w:rPr>
          <w:rFonts w:ascii="Aptos"/>
          <w:i/>
          <w:iCs/>
          <w:sz w:val="22"/>
        </w:rPr>
        <w:t>8</w:t>
      </w:r>
      <w:r w:rsidRPr="006030CD">
        <w:rPr>
          <w:rFonts w:ascii="Aptos"/>
          <w:sz w:val="22"/>
        </w:rPr>
        <w:t>(7), e68763. https://doi.org/10.1371/journal.pone.0068763</w:t>
      </w:r>
    </w:p>
    <w:p w14:paraId="5B108C11" w14:textId="77777777" w:rsidR="006030CD" w:rsidRPr="006030CD" w:rsidRDefault="006030CD" w:rsidP="006030CD">
      <w:pPr>
        <w:pStyle w:val="Bibliography"/>
        <w:rPr>
          <w:rFonts w:ascii="Aptos"/>
          <w:sz w:val="22"/>
        </w:rPr>
      </w:pPr>
      <w:r w:rsidRPr="006030CD">
        <w:rPr>
          <w:rFonts w:ascii="Aptos"/>
          <w:sz w:val="22"/>
        </w:rPr>
        <w:t xml:space="preserve">Eltzschig, H. K., &amp; Carmeliet, P. (2011). Hypoxia and inflammation. </w:t>
      </w:r>
      <w:r w:rsidRPr="006030CD">
        <w:rPr>
          <w:rFonts w:ascii="Aptos"/>
          <w:i/>
          <w:iCs/>
          <w:sz w:val="22"/>
        </w:rPr>
        <w:t>The New England Journal of Medicine</w:t>
      </w:r>
      <w:r w:rsidRPr="006030CD">
        <w:rPr>
          <w:rFonts w:ascii="Aptos"/>
          <w:sz w:val="22"/>
        </w:rPr>
        <w:t xml:space="preserve">, </w:t>
      </w:r>
      <w:r w:rsidRPr="006030CD">
        <w:rPr>
          <w:rFonts w:ascii="Aptos"/>
          <w:i/>
          <w:iCs/>
          <w:sz w:val="22"/>
        </w:rPr>
        <w:t>364</w:t>
      </w:r>
      <w:r w:rsidRPr="006030CD">
        <w:rPr>
          <w:rFonts w:ascii="Aptos"/>
          <w:sz w:val="22"/>
        </w:rPr>
        <w:t>(7), 656–665. https://doi.org/10.1056/NEJMra0910283</w:t>
      </w:r>
    </w:p>
    <w:p w14:paraId="24DA5580" w14:textId="77777777" w:rsidR="006030CD" w:rsidRPr="006030CD" w:rsidRDefault="006030CD" w:rsidP="006030CD">
      <w:pPr>
        <w:pStyle w:val="Bibliography"/>
        <w:rPr>
          <w:rFonts w:ascii="Aptos"/>
          <w:sz w:val="22"/>
        </w:rPr>
      </w:pPr>
      <w:r w:rsidRPr="006030CD">
        <w:rPr>
          <w:rFonts w:ascii="Aptos"/>
          <w:sz w:val="22"/>
        </w:rPr>
        <w:t xml:space="preserve">Gilfillan, M., Bhandari, A., &amp; Bhandari, V. (2021). Diagnosis and management of bronchopulmonary dysplasia. </w:t>
      </w:r>
      <w:r w:rsidRPr="006030CD">
        <w:rPr>
          <w:rFonts w:ascii="Aptos"/>
          <w:i/>
          <w:iCs/>
          <w:sz w:val="22"/>
        </w:rPr>
        <w:t>BMJ</w:t>
      </w:r>
      <w:r w:rsidRPr="006030CD">
        <w:rPr>
          <w:rFonts w:ascii="Aptos"/>
          <w:sz w:val="22"/>
        </w:rPr>
        <w:t>, n1974. https://doi.org/10.1136/bmj.n1974</w:t>
      </w:r>
    </w:p>
    <w:p w14:paraId="670EC380" w14:textId="77777777" w:rsidR="006030CD" w:rsidRPr="006030CD" w:rsidRDefault="006030CD" w:rsidP="006030CD">
      <w:pPr>
        <w:pStyle w:val="Bibliography"/>
        <w:rPr>
          <w:rFonts w:ascii="Aptos"/>
          <w:sz w:val="22"/>
        </w:rPr>
      </w:pPr>
      <w:r w:rsidRPr="006030CD">
        <w:rPr>
          <w:rFonts w:ascii="Aptos"/>
          <w:sz w:val="22"/>
        </w:rPr>
        <w:t xml:space="preserve">Greenough, A. (2000). Measuring respiratory outcome. </w:t>
      </w:r>
      <w:r w:rsidRPr="006030CD">
        <w:rPr>
          <w:rFonts w:ascii="Aptos"/>
          <w:i/>
          <w:iCs/>
          <w:sz w:val="22"/>
        </w:rPr>
        <w:t>Seminars in Neonatology</w:t>
      </w:r>
      <w:r w:rsidRPr="006030CD">
        <w:rPr>
          <w:rFonts w:ascii="Aptos"/>
          <w:sz w:val="22"/>
        </w:rPr>
        <w:t xml:space="preserve">, </w:t>
      </w:r>
      <w:r w:rsidRPr="006030CD">
        <w:rPr>
          <w:rFonts w:ascii="Aptos"/>
          <w:i/>
          <w:iCs/>
          <w:sz w:val="22"/>
        </w:rPr>
        <w:t>5</w:t>
      </w:r>
      <w:r w:rsidRPr="006030CD">
        <w:rPr>
          <w:rFonts w:ascii="Aptos"/>
          <w:sz w:val="22"/>
        </w:rPr>
        <w:t>(2), 119–126. https://doi.org/10.1053/siny.1999.0006</w:t>
      </w:r>
    </w:p>
    <w:p w14:paraId="3C6EE196" w14:textId="77777777" w:rsidR="006030CD" w:rsidRPr="006030CD" w:rsidRDefault="006030CD" w:rsidP="006030CD">
      <w:pPr>
        <w:pStyle w:val="Bibliography"/>
        <w:rPr>
          <w:rFonts w:ascii="Aptos"/>
          <w:sz w:val="22"/>
        </w:rPr>
      </w:pPr>
      <w:r w:rsidRPr="006030CD">
        <w:rPr>
          <w:rFonts w:ascii="Aptos"/>
          <w:sz w:val="22"/>
        </w:rPr>
        <w:t xml:space="preserve">Greenough, A. (2006). Bronchopulmonary dysplasia – Long term follow up. </w:t>
      </w:r>
      <w:r w:rsidRPr="006030CD">
        <w:rPr>
          <w:rFonts w:ascii="Aptos"/>
          <w:i/>
          <w:iCs/>
          <w:sz w:val="22"/>
        </w:rPr>
        <w:t>Paediatric Respiratory Reviews</w:t>
      </w:r>
      <w:r w:rsidRPr="006030CD">
        <w:rPr>
          <w:rFonts w:ascii="Aptos"/>
          <w:sz w:val="22"/>
        </w:rPr>
        <w:t xml:space="preserve">, </w:t>
      </w:r>
      <w:r w:rsidRPr="006030CD">
        <w:rPr>
          <w:rFonts w:ascii="Aptos"/>
          <w:i/>
          <w:iCs/>
          <w:sz w:val="22"/>
        </w:rPr>
        <w:t>7</w:t>
      </w:r>
      <w:r w:rsidRPr="006030CD">
        <w:rPr>
          <w:rFonts w:ascii="Aptos"/>
          <w:sz w:val="22"/>
        </w:rPr>
        <w:t>, S189–S191. https://doi.org/10.1016/j.prrv.2006.04.206</w:t>
      </w:r>
    </w:p>
    <w:p w14:paraId="04D11A67" w14:textId="77777777" w:rsidR="006030CD" w:rsidRPr="006030CD" w:rsidRDefault="006030CD" w:rsidP="006030CD">
      <w:pPr>
        <w:pStyle w:val="Bibliography"/>
        <w:rPr>
          <w:rFonts w:ascii="Aptos"/>
          <w:sz w:val="22"/>
        </w:rPr>
      </w:pPr>
      <w:r w:rsidRPr="006030CD">
        <w:rPr>
          <w:rFonts w:ascii="Aptos"/>
          <w:sz w:val="22"/>
        </w:rPr>
        <w:t xml:space="preserve">Hadchouel, A., Durrmeyer, X., Bouzigon, E., Incitti, R., Huusko, J., Jarreau, P.-H., Lenclen, R., Demenais, F., Franco-Montoya, M.-L., Layouni, I., Patkai, J., Bourbon, J., Hallman, M., Danan, C., &amp; Delacourt, C. (2011). Identification of </w:t>
      </w:r>
      <w:r w:rsidRPr="006030CD">
        <w:rPr>
          <w:rFonts w:ascii="Aptos"/>
          <w:i/>
          <w:iCs/>
          <w:sz w:val="22"/>
        </w:rPr>
        <w:t>SPOCK2</w:t>
      </w:r>
      <w:r w:rsidRPr="006030CD">
        <w:rPr>
          <w:rFonts w:ascii="Aptos"/>
          <w:sz w:val="22"/>
        </w:rPr>
        <w:t xml:space="preserve"> As a Susceptibility Gene for Bronchopulmonary Dysplasia. </w:t>
      </w:r>
      <w:r w:rsidRPr="006030CD">
        <w:rPr>
          <w:rFonts w:ascii="Aptos"/>
          <w:i/>
          <w:iCs/>
          <w:sz w:val="22"/>
        </w:rPr>
        <w:t>American Journal of Respiratory and Critical Care Medicine</w:t>
      </w:r>
      <w:r w:rsidRPr="006030CD">
        <w:rPr>
          <w:rFonts w:ascii="Aptos"/>
          <w:sz w:val="22"/>
        </w:rPr>
        <w:t xml:space="preserve">, </w:t>
      </w:r>
      <w:r w:rsidRPr="006030CD">
        <w:rPr>
          <w:rFonts w:ascii="Aptos"/>
          <w:i/>
          <w:iCs/>
          <w:sz w:val="22"/>
        </w:rPr>
        <w:t>184</w:t>
      </w:r>
      <w:r w:rsidRPr="006030CD">
        <w:rPr>
          <w:rFonts w:ascii="Aptos"/>
          <w:sz w:val="22"/>
        </w:rPr>
        <w:t>(10), 1164–1170. https://doi.org/10.1164/rccm.201103-0548OC</w:t>
      </w:r>
    </w:p>
    <w:p w14:paraId="64EE8BE6" w14:textId="77777777" w:rsidR="006030CD" w:rsidRPr="006030CD" w:rsidRDefault="006030CD" w:rsidP="006030CD">
      <w:pPr>
        <w:pStyle w:val="Bibliography"/>
        <w:rPr>
          <w:rFonts w:ascii="Aptos"/>
          <w:sz w:val="22"/>
        </w:rPr>
      </w:pPr>
      <w:r w:rsidRPr="006030CD">
        <w:rPr>
          <w:rFonts w:ascii="Aptos"/>
          <w:sz w:val="22"/>
        </w:rPr>
        <w:lastRenderedPageBreak/>
        <w:t xml:space="preserve">Hurskainen, M., Mizikova, I., Cook, D. P., Andersson, N., Cyr-Depauw, C., Lesage, F., Helle, E., Renesme, L., Jankov, R. P., Heikinheimo, M., Vanderhyden, B. C., &amp; Thebaud, B. (2021). Single cell transcriptomic analysis of murine lung development on hyperoxia-induced damage. </w:t>
      </w:r>
      <w:r w:rsidRPr="006030CD">
        <w:rPr>
          <w:rFonts w:ascii="Aptos"/>
          <w:i/>
          <w:iCs/>
          <w:sz w:val="22"/>
        </w:rPr>
        <w:t>Nature Communications</w:t>
      </w:r>
      <w:r w:rsidRPr="006030CD">
        <w:rPr>
          <w:rFonts w:ascii="Aptos"/>
          <w:sz w:val="22"/>
        </w:rPr>
        <w:t xml:space="preserve">, </w:t>
      </w:r>
      <w:r w:rsidRPr="006030CD">
        <w:rPr>
          <w:rFonts w:ascii="Aptos"/>
          <w:i/>
          <w:iCs/>
          <w:sz w:val="22"/>
        </w:rPr>
        <w:t>12</w:t>
      </w:r>
      <w:r w:rsidRPr="006030CD">
        <w:rPr>
          <w:rFonts w:ascii="Aptos"/>
          <w:sz w:val="22"/>
        </w:rPr>
        <w:t>(1). Ovid MEDLINE(R) &lt;2021&gt;. https://doi.org/10.1038/s41467-021-21865-2</w:t>
      </w:r>
    </w:p>
    <w:p w14:paraId="2E79F662" w14:textId="77777777" w:rsidR="006030CD" w:rsidRPr="006030CD" w:rsidRDefault="006030CD" w:rsidP="006030CD">
      <w:pPr>
        <w:pStyle w:val="Bibliography"/>
        <w:rPr>
          <w:rFonts w:ascii="Aptos"/>
          <w:sz w:val="22"/>
        </w:rPr>
      </w:pPr>
      <w:r w:rsidRPr="006030CD">
        <w:rPr>
          <w:rFonts w:ascii="Aptos"/>
          <w:sz w:val="22"/>
        </w:rPr>
        <w:t xml:space="preserve">Isayama, T., Lee, S. K., Yang, J., Lee, D., Daspal, S., Dunn, M., Shah, P. S., &amp; for the Canadian Neonatal Network and Canadian Neonatal Follow-Up Network Investigators. (2017). Revisiting the Definition of Bronchopulmonary Dysplasia: Effect of Changing Panoply of Respiratory Support for Preterm Neonates. </w:t>
      </w:r>
      <w:r w:rsidRPr="006030CD">
        <w:rPr>
          <w:rFonts w:ascii="Aptos"/>
          <w:i/>
          <w:iCs/>
          <w:sz w:val="22"/>
        </w:rPr>
        <w:t>JAMA Pediatrics</w:t>
      </w:r>
      <w:r w:rsidRPr="006030CD">
        <w:rPr>
          <w:rFonts w:ascii="Aptos"/>
          <w:sz w:val="22"/>
        </w:rPr>
        <w:t xml:space="preserve">, </w:t>
      </w:r>
      <w:r w:rsidRPr="006030CD">
        <w:rPr>
          <w:rFonts w:ascii="Aptos"/>
          <w:i/>
          <w:iCs/>
          <w:sz w:val="22"/>
        </w:rPr>
        <w:t>171</w:t>
      </w:r>
      <w:r w:rsidRPr="006030CD">
        <w:rPr>
          <w:rFonts w:ascii="Aptos"/>
          <w:sz w:val="22"/>
        </w:rPr>
        <w:t>(3), 271. https://doi.org/10.1001/jamapediatrics.2016.4141</w:t>
      </w:r>
    </w:p>
    <w:p w14:paraId="17EDE2CC" w14:textId="77777777" w:rsidR="006030CD" w:rsidRPr="006030CD" w:rsidRDefault="006030CD" w:rsidP="006030CD">
      <w:pPr>
        <w:pStyle w:val="Bibliography"/>
        <w:rPr>
          <w:rFonts w:ascii="Aptos"/>
          <w:sz w:val="22"/>
        </w:rPr>
      </w:pPr>
      <w:r w:rsidRPr="006030CD">
        <w:rPr>
          <w:rFonts w:ascii="Aptos"/>
          <w:sz w:val="22"/>
        </w:rPr>
        <w:t xml:space="preserve">Jensen, E. A., Dysart, K., Gantz, M. G., McDonald, S., Bamat, N. A., Keszler, M., Kirpalani, H., Laughon, M. M., Poindexter, B. B., Duncan, A. F., Yoder, B. A., Eichenwald, E. C., &amp; DeMauro, S. B. (2019). The Diagnosis of Bronchopulmonary Dysplasia in Very Preterm Infants. An Evidence-based Approach. </w:t>
      </w:r>
      <w:r w:rsidRPr="006030CD">
        <w:rPr>
          <w:rFonts w:ascii="Aptos"/>
          <w:i/>
          <w:iCs/>
          <w:sz w:val="22"/>
        </w:rPr>
        <w:t>American Journal of Respiratory and Critical Care Medicine</w:t>
      </w:r>
      <w:r w:rsidRPr="006030CD">
        <w:rPr>
          <w:rFonts w:ascii="Aptos"/>
          <w:sz w:val="22"/>
        </w:rPr>
        <w:t xml:space="preserve">, </w:t>
      </w:r>
      <w:r w:rsidRPr="006030CD">
        <w:rPr>
          <w:rFonts w:ascii="Aptos"/>
          <w:i/>
          <w:iCs/>
          <w:sz w:val="22"/>
        </w:rPr>
        <w:t>200</w:t>
      </w:r>
      <w:r w:rsidRPr="006030CD">
        <w:rPr>
          <w:rFonts w:ascii="Aptos"/>
          <w:sz w:val="22"/>
        </w:rPr>
        <w:t>(6), 751–759. https://doi.org/10.1164/rccm.201812-2348OC</w:t>
      </w:r>
    </w:p>
    <w:p w14:paraId="1C2273BE" w14:textId="77777777" w:rsidR="006030CD" w:rsidRPr="006030CD" w:rsidRDefault="006030CD" w:rsidP="006030CD">
      <w:pPr>
        <w:pStyle w:val="Bibliography"/>
        <w:rPr>
          <w:rFonts w:ascii="Aptos"/>
          <w:sz w:val="22"/>
        </w:rPr>
      </w:pPr>
      <w:r w:rsidRPr="006030CD">
        <w:rPr>
          <w:rFonts w:ascii="Aptos"/>
          <w:sz w:val="22"/>
        </w:rPr>
        <w:t xml:space="preserve">Johnson, D. R., O’Connor, J. C., Hartman, M. E., Tapping, R. I., &amp; Freund, G. G. (2007). Acute hypoxia activates the neuroimmune system, which diabetes exacerbates. </w:t>
      </w:r>
      <w:r w:rsidRPr="006030CD">
        <w:rPr>
          <w:rFonts w:ascii="Aptos"/>
          <w:i/>
          <w:iCs/>
          <w:sz w:val="22"/>
        </w:rPr>
        <w:t>The Journal of Neuroscience: The Official Journal of the Society for Neuroscience</w:t>
      </w:r>
      <w:r w:rsidRPr="006030CD">
        <w:rPr>
          <w:rFonts w:ascii="Aptos"/>
          <w:sz w:val="22"/>
        </w:rPr>
        <w:t xml:space="preserve">, </w:t>
      </w:r>
      <w:r w:rsidRPr="006030CD">
        <w:rPr>
          <w:rFonts w:ascii="Aptos"/>
          <w:i/>
          <w:iCs/>
          <w:sz w:val="22"/>
        </w:rPr>
        <w:t>27</w:t>
      </w:r>
      <w:r w:rsidRPr="006030CD">
        <w:rPr>
          <w:rFonts w:ascii="Aptos"/>
          <w:sz w:val="22"/>
        </w:rPr>
        <w:t>(5), 1161–1166. https://doi.org/10.1523/JNEUROSCI.4560-06.2007</w:t>
      </w:r>
    </w:p>
    <w:p w14:paraId="70BF0C5F" w14:textId="77777777" w:rsidR="006030CD" w:rsidRPr="006030CD" w:rsidRDefault="006030CD" w:rsidP="006030CD">
      <w:pPr>
        <w:pStyle w:val="Bibliography"/>
        <w:rPr>
          <w:rFonts w:ascii="Aptos"/>
          <w:sz w:val="22"/>
        </w:rPr>
      </w:pPr>
      <w:r w:rsidRPr="006030CD">
        <w:rPr>
          <w:rFonts w:ascii="Aptos"/>
          <w:sz w:val="22"/>
        </w:rPr>
        <w:t xml:space="preserve">Lavoie, P. M., Pham, C., &amp; Jang, K. L. (2008). Heritability of Bronchopulmonary Dysplasia, Defined According to the Consensus Statement of the National Institutes of Health. </w:t>
      </w:r>
      <w:r w:rsidRPr="006030CD">
        <w:rPr>
          <w:rFonts w:ascii="Aptos"/>
          <w:i/>
          <w:iCs/>
          <w:sz w:val="22"/>
        </w:rPr>
        <w:t>Pediatrics</w:t>
      </w:r>
      <w:r w:rsidRPr="006030CD">
        <w:rPr>
          <w:rFonts w:ascii="Aptos"/>
          <w:sz w:val="22"/>
        </w:rPr>
        <w:t xml:space="preserve">, </w:t>
      </w:r>
      <w:r w:rsidRPr="006030CD">
        <w:rPr>
          <w:rFonts w:ascii="Aptos"/>
          <w:i/>
          <w:iCs/>
          <w:sz w:val="22"/>
        </w:rPr>
        <w:t>122</w:t>
      </w:r>
      <w:r w:rsidRPr="006030CD">
        <w:rPr>
          <w:rFonts w:ascii="Aptos"/>
          <w:sz w:val="22"/>
        </w:rPr>
        <w:t>(3), 479–485. https://doi.org/10.1542/peds.2007-2313</w:t>
      </w:r>
    </w:p>
    <w:p w14:paraId="6C4A9C3C" w14:textId="77777777" w:rsidR="006030CD" w:rsidRPr="006030CD" w:rsidRDefault="006030CD" w:rsidP="006030CD">
      <w:pPr>
        <w:pStyle w:val="Bibliography"/>
        <w:rPr>
          <w:rFonts w:ascii="Aptos"/>
          <w:sz w:val="22"/>
        </w:rPr>
      </w:pPr>
      <w:r w:rsidRPr="006030CD">
        <w:rPr>
          <w:rFonts w:ascii="Aptos"/>
          <w:sz w:val="22"/>
        </w:rPr>
        <w:t xml:space="preserve">Li, B., Clohisey, S. M., Chia, B. S., Wang, B., Cui, A., Eisenhaure, T., Schweitzer, L. D., Hoover, P., Parkinson, N. J., Nachshon, A., Smith, N., Regan, T., Farr, D., Gutmann, M. U., Bukhari, S. I., Law, A., Sangesland, M., Gat-Viks, I., Digard, P., … Hacohen, N. (2020). Genome-wide CRISPR screen identifies host dependency factors for influenza A virus </w:t>
      </w:r>
      <w:r w:rsidRPr="006030CD">
        <w:rPr>
          <w:rFonts w:ascii="Aptos"/>
          <w:sz w:val="22"/>
        </w:rPr>
        <w:lastRenderedPageBreak/>
        <w:t xml:space="preserve">infection. </w:t>
      </w:r>
      <w:r w:rsidRPr="006030CD">
        <w:rPr>
          <w:rFonts w:ascii="Aptos"/>
          <w:i/>
          <w:iCs/>
          <w:sz w:val="22"/>
        </w:rPr>
        <w:t>Nature Communications</w:t>
      </w:r>
      <w:r w:rsidRPr="006030CD">
        <w:rPr>
          <w:rFonts w:ascii="Aptos"/>
          <w:sz w:val="22"/>
        </w:rPr>
        <w:t xml:space="preserve">, </w:t>
      </w:r>
      <w:r w:rsidRPr="006030CD">
        <w:rPr>
          <w:rFonts w:ascii="Aptos"/>
          <w:i/>
          <w:iCs/>
          <w:sz w:val="22"/>
        </w:rPr>
        <w:t>11</w:t>
      </w:r>
      <w:r w:rsidRPr="006030CD">
        <w:rPr>
          <w:rFonts w:ascii="Aptos"/>
          <w:sz w:val="22"/>
        </w:rPr>
        <w:t>(1), 164. https://doi.org/10.1038/s41467-019-13965-x</w:t>
      </w:r>
    </w:p>
    <w:p w14:paraId="0558903A" w14:textId="77777777" w:rsidR="006030CD" w:rsidRPr="006030CD" w:rsidRDefault="006030CD" w:rsidP="006030CD">
      <w:pPr>
        <w:pStyle w:val="Bibliography"/>
        <w:rPr>
          <w:rFonts w:ascii="Aptos"/>
          <w:sz w:val="22"/>
        </w:rPr>
      </w:pPr>
      <w:r w:rsidRPr="006030CD">
        <w:rPr>
          <w:rFonts w:ascii="Aptos"/>
          <w:sz w:val="22"/>
        </w:rPr>
        <w:t xml:space="preserve">Mahlman, M., Karjalainen, M. K., Huusko, J. M., Andersson, S., Kari, M. A., Tammela, O. K. T., Sankilampi, U., Lehtonen, L., Marttila, R. H., Bassler, D., Poets, C. F., Lacaze-Masmonteil, T., Danan, C., Delacourt, C., Palotie, A., Muglia, L. J., Lavoie, P. M., Hadchouel, A., Rämet, M., &amp; Hallman, M. (2017). Genome-wide association study of bronchopulmonary dysplasia: A potential role for variants near the CRP gene. </w:t>
      </w:r>
      <w:r w:rsidRPr="006030CD">
        <w:rPr>
          <w:rFonts w:ascii="Aptos"/>
          <w:i/>
          <w:iCs/>
          <w:sz w:val="22"/>
        </w:rPr>
        <w:t>Scientific Reports</w:t>
      </w:r>
      <w:r w:rsidRPr="006030CD">
        <w:rPr>
          <w:rFonts w:ascii="Aptos"/>
          <w:sz w:val="22"/>
        </w:rPr>
        <w:t xml:space="preserve">, </w:t>
      </w:r>
      <w:r w:rsidRPr="006030CD">
        <w:rPr>
          <w:rFonts w:ascii="Aptos"/>
          <w:i/>
          <w:iCs/>
          <w:sz w:val="22"/>
        </w:rPr>
        <w:t>7</w:t>
      </w:r>
      <w:r w:rsidRPr="006030CD">
        <w:rPr>
          <w:rFonts w:ascii="Aptos"/>
          <w:sz w:val="22"/>
        </w:rPr>
        <w:t>(1), 9271. https://doi.org/10.1038/s41598-017-08977-w</w:t>
      </w:r>
    </w:p>
    <w:p w14:paraId="31A1C03C" w14:textId="77777777" w:rsidR="006030CD" w:rsidRPr="006030CD" w:rsidRDefault="006030CD" w:rsidP="006030CD">
      <w:pPr>
        <w:pStyle w:val="Bibliography"/>
        <w:rPr>
          <w:rFonts w:ascii="Aptos"/>
          <w:sz w:val="22"/>
        </w:rPr>
      </w:pPr>
      <w:r w:rsidRPr="006030CD">
        <w:rPr>
          <w:rFonts w:ascii="Aptos"/>
          <w:sz w:val="22"/>
        </w:rPr>
        <w:t xml:space="preserve">Millar, J. E., Clohisey-Hendry, S., McMannus, M., Zechner, M., Wang, B., Parkinson, N., Jungnickel, M., Zaki, N. M., Pairo-Castineira, E., Rawlik, K., Rogers, J., Russell, C. D., Bos, L. D., Meyer, N. J., Calfee, C., McAuley, D. F., Shankar-Hari, M., &amp; Baillie, J. K. (2024). </w:t>
      </w:r>
      <w:r w:rsidRPr="006030CD">
        <w:rPr>
          <w:rFonts w:ascii="Aptos"/>
          <w:i/>
          <w:iCs/>
          <w:sz w:val="22"/>
        </w:rPr>
        <w:t>The genomic landscape of Acute Respiratory Distress Syndrome: A meta-analysis by information content of genome-wide studies of the host response</w:t>
      </w:r>
      <w:r w:rsidRPr="006030CD">
        <w:rPr>
          <w:rFonts w:ascii="Aptos"/>
          <w:sz w:val="22"/>
        </w:rPr>
        <w:t>. https://doi.org/10.1101/2024.02.13.24301089</w:t>
      </w:r>
    </w:p>
    <w:p w14:paraId="25589C5C" w14:textId="77777777" w:rsidR="006030CD" w:rsidRPr="006030CD" w:rsidRDefault="006030CD" w:rsidP="006030CD">
      <w:pPr>
        <w:pStyle w:val="Bibliography"/>
        <w:rPr>
          <w:rFonts w:ascii="Aptos"/>
          <w:sz w:val="22"/>
        </w:rPr>
      </w:pPr>
      <w:r w:rsidRPr="006030CD">
        <w:rPr>
          <w:rFonts w:ascii="Aptos"/>
          <w:sz w:val="22"/>
        </w:rPr>
        <w:t xml:space="preserve">Moreira, A. G., Arora, T., Arya, S., Winter, C., Valadie, C. T., &amp; Kwinta, P. (2023). Leveraging transcriptomics to develop bronchopulmonary dysplasia endotypes: A concept paper. </w:t>
      </w:r>
      <w:r w:rsidRPr="006030CD">
        <w:rPr>
          <w:rFonts w:ascii="Aptos"/>
          <w:i/>
          <w:iCs/>
          <w:sz w:val="22"/>
        </w:rPr>
        <w:t>Respiratory Research</w:t>
      </w:r>
      <w:r w:rsidRPr="006030CD">
        <w:rPr>
          <w:rFonts w:ascii="Aptos"/>
          <w:sz w:val="22"/>
        </w:rPr>
        <w:t xml:space="preserve">, </w:t>
      </w:r>
      <w:r w:rsidRPr="006030CD">
        <w:rPr>
          <w:rFonts w:ascii="Aptos"/>
          <w:i/>
          <w:iCs/>
          <w:sz w:val="22"/>
        </w:rPr>
        <w:t>24</w:t>
      </w:r>
      <w:r w:rsidRPr="006030CD">
        <w:rPr>
          <w:rFonts w:ascii="Aptos"/>
          <w:sz w:val="22"/>
        </w:rPr>
        <w:t>(1). Ovid MEDLINE(R) &lt;2023 to 2024&gt;. https://doi.org/10.1186/s12931-023-02596-y</w:t>
      </w:r>
    </w:p>
    <w:p w14:paraId="537331BD" w14:textId="77777777" w:rsidR="006030CD" w:rsidRPr="006030CD" w:rsidRDefault="006030CD" w:rsidP="006030CD">
      <w:pPr>
        <w:pStyle w:val="Bibliography"/>
        <w:rPr>
          <w:rFonts w:ascii="Aptos"/>
          <w:sz w:val="22"/>
        </w:rPr>
      </w:pPr>
      <w:r w:rsidRPr="006030CD">
        <w:rPr>
          <w:rFonts w:ascii="Aptos"/>
          <w:i/>
          <w:iCs/>
          <w:sz w:val="22"/>
        </w:rPr>
        <w:t>Neonatal Data Analysis Unit (NDAU). Neonatal Health Intelligence Tool. 2021. Available: Https://www.imperial.ac.uk/neonatal-data-analysis-unit/neonatal-data-analysis-unit/neonatal-data-visualisations/</w:t>
      </w:r>
      <w:r w:rsidRPr="006030CD">
        <w:rPr>
          <w:rFonts w:ascii="Aptos"/>
          <w:sz w:val="22"/>
        </w:rPr>
        <w:t>. (n.d.).</w:t>
      </w:r>
    </w:p>
    <w:p w14:paraId="054801F8" w14:textId="77777777" w:rsidR="006030CD" w:rsidRPr="006030CD" w:rsidRDefault="006030CD" w:rsidP="006030CD">
      <w:pPr>
        <w:pStyle w:val="Bibliography"/>
        <w:rPr>
          <w:rFonts w:ascii="Aptos"/>
          <w:sz w:val="22"/>
        </w:rPr>
      </w:pPr>
      <w:r w:rsidRPr="006030CD">
        <w:rPr>
          <w:rFonts w:ascii="Aptos"/>
          <w:sz w:val="22"/>
        </w:rP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r w:rsidRPr="006030CD">
        <w:rPr>
          <w:rFonts w:ascii="Aptos"/>
          <w:i/>
          <w:iCs/>
          <w:sz w:val="22"/>
        </w:rPr>
        <w:t>BMJ</w:t>
      </w:r>
      <w:r w:rsidRPr="006030CD">
        <w:rPr>
          <w:rFonts w:ascii="Aptos"/>
          <w:sz w:val="22"/>
        </w:rPr>
        <w:t>, n71. https://doi.org/10.1136/bmj.n71</w:t>
      </w:r>
    </w:p>
    <w:p w14:paraId="3680468F" w14:textId="77777777" w:rsidR="006030CD" w:rsidRPr="006030CD" w:rsidRDefault="006030CD" w:rsidP="006030CD">
      <w:pPr>
        <w:pStyle w:val="Bibliography"/>
        <w:rPr>
          <w:rFonts w:ascii="Aptos"/>
          <w:sz w:val="22"/>
        </w:rPr>
      </w:pPr>
      <w:r w:rsidRPr="006030CD">
        <w:rPr>
          <w:rFonts w:ascii="Aptos"/>
          <w:sz w:val="22"/>
        </w:rPr>
        <w:lastRenderedPageBreak/>
        <w:t xml:space="preserve">Parkinson, N., Rodgers, N., Head Fourman, M., Wang, B., Zechner, M., Swets, M. C., Millar, J. E., Law, A., Russell, C. D., Baillie, J. K., &amp; Clohisey, S. (2020). Dynamic data-driven meta-analysis for prioritisation of host genes implicated in COVID-19. </w:t>
      </w:r>
      <w:r w:rsidRPr="006030CD">
        <w:rPr>
          <w:rFonts w:ascii="Aptos"/>
          <w:i/>
          <w:iCs/>
          <w:sz w:val="22"/>
        </w:rPr>
        <w:t>Scientific Reports</w:t>
      </w:r>
      <w:r w:rsidRPr="006030CD">
        <w:rPr>
          <w:rFonts w:ascii="Aptos"/>
          <w:sz w:val="22"/>
        </w:rPr>
        <w:t xml:space="preserve">, </w:t>
      </w:r>
      <w:r w:rsidRPr="006030CD">
        <w:rPr>
          <w:rFonts w:ascii="Aptos"/>
          <w:i/>
          <w:iCs/>
          <w:sz w:val="22"/>
        </w:rPr>
        <w:t>10</w:t>
      </w:r>
      <w:r w:rsidRPr="006030CD">
        <w:rPr>
          <w:rFonts w:ascii="Aptos"/>
          <w:sz w:val="22"/>
        </w:rPr>
        <w:t>(1), 22303. https://doi.org/10.1038/s41598-020-79033-3</w:t>
      </w:r>
    </w:p>
    <w:p w14:paraId="721FB004" w14:textId="77777777" w:rsidR="006030CD" w:rsidRPr="006030CD" w:rsidRDefault="006030CD" w:rsidP="006030CD">
      <w:pPr>
        <w:pStyle w:val="Bibliography"/>
        <w:rPr>
          <w:rFonts w:ascii="Aptos"/>
          <w:sz w:val="22"/>
        </w:rPr>
      </w:pPr>
      <w:r w:rsidRPr="006030CD">
        <w:rPr>
          <w:rFonts w:ascii="Aptos"/>
          <w:sz w:val="22"/>
        </w:rPr>
        <w:t xml:space="preserve">Peters, V. A., Joesting, J. J., &amp; Freund, G. G. (2013). IL-1 receptor 2 (IL-1R2) and its role in immune regulation. </w:t>
      </w:r>
      <w:r w:rsidRPr="006030CD">
        <w:rPr>
          <w:rFonts w:ascii="Aptos"/>
          <w:i/>
          <w:iCs/>
          <w:sz w:val="22"/>
        </w:rPr>
        <w:t>Brain, Behavior, and Immunity</w:t>
      </w:r>
      <w:r w:rsidRPr="006030CD">
        <w:rPr>
          <w:rFonts w:ascii="Aptos"/>
          <w:sz w:val="22"/>
        </w:rPr>
        <w:t xml:space="preserve">, </w:t>
      </w:r>
      <w:r w:rsidRPr="006030CD">
        <w:rPr>
          <w:rFonts w:ascii="Aptos"/>
          <w:i/>
          <w:iCs/>
          <w:sz w:val="22"/>
        </w:rPr>
        <w:t>32</w:t>
      </w:r>
      <w:r w:rsidRPr="006030CD">
        <w:rPr>
          <w:rFonts w:ascii="Aptos"/>
          <w:sz w:val="22"/>
        </w:rPr>
        <w:t>, 1–8. https://doi.org/10.1016/j.bbi.2012.11.006</w:t>
      </w:r>
    </w:p>
    <w:p w14:paraId="44B08203" w14:textId="77777777" w:rsidR="006030CD" w:rsidRPr="006030CD" w:rsidRDefault="006030CD" w:rsidP="006030CD">
      <w:pPr>
        <w:pStyle w:val="Bibliography"/>
        <w:rPr>
          <w:rFonts w:ascii="Aptos"/>
          <w:sz w:val="22"/>
        </w:rPr>
      </w:pPr>
      <w:r w:rsidRPr="006030CD">
        <w:rPr>
          <w:rFonts w:ascii="Aptos"/>
          <w:sz w:val="22"/>
        </w:rPr>
        <w:t xml:space="preserve">Pietrzyk, J. J., Kwinta, P., Wollen, E. J., Bik-Multanowski, M., Madetko-Talowska, A., Gunther, C.-C., Jagla, M., Tomasik, T., &amp; Saugstad, O. D. (2013). Gene expression profiling in preterm infants: New aspects of bronchopulmonary dysplasia development. </w:t>
      </w:r>
      <w:r w:rsidRPr="006030CD">
        <w:rPr>
          <w:rFonts w:ascii="Aptos"/>
          <w:i/>
          <w:iCs/>
          <w:sz w:val="22"/>
        </w:rPr>
        <w:t>PloS One</w:t>
      </w:r>
      <w:r w:rsidRPr="006030CD">
        <w:rPr>
          <w:rFonts w:ascii="Aptos"/>
          <w:sz w:val="22"/>
        </w:rPr>
        <w:t xml:space="preserve">, </w:t>
      </w:r>
      <w:r w:rsidRPr="006030CD">
        <w:rPr>
          <w:rFonts w:ascii="Aptos"/>
          <w:i/>
          <w:iCs/>
          <w:sz w:val="22"/>
        </w:rPr>
        <w:t>8</w:t>
      </w:r>
      <w:r w:rsidRPr="006030CD">
        <w:rPr>
          <w:rFonts w:ascii="Aptos"/>
          <w:sz w:val="22"/>
        </w:rPr>
        <w:t>(10). Ovid MEDLINE(R) &lt;2013&gt;. https://doi.org/10.1371/journal.pone.0078585</w:t>
      </w:r>
    </w:p>
    <w:p w14:paraId="427890F8" w14:textId="77777777" w:rsidR="006030CD" w:rsidRPr="006030CD" w:rsidRDefault="006030CD" w:rsidP="006030CD">
      <w:pPr>
        <w:pStyle w:val="Bibliography"/>
        <w:rPr>
          <w:rFonts w:ascii="Aptos"/>
          <w:sz w:val="22"/>
        </w:rPr>
      </w:pPr>
      <w:r w:rsidRPr="006030CD">
        <w:rPr>
          <w:rFonts w:ascii="Aptos"/>
          <w:sz w:val="22"/>
        </w:rPr>
        <w:t xml:space="preserve">Rozance, P. J., Seedorf, G. J., Brown, A., Roe, G., O’Meara, M. C., Gien, J., Tang, J.-R., &amp; Abman, S. H. (2011). Intrauterine growth restriction decreases pulmonary alveolar and vessel growth and causes pulmonary artery endothelial cell dysfunction in vitro in fetal sheep. </w:t>
      </w:r>
      <w:r w:rsidRPr="006030CD">
        <w:rPr>
          <w:rFonts w:ascii="Aptos"/>
          <w:i/>
          <w:iCs/>
          <w:sz w:val="22"/>
        </w:rPr>
        <w:t>American Journal of Physiology-Lung Cellular and Molecular Physiology</w:t>
      </w:r>
      <w:r w:rsidRPr="006030CD">
        <w:rPr>
          <w:rFonts w:ascii="Aptos"/>
          <w:sz w:val="22"/>
        </w:rPr>
        <w:t xml:space="preserve">, </w:t>
      </w:r>
      <w:r w:rsidRPr="006030CD">
        <w:rPr>
          <w:rFonts w:ascii="Aptos"/>
          <w:i/>
          <w:iCs/>
          <w:sz w:val="22"/>
        </w:rPr>
        <w:t>301</w:t>
      </w:r>
      <w:r w:rsidRPr="006030CD">
        <w:rPr>
          <w:rFonts w:ascii="Aptos"/>
          <w:sz w:val="22"/>
        </w:rPr>
        <w:t>(6), L860–L871. https://doi.org/10.1152/ajplung.00197.2011</w:t>
      </w:r>
    </w:p>
    <w:p w14:paraId="265E58CE" w14:textId="77777777" w:rsidR="006030CD" w:rsidRPr="006030CD" w:rsidRDefault="006030CD" w:rsidP="006030CD">
      <w:pPr>
        <w:pStyle w:val="Bibliography"/>
        <w:rPr>
          <w:rFonts w:ascii="Aptos"/>
          <w:sz w:val="22"/>
        </w:rPr>
      </w:pPr>
      <w:r w:rsidRPr="006030CD">
        <w:rPr>
          <w:rFonts w:ascii="Aptos"/>
          <w:sz w:val="22"/>
        </w:rPr>
        <w:t xml:space="preserve">Sun, T., Yu, H.-Y., Yang, M., Song, Y.-F., &amp; Fu, J.-H. (2023). Risk of asthma in preterm infants with bronchopulmonary dysplasia: A systematic review and meta-analysis. </w:t>
      </w:r>
      <w:r w:rsidRPr="006030CD">
        <w:rPr>
          <w:rFonts w:ascii="Aptos"/>
          <w:i/>
          <w:iCs/>
          <w:sz w:val="22"/>
        </w:rPr>
        <w:t>World Journal of Pediatrics</w:t>
      </w:r>
      <w:r w:rsidRPr="006030CD">
        <w:rPr>
          <w:rFonts w:ascii="Aptos"/>
          <w:sz w:val="22"/>
        </w:rPr>
        <w:t xml:space="preserve">, </w:t>
      </w:r>
      <w:r w:rsidRPr="006030CD">
        <w:rPr>
          <w:rFonts w:ascii="Aptos"/>
          <w:i/>
          <w:iCs/>
          <w:sz w:val="22"/>
        </w:rPr>
        <w:t>19</w:t>
      </w:r>
      <w:r w:rsidRPr="006030CD">
        <w:rPr>
          <w:rFonts w:ascii="Aptos"/>
          <w:sz w:val="22"/>
        </w:rPr>
        <w:t>(6), 549–556. https://doi.org/10.1007/s12519-023-00701-1</w:t>
      </w:r>
    </w:p>
    <w:p w14:paraId="0C81A118" w14:textId="77777777" w:rsidR="006030CD" w:rsidRPr="006030CD" w:rsidRDefault="006030CD" w:rsidP="006030CD">
      <w:pPr>
        <w:pStyle w:val="Bibliography"/>
        <w:rPr>
          <w:rFonts w:ascii="Aptos"/>
          <w:sz w:val="22"/>
        </w:rPr>
      </w:pPr>
      <w:r w:rsidRPr="006030CD">
        <w:rPr>
          <w:rFonts w:ascii="Aptos"/>
          <w:sz w:val="22"/>
        </w:rPr>
        <w:t xml:space="preserve">The GenOMICC Investigators, The ISARIC4C Investigators, The COVID-19 Human Genetics Initiative, 23andMe Investigators, BRACOVID Investigators, Gen-COVID Investigators, Pairo-Castineira, E., Clohisey, S., Klaric, L., Bretherick, A. D., Rawlik, K., Pasko, D., Walker, S., Parkinson, N., Fourman, M. H., Russell, C. D., Furniss, J., Richmond, A., Gountouna, E., … Baillie, J. K. (2021). Genetic mechanisms of critical illness in COVID-19. </w:t>
      </w:r>
      <w:r w:rsidRPr="006030CD">
        <w:rPr>
          <w:rFonts w:ascii="Aptos"/>
          <w:i/>
          <w:iCs/>
          <w:sz w:val="22"/>
        </w:rPr>
        <w:t>Nature</w:t>
      </w:r>
      <w:r w:rsidRPr="006030CD">
        <w:rPr>
          <w:rFonts w:ascii="Aptos"/>
          <w:sz w:val="22"/>
        </w:rPr>
        <w:t xml:space="preserve">, </w:t>
      </w:r>
      <w:r w:rsidRPr="006030CD">
        <w:rPr>
          <w:rFonts w:ascii="Aptos"/>
          <w:i/>
          <w:iCs/>
          <w:sz w:val="22"/>
        </w:rPr>
        <w:t>591</w:t>
      </w:r>
      <w:r w:rsidRPr="006030CD">
        <w:rPr>
          <w:rFonts w:ascii="Aptos"/>
          <w:sz w:val="22"/>
        </w:rPr>
        <w:t>(7848), 92–98. https://doi.org/10.1038/s41586-020-03065-y</w:t>
      </w:r>
    </w:p>
    <w:p w14:paraId="640DC96B" w14:textId="77777777" w:rsidR="006030CD" w:rsidRPr="006030CD" w:rsidRDefault="006030CD" w:rsidP="006030CD">
      <w:pPr>
        <w:pStyle w:val="Bibliography"/>
        <w:rPr>
          <w:rFonts w:ascii="Aptos"/>
          <w:sz w:val="22"/>
        </w:rPr>
      </w:pPr>
      <w:r w:rsidRPr="006030CD">
        <w:rPr>
          <w:rFonts w:ascii="Aptos"/>
          <w:sz w:val="22"/>
        </w:rPr>
        <w:lastRenderedPageBreak/>
        <w:t xml:space="preserve">Thébaud, B., Goss, K. N., Laughon, M., Whitsett, J. A., Abman, S. H., Steinhorn, R. H., Aschner, J. L., Davis, P. G., McGrath-Morrow, S. A., Soll, R. F., &amp; Jobe, A. H. (2019). Bronchopulmonary dysplasia. </w:t>
      </w:r>
      <w:r w:rsidRPr="006030CD">
        <w:rPr>
          <w:rFonts w:ascii="Aptos"/>
          <w:i/>
          <w:iCs/>
          <w:sz w:val="22"/>
        </w:rPr>
        <w:t>Nature Reviews Disease Primers</w:t>
      </w:r>
      <w:r w:rsidRPr="006030CD">
        <w:rPr>
          <w:rFonts w:ascii="Aptos"/>
          <w:sz w:val="22"/>
        </w:rPr>
        <w:t xml:space="preserve">, </w:t>
      </w:r>
      <w:r w:rsidRPr="006030CD">
        <w:rPr>
          <w:rFonts w:ascii="Aptos"/>
          <w:i/>
          <w:iCs/>
          <w:sz w:val="22"/>
        </w:rPr>
        <w:t>5</w:t>
      </w:r>
      <w:r w:rsidRPr="006030CD">
        <w:rPr>
          <w:rFonts w:ascii="Aptos"/>
          <w:sz w:val="22"/>
        </w:rPr>
        <w:t>(1), 78. https://doi.org/10.1038/s41572-019-0127-7</w:t>
      </w:r>
    </w:p>
    <w:p w14:paraId="7FF4F472" w14:textId="77777777" w:rsidR="006030CD" w:rsidRPr="006030CD" w:rsidRDefault="006030CD" w:rsidP="006030CD">
      <w:pPr>
        <w:pStyle w:val="Bibliography"/>
        <w:rPr>
          <w:rFonts w:ascii="Aptos"/>
          <w:sz w:val="22"/>
        </w:rPr>
      </w:pPr>
      <w:r w:rsidRPr="006030CD">
        <w:rPr>
          <w:rFonts w:ascii="Aptos"/>
          <w:sz w:val="22"/>
        </w:rPr>
        <w:t xml:space="preserve">Torgerson, D. G., Ballard, P. L., Keller, R. L., Oh, S. S., Huntsman, S., Hu, D., Eng, C., Burchard, E. G., Ballard, R. A., &amp; TOLSURF Study Group. (2018). Ancestry and genetic associations with bronchopulmonary dysplasia in preterm infants. </w:t>
      </w:r>
      <w:r w:rsidRPr="006030CD">
        <w:rPr>
          <w:rFonts w:ascii="Aptos"/>
          <w:i/>
          <w:iCs/>
          <w:sz w:val="22"/>
        </w:rPr>
        <w:t>American Journal of Physiology-Lung Cellular and Molecular Physiology</w:t>
      </w:r>
      <w:r w:rsidRPr="006030CD">
        <w:rPr>
          <w:rFonts w:ascii="Aptos"/>
          <w:sz w:val="22"/>
        </w:rPr>
        <w:t xml:space="preserve">, </w:t>
      </w:r>
      <w:r w:rsidRPr="006030CD">
        <w:rPr>
          <w:rFonts w:ascii="Aptos"/>
          <w:i/>
          <w:iCs/>
          <w:sz w:val="22"/>
        </w:rPr>
        <w:t>315</w:t>
      </w:r>
      <w:r w:rsidRPr="006030CD">
        <w:rPr>
          <w:rFonts w:ascii="Aptos"/>
          <w:sz w:val="22"/>
        </w:rPr>
        <w:t>(5), L858–L869. https://doi.org/10.1152/ajplung.00073.2018</w:t>
      </w:r>
    </w:p>
    <w:p w14:paraId="7352ACCD" w14:textId="77777777" w:rsidR="006030CD" w:rsidRPr="006030CD" w:rsidRDefault="006030CD" w:rsidP="006030CD">
      <w:pPr>
        <w:pStyle w:val="Bibliography"/>
        <w:rPr>
          <w:rFonts w:ascii="Aptos"/>
          <w:sz w:val="22"/>
        </w:rPr>
      </w:pPr>
      <w:r w:rsidRPr="006030CD">
        <w:rPr>
          <w:rFonts w:ascii="Aptos"/>
          <w:sz w:val="22"/>
        </w:rPr>
        <w:t xml:space="preserve">Um-Bergström, P., Pourbazargan, M., Brundin, B., Ström, M., Ezerskyte, M., Gao, J., Berggren Broström, E., Melén, E., Wheelock, Å. M., Lindén, A., &amp; Sköld, C. M. (2022). Increased cytotoxic T-cells in the airways of adults with former bronchopulmonary dysplasia. </w:t>
      </w:r>
      <w:r w:rsidRPr="006030CD">
        <w:rPr>
          <w:rFonts w:ascii="Aptos"/>
          <w:i/>
          <w:iCs/>
          <w:sz w:val="22"/>
        </w:rPr>
        <w:t>European Respiratory Journal</w:t>
      </w:r>
      <w:r w:rsidRPr="006030CD">
        <w:rPr>
          <w:rFonts w:ascii="Aptos"/>
          <w:sz w:val="22"/>
        </w:rPr>
        <w:t xml:space="preserve">, </w:t>
      </w:r>
      <w:r w:rsidRPr="006030CD">
        <w:rPr>
          <w:rFonts w:ascii="Aptos"/>
          <w:i/>
          <w:iCs/>
          <w:sz w:val="22"/>
        </w:rPr>
        <w:t>60</w:t>
      </w:r>
      <w:r w:rsidRPr="006030CD">
        <w:rPr>
          <w:rFonts w:ascii="Aptos"/>
          <w:sz w:val="22"/>
        </w:rPr>
        <w:t>(3), 2102531. https://doi.org/10.1183/13993003.02531-2021</w:t>
      </w:r>
    </w:p>
    <w:p w14:paraId="45BC2A2F" w14:textId="77777777" w:rsidR="006030CD" w:rsidRPr="006030CD" w:rsidRDefault="006030CD" w:rsidP="006030CD">
      <w:pPr>
        <w:pStyle w:val="Bibliography"/>
        <w:rPr>
          <w:rFonts w:ascii="Aptos"/>
          <w:sz w:val="22"/>
        </w:rPr>
      </w:pPr>
      <w:r w:rsidRPr="006030CD">
        <w:rPr>
          <w:rFonts w:ascii="Aptos"/>
          <w:sz w:val="22"/>
        </w:rPr>
        <w:t xml:space="preserve">Wang, B., Law, A., Regan, T., Parkinson, N., Cole, J., Russell, C. D., Dockrell, D. H., Gutmann, M. U., &amp; Baillie, J. K. (2022). Systematic comparison of ranking aggregation methods for gene lists in experimental results. </w:t>
      </w:r>
      <w:r w:rsidRPr="006030CD">
        <w:rPr>
          <w:rFonts w:ascii="Aptos"/>
          <w:i/>
          <w:iCs/>
          <w:sz w:val="22"/>
        </w:rPr>
        <w:t>Bioinformatics</w:t>
      </w:r>
      <w:r w:rsidRPr="006030CD">
        <w:rPr>
          <w:rFonts w:ascii="Aptos"/>
          <w:sz w:val="22"/>
        </w:rPr>
        <w:t xml:space="preserve">, </w:t>
      </w:r>
      <w:r w:rsidRPr="006030CD">
        <w:rPr>
          <w:rFonts w:ascii="Aptos"/>
          <w:i/>
          <w:iCs/>
          <w:sz w:val="22"/>
        </w:rPr>
        <w:t>38</w:t>
      </w:r>
      <w:r w:rsidRPr="006030CD">
        <w:rPr>
          <w:rFonts w:ascii="Aptos"/>
          <w:sz w:val="22"/>
        </w:rPr>
        <w:t>(21), 4927–4933. https://doi.org/10.1093/bioinformatics/btac621</w:t>
      </w:r>
    </w:p>
    <w:p w14:paraId="5EAB34B3" w14:textId="77777777" w:rsidR="006030CD" w:rsidRPr="006030CD" w:rsidRDefault="006030CD" w:rsidP="006030CD">
      <w:pPr>
        <w:pStyle w:val="Bibliography"/>
        <w:rPr>
          <w:rFonts w:ascii="Aptos"/>
          <w:sz w:val="22"/>
        </w:rPr>
      </w:pPr>
      <w:r w:rsidRPr="006030CD">
        <w:rPr>
          <w:rFonts w:ascii="Aptos"/>
          <w:sz w:val="22"/>
        </w:rPr>
        <w:t xml:space="preserve">Wang, H., St. Julien, K. R., Stevenson, D. K., Hoffmann, T. J., Witte, J. S., Lazzeroni, L. C., Krasnow, M. A., Quaintance, C. C., Oehlert, J. W., Jelliffe-Pawlowski, L. L., Gould, J. B., Shaw, G. M., &amp; O’Brodovich, H. M. (2013). A Genome-Wide Association Study (GWAS) for Bronchopulmonary Dysplasia. </w:t>
      </w:r>
      <w:r w:rsidRPr="006030CD">
        <w:rPr>
          <w:rFonts w:ascii="Aptos"/>
          <w:i/>
          <w:iCs/>
          <w:sz w:val="22"/>
        </w:rPr>
        <w:t>Pediatrics</w:t>
      </w:r>
      <w:r w:rsidRPr="006030CD">
        <w:rPr>
          <w:rFonts w:ascii="Aptos"/>
          <w:sz w:val="22"/>
        </w:rPr>
        <w:t xml:space="preserve">, </w:t>
      </w:r>
      <w:r w:rsidRPr="006030CD">
        <w:rPr>
          <w:rFonts w:ascii="Aptos"/>
          <w:i/>
          <w:iCs/>
          <w:sz w:val="22"/>
        </w:rPr>
        <w:t>132</w:t>
      </w:r>
      <w:r w:rsidRPr="006030CD">
        <w:rPr>
          <w:rFonts w:ascii="Aptos"/>
          <w:sz w:val="22"/>
        </w:rPr>
        <w:t>(2), 290–297. https://doi.org/10.1542/peds.2013-0533</w:t>
      </w:r>
    </w:p>
    <w:p w14:paraId="691198E2" w14:textId="77777777" w:rsidR="006030CD" w:rsidRPr="006030CD" w:rsidRDefault="006030CD" w:rsidP="006030CD">
      <w:pPr>
        <w:pStyle w:val="Bibliography"/>
        <w:rPr>
          <w:rFonts w:ascii="Aptos"/>
          <w:sz w:val="22"/>
        </w:rPr>
      </w:pPr>
      <w:r w:rsidRPr="006030CD">
        <w:rPr>
          <w:rFonts w:ascii="Aptos"/>
          <w:sz w:val="22"/>
        </w:rPr>
        <w:t xml:space="preserve">Wu, T., Hu, E., Xu, S., Chen, M., Guo, P., Dai, Z., Feng, T., Zhou, L., Tang, W., Zhan, L., Fu, X., Liu, S., Bo, X., &amp; Yu, G. (2021). clusterProfiler 4.0: A universal enrichment tool for interpreting omics data. </w:t>
      </w:r>
      <w:r w:rsidRPr="006030CD">
        <w:rPr>
          <w:rFonts w:ascii="Aptos"/>
          <w:i/>
          <w:iCs/>
          <w:sz w:val="22"/>
        </w:rPr>
        <w:t>The Innovation</w:t>
      </w:r>
      <w:r w:rsidRPr="006030CD">
        <w:rPr>
          <w:rFonts w:ascii="Aptos"/>
          <w:sz w:val="22"/>
        </w:rPr>
        <w:t xml:space="preserve">, </w:t>
      </w:r>
      <w:r w:rsidRPr="006030CD">
        <w:rPr>
          <w:rFonts w:ascii="Aptos"/>
          <w:i/>
          <w:iCs/>
          <w:sz w:val="22"/>
        </w:rPr>
        <w:t>2</w:t>
      </w:r>
      <w:r w:rsidRPr="006030CD">
        <w:rPr>
          <w:rFonts w:ascii="Aptos"/>
          <w:sz w:val="22"/>
        </w:rPr>
        <w:t>(3), 100141. https://doi.org/10.1016/j.xinn.2021.100141</w:t>
      </w:r>
    </w:p>
    <w:p w14:paraId="27B667E2" w14:textId="6322F87B" w:rsidR="005D240B" w:rsidRPr="005B64D9" w:rsidRDefault="005D240B" w:rsidP="006030CD">
      <w:pPr>
        <w:pStyle w:val="Bibliography"/>
        <w:rPr>
          <w:b/>
          <w:bCs/>
          <w:sz w:val="22"/>
          <w:szCs w:val="22"/>
        </w:rPr>
      </w:pPr>
      <w:r>
        <w:rPr>
          <w:b/>
          <w:bCs/>
          <w:sz w:val="22"/>
          <w:szCs w:val="22"/>
        </w:rPr>
        <w:lastRenderedPageBreak/>
        <w:fldChar w:fldCharType="end"/>
      </w:r>
    </w:p>
    <w:p w14:paraId="5A4CAA76" w14:textId="77777777" w:rsidR="005D240B" w:rsidRPr="00B016B7" w:rsidRDefault="005D240B" w:rsidP="005D240B">
      <w:pPr>
        <w:spacing w:line="480" w:lineRule="auto"/>
        <w:jc w:val="both"/>
        <w:rPr>
          <w:rFonts w:cs="Calibri"/>
          <w:b/>
          <w:bCs/>
          <w:color w:val="000000" w:themeColor="text1"/>
          <w:sz w:val="22"/>
          <w:szCs w:val="22"/>
        </w:rPr>
      </w:pPr>
      <w:r w:rsidRPr="005B64D9">
        <w:rPr>
          <w:b/>
          <w:bCs/>
          <w:sz w:val="22"/>
          <w:szCs w:val="22"/>
        </w:rPr>
        <w:br w:type="column"/>
      </w:r>
      <w:r w:rsidRPr="005B64D9">
        <w:rPr>
          <w:rFonts w:cs="Calibri"/>
          <w:b/>
          <w:bCs/>
          <w:color w:val="000000" w:themeColor="text1"/>
          <w:sz w:val="22"/>
          <w:szCs w:val="22"/>
        </w:rPr>
        <w:lastRenderedPageBreak/>
        <w:t>CONFLICT OF INTEREST</w:t>
      </w:r>
    </w:p>
    <w:p w14:paraId="4A34556C"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54BDE0EE" w14:textId="77777777" w:rsidR="005D240B" w:rsidRPr="005B64D9" w:rsidRDefault="005D240B" w:rsidP="005D240B">
      <w:pPr>
        <w:spacing w:line="480" w:lineRule="auto"/>
        <w:jc w:val="both"/>
        <w:rPr>
          <w:rFonts w:cs="Calibri"/>
          <w:color w:val="000000" w:themeColor="text1"/>
          <w:sz w:val="22"/>
          <w:szCs w:val="22"/>
        </w:rPr>
      </w:pPr>
    </w:p>
    <w:p w14:paraId="136AFC5B"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0A5FE62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1C0C6D3C" w14:textId="77777777" w:rsidR="005D240B" w:rsidRPr="005B64D9" w:rsidRDefault="005D240B" w:rsidP="005D240B">
      <w:pPr>
        <w:spacing w:line="480" w:lineRule="auto"/>
        <w:jc w:val="both"/>
        <w:rPr>
          <w:rFonts w:cs="Calibri"/>
          <w:color w:val="000000" w:themeColor="text1"/>
          <w:sz w:val="22"/>
          <w:szCs w:val="22"/>
        </w:rPr>
      </w:pPr>
    </w:p>
    <w:p w14:paraId="23C76A32"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3441BA0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5889C142" w14:textId="77777777" w:rsidR="005D240B" w:rsidRPr="005B64D9" w:rsidRDefault="005D240B" w:rsidP="005D240B">
      <w:pPr>
        <w:spacing w:line="480" w:lineRule="auto"/>
        <w:jc w:val="both"/>
        <w:rPr>
          <w:rFonts w:cs="Calibri"/>
          <w:b/>
          <w:bCs/>
          <w:color w:val="000000" w:themeColor="text1"/>
          <w:sz w:val="22"/>
          <w:szCs w:val="22"/>
        </w:rPr>
      </w:pPr>
    </w:p>
    <w:p w14:paraId="37C7D559"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08507F0B"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132675F5" w14:textId="77777777" w:rsidR="005D240B" w:rsidRPr="005B64D9" w:rsidRDefault="005D240B" w:rsidP="005D240B">
      <w:pPr>
        <w:spacing w:line="480" w:lineRule="auto"/>
        <w:jc w:val="both"/>
        <w:rPr>
          <w:sz w:val="22"/>
          <w:szCs w:val="22"/>
        </w:rPr>
      </w:pPr>
    </w:p>
    <w:p w14:paraId="4587EAE1" w14:textId="77777777" w:rsidR="005D240B" w:rsidRPr="005B64D9" w:rsidRDefault="005D240B" w:rsidP="005D240B">
      <w:pPr>
        <w:spacing w:line="480" w:lineRule="auto"/>
        <w:jc w:val="both"/>
        <w:rPr>
          <w:sz w:val="22"/>
          <w:szCs w:val="22"/>
        </w:rPr>
      </w:pPr>
    </w:p>
    <w:p w14:paraId="36B180ED" w14:textId="77777777" w:rsidR="003B2F70" w:rsidRDefault="003B2F70"/>
    <w:sectPr w:rsidR="003B2F70" w:rsidSect="005D240B">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48:00Z" w:initials="SCH">
    <w:p w14:paraId="0A4AA065" w14:textId="77777777" w:rsidR="005D240B" w:rsidRDefault="005D240B" w:rsidP="005D240B">
      <w:r>
        <w:rPr>
          <w:rStyle w:val="CommentReference"/>
        </w:rPr>
        <w:annotationRef/>
      </w:r>
      <w:r>
        <w:rPr>
          <w:sz w:val="20"/>
          <w:szCs w:val="20"/>
        </w:rPr>
        <w:t>350 words</w:t>
      </w:r>
    </w:p>
    <w:p w14:paraId="6BF7F052" w14:textId="77777777" w:rsidR="005D240B" w:rsidRDefault="005D240B" w:rsidP="005D240B"/>
  </w:comment>
  <w:comment w:id="1" w:author="Sara Clohisey Hendry" w:date="2025-08-06T10:58:00Z" w:initials="SCH">
    <w:p w14:paraId="57117665" w14:textId="77777777" w:rsidR="005D240B" w:rsidRDefault="005D240B" w:rsidP="005D240B">
      <w:r>
        <w:rPr>
          <w:rStyle w:val="CommentReference"/>
        </w:rPr>
        <w:annotationRef/>
      </w:r>
      <w:r>
        <w:rPr>
          <w:sz w:val="20"/>
          <w:szCs w:val="20"/>
        </w:rPr>
        <w:t>Aim for 1200 words</w:t>
      </w:r>
    </w:p>
  </w:comment>
  <w:comment w:id="2" w:author="Sara Clohisey Hendry" w:date="2025-08-06T12:55:00Z" w:initials="SCH">
    <w:p w14:paraId="53F7F3EE" w14:textId="77777777" w:rsidR="005D240B" w:rsidRDefault="005D240B" w:rsidP="005D240B">
      <w:r>
        <w:rPr>
          <w:rStyle w:val="CommentReference"/>
        </w:rPr>
        <w:annotationRef/>
      </w:r>
      <w:r>
        <w:rPr>
          <w:sz w:val="20"/>
          <w:szCs w:val="20"/>
        </w:rPr>
        <w:t>heatmap</w:t>
      </w:r>
    </w:p>
    <w:p w14:paraId="6A55D93C" w14:textId="77777777" w:rsidR="005D240B" w:rsidRDefault="005D240B" w:rsidP="005D240B"/>
  </w:comment>
  <w:comment w:id="3" w:author="Sara Clohisey Hendry" w:date="2025-08-21T15:05:00Z" w:initials="SCH">
    <w:p w14:paraId="04267B29" w14:textId="2AAACA4F" w:rsidR="00053511" w:rsidRDefault="00053511" w:rsidP="00053511">
      <w:r>
        <w:rPr>
          <w:rStyle w:val="CommentReference"/>
        </w:rPr>
        <w:annotationRef/>
      </w:r>
      <w:r>
        <w:rPr>
          <w:sz w:val="20"/>
          <w:szCs w:val="20"/>
        </w:rPr>
        <w:t>It is difficult to determine if some uncommon, enriched pathways reflect rodent-specific responses to experimental injury rather than universally conserved disease mechanisms.</w:t>
      </w:r>
    </w:p>
    <w:p w14:paraId="3B4D4153" w14:textId="77777777" w:rsidR="00053511" w:rsidRDefault="00053511" w:rsidP="0005351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F7F052" w15:done="0"/>
  <w15:commentEx w15:paraId="57117665" w15:done="0"/>
  <w15:commentEx w15:paraId="6A55D93C" w15:done="0"/>
  <w15:commentEx w15:paraId="3B4D4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75E3CE" w16cex:dateUtc="2025-08-06T09:48:00Z"/>
  <w16cex:commentExtensible w16cex:durableId="15488C85" w16cex:dateUtc="2025-08-06T09:58:00Z"/>
  <w16cex:commentExtensible w16cex:durableId="515A323F" w16cex:dateUtc="2025-08-06T11:55:00Z"/>
  <w16cex:commentExtensible w16cex:durableId="4C3D618E" w16cex:dateUtc="2025-08-21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F7F052" w16cid:durableId="3575E3CE"/>
  <w16cid:commentId w16cid:paraId="57117665" w16cid:durableId="15488C85"/>
  <w16cid:commentId w16cid:paraId="6A55D93C" w16cid:durableId="515A323F"/>
  <w16cid:commentId w16cid:paraId="3B4D4153" w16cid:durableId="4C3D6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6270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B"/>
    <w:rsid w:val="00053511"/>
    <w:rsid w:val="000C33C9"/>
    <w:rsid w:val="001045AD"/>
    <w:rsid w:val="001363FD"/>
    <w:rsid w:val="001B5DBE"/>
    <w:rsid w:val="001D6A71"/>
    <w:rsid w:val="00317902"/>
    <w:rsid w:val="00326D95"/>
    <w:rsid w:val="003508D3"/>
    <w:rsid w:val="00357B67"/>
    <w:rsid w:val="003B2F70"/>
    <w:rsid w:val="005508DA"/>
    <w:rsid w:val="005A680A"/>
    <w:rsid w:val="005D240B"/>
    <w:rsid w:val="006030CD"/>
    <w:rsid w:val="00642B03"/>
    <w:rsid w:val="00645074"/>
    <w:rsid w:val="0065547A"/>
    <w:rsid w:val="006B6E85"/>
    <w:rsid w:val="00740014"/>
    <w:rsid w:val="00745C0E"/>
    <w:rsid w:val="00756D83"/>
    <w:rsid w:val="0077789B"/>
    <w:rsid w:val="007816AD"/>
    <w:rsid w:val="007C3ADC"/>
    <w:rsid w:val="009155AD"/>
    <w:rsid w:val="00955096"/>
    <w:rsid w:val="009775FE"/>
    <w:rsid w:val="009B65CF"/>
    <w:rsid w:val="009F3C8A"/>
    <w:rsid w:val="00A14BEC"/>
    <w:rsid w:val="00A55110"/>
    <w:rsid w:val="00AB2D4D"/>
    <w:rsid w:val="00AB7995"/>
    <w:rsid w:val="00AE378A"/>
    <w:rsid w:val="00B67F7B"/>
    <w:rsid w:val="00B82C33"/>
    <w:rsid w:val="00BD33E1"/>
    <w:rsid w:val="00BF2C13"/>
    <w:rsid w:val="00C2707E"/>
    <w:rsid w:val="00C418B1"/>
    <w:rsid w:val="00C9039E"/>
    <w:rsid w:val="00CF1C78"/>
    <w:rsid w:val="00D3572D"/>
    <w:rsid w:val="00D50D37"/>
    <w:rsid w:val="00D76E64"/>
    <w:rsid w:val="00DF7913"/>
    <w:rsid w:val="00E334A6"/>
    <w:rsid w:val="00E715A3"/>
    <w:rsid w:val="00EA1A53"/>
    <w:rsid w:val="00F76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81AF2"/>
  <w15:chartTrackingRefBased/>
  <w15:docId w15:val="{11D2DAE2-4C38-8846-B2CD-023C730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CD"/>
  </w:style>
  <w:style w:type="paragraph" w:styleId="Heading1">
    <w:name w:val="heading 1"/>
    <w:basedOn w:val="Normal"/>
    <w:next w:val="Normal"/>
    <w:link w:val="Heading1Char"/>
    <w:uiPriority w:val="9"/>
    <w:qFormat/>
    <w:rsid w:val="005D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B"/>
    <w:rPr>
      <w:rFonts w:eastAsiaTheme="majorEastAsia" w:cstheme="majorBidi"/>
      <w:color w:val="272727" w:themeColor="text1" w:themeTint="D8"/>
    </w:rPr>
  </w:style>
  <w:style w:type="paragraph" w:styleId="Title">
    <w:name w:val="Title"/>
    <w:basedOn w:val="Normal"/>
    <w:next w:val="Normal"/>
    <w:link w:val="TitleChar"/>
    <w:uiPriority w:val="10"/>
    <w:qFormat/>
    <w:rsid w:val="005D2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40B"/>
    <w:rPr>
      <w:i/>
      <w:iCs/>
      <w:color w:val="404040" w:themeColor="text1" w:themeTint="BF"/>
    </w:rPr>
  </w:style>
  <w:style w:type="paragraph" w:styleId="ListParagraph">
    <w:name w:val="List Paragraph"/>
    <w:basedOn w:val="Normal"/>
    <w:uiPriority w:val="34"/>
    <w:qFormat/>
    <w:rsid w:val="005D240B"/>
    <w:pPr>
      <w:ind w:left="720"/>
      <w:contextualSpacing/>
    </w:pPr>
  </w:style>
  <w:style w:type="character" w:styleId="IntenseEmphasis">
    <w:name w:val="Intense Emphasis"/>
    <w:basedOn w:val="DefaultParagraphFont"/>
    <w:uiPriority w:val="21"/>
    <w:qFormat/>
    <w:rsid w:val="005D240B"/>
    <w:rPr>
      <w:i/>
      <w:iCs/>
      <w:color w:val="0F4761" w:themeColor="accent1" w:themeShade="BF"/>
    </w:rPr>
  </w:style>
  <w:style w:type="paragraph" w:styleId="IntenseQuote">
    <w:name w:val="Intense Quote"/>
    <w:basedOn w:val="Normal"/>
    <w:next w:val="Normal"/>
    <w:link w:val="IntenseQuoteChar"/>
    <w:uiPriority w:val="30"/>
    <w:qFormat/>
    <w:rsid w:val="005D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B"/>
    <w:rPr>
      <w:i/>
      <w:iCs/>
      <w:color w:val="0F4761" w:themeColor="accent1" w:themeShade="BF"/>
    </w:rPr>
  </w:style>
  <w:style w:type="character" w:styleId="IntenseReference">
    <w:name w:val="Intense Reference"/>
    <w:basedOn w:val="DefaultParagraphFont"/>
    <w:uiPriority w:val="32"/>
    <w:qFormat/>
    <w:rsid w:val="005D240B"/>
    <w:rPr>
      <w:b/>
      <w:bCs/>
      <w:smallCaps/>
      <w:color w:val="0F4761" w:themeColor="accent1" w:themeShade="BF"/>
      <w:spacing w:val="5"/>
    </w:rPr>
  </w:style>
  <w:style w:type="character" w:styleId="CommentReference">
    <w:name w:val="annotation reference"/>
    <w:basedOn w:val="DefaultParagraphFont"/>
    <w:uiPriority w:val="99"/>
    <w:semiHidden/>
    <w:unhideWhenUsed/>
    <w:rsid w:val="005D240B"/>
    <w:rPr>
      <w:sz w:val="16"/>
      <w:szCs w:val="16"/>
    </w:rPr>
  </w:style>
  <w:style w:type="paragraph" w:styleId="Bibliography">
    <w:name w:val="Bibliography"/>
    <w:basedOn w:val="Normal"/>
    <w:next w:val="Normal"/>
    <w:uiPriority w:val="37"/>
    <w:unhideWhenUsed/>
    <w:rsid w:val="005D240B"/>
    <w:pPr>
      <w:tabs>
        <w:tab w:val="left" w:pos="380"/>
      </w:tabs>
      <w:spacing w:line="480" w:lineRule="auto"/>
      <w:ind w:left="720" w:hanging="720"/>
    </w:pPr>
  </w:style>
  <w:style w:type="character" w:styleId="Hyperlink">
    <w:name w:val="Hyperlink"/>
    <w:basedOn w:val="DefaultParagraphFont"/>
    <w:uiPriority w:val="99"/>
    <w:semiHidden/>
    <w:unhideWhenUsed/>
    <w:rsid w:val="005D240B"/>
    <w:rPr>
      <w:color w:val="0000FF"/>
      <w:u w:val="single"/>
    </w:rPr>
  </w:style>
  <w:style w:type="character" w:styleId="LineNumber">
    <w:name w:val="line number"/>
    <w:basedOn w:val="DefaultParagraphFont"/>
    <w:uiPriority w:val="99"/>
    <w:semiHidden/>
    <w:unhideWhenUsed/>
    <w:rsid w:val="005D240B"/>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645074"/>
    <w:rPr>
      <w:b/>
      <w:bCs/>
    </w:rPr>
  </w:style>
  <w:style w:type="character" w:customStyle="1" w:styleId="CommentSubjectChar">
    <w:name w:val="Comment Subject Char"/>
    <w:basedOn w:val="CommentTextChar"/>
    <w:link w:val="CommentSubject"/>
    <w:uiPriority w:val="99"/>
    <w:semiHidden/>
    <w:rsid w:val="006450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23</Pages>
  <Words>18539</Words>
  <Characters>111794</Characters>
  <Application>Microsoft Office Word</Application>
  <DocSecurity>0</DocSecurity>
  <Lines>1894</Lines>
  <Paragraphs>505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20</cp:revision>
  <dcterms:created xsi:type="dcterms:W3CDTF">2025-08-19T13:00:00Z</dcterms:created>
  <dcterms:modified xsi:type="dcterms:W3CDTF">2025-09-02T13:31:00Z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id="Z16d758f"/&gt;&lt;style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