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13788" w14:textId="77777777" w:rsidR="005D240B" w:rsidRPr="00971920" w:rsidRDefault="005D240B" w:rsidP="00971920">
      <w:pPr>
        <w:pStyle w:val="ListParagraph"/>
        <w:numPr>
          <w:ilvl w:val="0"/>
          <w:numId w:val="2"/>
        </w:numPr>
        <w:spacing w:line="480" w:lineRule="auto"/>
        <w:jc w:val="both"/>
        <w:rPr>
          <w:b/>
          <w:bCs/>
          <w:sz w:val="22"/>
          <w:szCs w:val="22"/>
        </w:rPr>
      </w:pPr>
      <w:r w:rsidRPr="00971920">
        <w:rPr>
          <w:b/>
          <w:bCs/>
          <w:sz w:val="22"/>
          <w:szCs w:val="22"/>
        </w:rPr>
        <w:t>Systems-Level Insights into Bronchopulmonary Dysplasia from Meta-Analysis of Genome-Scale Studies</w:t>
      </w:r>
    </w:p>
    <w:p w14:paraId="29EC562B" w14:textId="77777777" w:rsidR="005D240B" w:rsidRPr="005B64D9" w:rsidRDefault="005D240B" w:rsidP="005D240B">
      <w:pPr>
        <w:spacing w:line="480" w:lineRule="auto"/>
        <w:jc w:val="both"/>
        <w:rPr>
          <w:b/>
          <w:bCs/>
          <w:sz w:val="22"/>
          <w:szCs w:val="22"/>
        </w:rPr>
      </w:pPr>
    </w:p>
    <w:p w14:paraId="6AB27514" w14:textId="77777777" w:rsidR="005D240B" w:rsidRPr="005B64D9" w:rsidRDefault="005D240B" w:rsidP="005D240B">
      <w:pPr>
        <w:spacing w:line="480" w:lineRule="auto"/>
        <w:jc w:val="both"/>
        <w:rPr>
          <w:sz w:val="22"/>
          <w:szCs w:val="22"/>
        </w:rPr>
      </w:pPr>
      <w:r w:rsidRPr="005B64D9">
        <w:rPr>
          <w:sz w:val="22"/>
          <w:szCs w:val="22"/>
        </w:rPr>
        <w:t>Chris Happs</w:t>
      </w:r>
      <w:r w:rsidRPr="005B64D9">
        <w:rPr>
          <w:sz w:val="22"/>
          <w:szCs w:val="22"/>
          <w:vertAlign w:val="superscript"/>
        </w:rPr>
        <w:t>1,2</w:t>
      </w:r>
      <w:r w:rsidRPr="005B64D9">
        <w:rPr>
          <w:sz w:val="22"/>
          <w:szCs w:val="22"/>
        </w:rPr>
        <w:t>*, Prerna Khanna</w:t>
      </w:r>
      <w:r w:rsidRPr="005B64D9">
        <w:rPr>
          <w:sz w:val="22"/>
          <w:szCs w:val="22"/>
          <w:vertAlign w:val="superscript"/>
        </w:rPr>
        <w:t>1,2</w:t>
      </w:r>
      <w:r w:rsidRPr="005B64D9">
        <w:rPr>
          <w:sz w:val="22"/>
          <w:szCs w:val="22"/>
        </w:rPr>
        <w:t>*, Charlotte Scoynes</w:t>
      </w:r>
      <w:r w:rsidRPr="005B64D9">
        <w:rPr>
          <w:sz w:val="22"/>
          <w:szCs w:val="22"/>
          <w:vertAlign w:val="superscript"/>
        </w:rPr>
        <w:t>2</w:t>
      </w:r>
      <w:r w:rsidRPr="005B64D9">
        <w:rPr>
          <w:sz w:val="22"/>
          <w:szCs w:val="22"/>
        </w:rPr>
        <w:t>, Nelly Muriungi</w:t>
      </w:r>
      <w:r w:rsidRPr="005B64D9">
        <w:rPr>
          <w:sz w:val="22"/>
          <w:szCs w:val="22"/>
          <w:vertAlign w:val="superscript"/>
        </w:rPr>
        <w:t>1</w:t>
      </w:r>
      <w:r w:rsidRPr="005B64D9">
        <w:rPr>
          <w:sz w:val="22"/>
          <w:szCs w:val="22"/>
        </w:rPr>
        <w:t>, Akira Alexander</w:t>
      </w:r>
      <w:r w:rsidRPr="005B64D9">
        <w:rPr>
          <w:sz w:val="22"/>
          <w:szCs w:val="22"/>
          <w:vertAlign w:val="superscript"/>
        </w:rPr>
        <w:t>1</w:t>
      </w:r>
      <w:r w:rsidRPr="005B64D9">
        <w:rPr>
          <w:sz w:val="22"/>
          <w:szCs w:val="22"/>
        </w:rPr>
        <w:t>, Josh Rogers</w:t>
      </w:r>
      <w:r w:rsidRPr="005B64D9">
        <w:rPr>
          <w:sz w:val="22"/>
          <w:szCs w:val="22"/>
          <w:vertAlign w:val="superscript"/>
        </w:rPr>
        <w:t>1</w:t>
      </w:r>
      <w:r w:rsidRPr="005B64D9">
        <w:rPr>
          <w:sz w:val="22"/>
          <w:szCs w:val="22"/>
        </w:rPr>
        <w:t>, Elizabeth Lake</w:t>
      </w:r>
      <w:r w:rsidRPr="005B64D9">
        <w:rPr>
          <w:sz w:val="22"/>
          <w:szCs w:val="22"/>
          <w:vertAlign w:val="superscript"/>
        </w:rPr>
        <w:t>1,2</w:t>
      </w:r>
      <w:r w:rsidRPr="005B64D9">
        <w:rPr>
          <w:sz w:val="22"/>
          <w:szCs w:val="22"/>
        </w:rPr>
        <w:t>, Maximillian Pickup</w:t>
      </w:r>
      <w:r w:rsidRPr="005B64D9">
        <w:rPr>
          <w:sz w:val="22"/>
          <w:szCs w:val="22"/>
          <w:vertAlign w:val="superscript"/>
        </w:rPr>
        <w:t>1,2</w:t>
      </w:r>
      <w:r w:rsidRPr="005B64D9">
        <w:rPr>
          <w:sz w:val="22"/>
          <w:szCs w:val="22"/>
        </w:rPr>
        <w:t>, Nicholas Parkinson</w:t>
      </w:r>
      <w:r w:rsidRPr="005B64D9">
        <w:rPr>
          <w:sz w:val="22"/>
          <w:szCs w:val="22"/>
          <w:vertAlign w:val="superscript"/>
        </w:rPr>
        <w:t>1</w:t>
      </w:r>
      <w:r w:rsidRPr="005B64D9">
        <w:rPr>
          <w:sz w:val="22"/>
          <w:szCs w:val="22"/>
        </w:rPr>
        <w:t>, Jonathan Millar</w:t>
      </w:r>
      <w:r w:rsidRPr="005B64D9">
        <w:rPr>
          <w:sz w:val="22"/>
          <w:szCs w:val="22"/>
          <w:vertAlign w:val="superscript"/>
        </w:rPr>
        <w:t>2</w:t>
      </w:r>
      <w:r w:rsidRPr="005B64D9">
        <w:rPr>
          <w:sz w:val="22"/>
          <w:szCs w:val="22"/>
        </w:rPr>
        <w:t>, Kenneth Baillie</w:t>
      </w:r>
      <w:r w:rsidRPr="005B64D9">
        <w:rPr>
          <w:sz w:val="22"/>
          <w:szCs w:val="22"/>
          <w:vertAlign w:val="superscript"/>
        </w:rPr>
        <w:t>1,2</w:t>
      </w:r>
      <w:r w:rsidRPr="005B64D9">
        <w:rPr>
          <w:sz w:val="22"/>
          <w:szCs w:val="22"/>
        </w:rPr>
        <w:t>, Sara Clohisey Hendry</w:t>
      </w:r>
      <w:r w:rsidRPr="005B64D9">
        <w:rPr>
          <w:sz w:val="22"/>
          <w:szCs w:val="22"/>
          <w:vertAlign w:val="superscript"/>
        </w:rPr>
        <w:t>1,2</w:t>
      </w:r>
    </w:p>
    <w:p w14:paraId="5B4268B7" w14:textId="77777777" w:rsidR="005D240B" w:rsidRPr="005B64D9" w:rsidRDefault="005D240B" w:rsidP="005D240B">
      <w:pPr>
        <w:spacing w:line="480" w:lineRule="auto"/>
        <w:jc w:val="both"/>
        <w:rPr>
          <w:sz w:val="22"/>
          <w:szCs w:val="22"/>
        </w:rPr>
      </w:pPr>
    </w:p>
    <w:p w14:paraId="1DB81644" w14:textId="77777777" w:rsidR="005D240B" w:rsidRPr="005B64D9" w:rsidRDefault="005D240B" w:rsidP="005D240B">
      <w:pPr>
        <w:spacing w:line="480" w:lineRule="auto"/>
        <w:jc w:val="both"/>
        <w:rPr>
          <w:sz w:val="22"/>
          <w:szCs w:val="22"/>
        </w:rPr>
      </w:pPr>
      <w:r w:rsidRPr="005B64D9">
        <w:rPr>
          <w:sz w:val="22"/>
          <w:szCs w:val="22"/>
        </w:rPr>
        <w:t>*  These authors contributed equally</w:t>
      </w:r>
    </w:p>
    <w:p w14:paraId="3A3AE3C1" w14:textId="77777777" w:rsidR="005D240B" w:rsidRPr="005B64D9" w:rsidRDefault="005D240B" w:rsidP="005D240B">
      <w:pPr>
        <w:pStyle w:val="ListParagraph"/>
        <w:numPr>
          <w:ilvl w:val="0"/>
          <w:numId w:val="1"/>
        </w:numPr>
        <w:spacing w:line="480" w:lineRule="auto"/>
        <w:rPr>
          <w:rFonts w:cs="Calibri"/>
          <w:color w:val="000000" w:themeColor="text1"/>
          <w:sz w:val="22"/>
          <w:szCs w:val="22"/>
        </w:rPr>
      </w:pPr>
      <w:r w:rsidRPr="005B64D9">
        <w:rPr>
          <w:rFonts w:cs="Calibri"/>
          <w:color w:val="000000" w:themeColor="text1"/>
          <w:sz w:val="22"/>
          <w:szCs w:val="22"/>
        </w:rPr>
        <w:t>Roslin Institute, University of Edinburgh, Edinburgh, U.K.</w:t>
      </w:r>
    </w:p>
    <w:p w14:paraId="00402DAC" w14:textId="77777777" w:rsidR="005D240B" w:rsidRPr="005B64D9" w:rsidRDefault="005D240B" w:rsidP="005D240B">
      <w:pPr>
        <w:pStyle w:val="ListParagraph"/>
        <w:numPr>
          <w:ilvl w:val="0"/>
          <w:numId w:val="1"/>
        </w:numPr>
        <w:spacing w:line="480" w:lineRule="auto"/>
        <w:rPr>
          <w:rFonts w:cs="Calibri"/>
          <w:color w:val="000000" w:themeColor="text1"/>
          <w:sz w:val="22"/>
          <w:szCs w:val="22"/>
        </w:rPr>
      </w:pPr>
      <w:r w:rsidRPr="005B64D9">
        <w:rPr>
          <w:rFonts w:cs="Calibri"/>
          <w:color w:val="000000" w:themeColor="text1"/>
          <w:sz w:val="22"/>
          <w:szCs w:val="22"/>
        </w:rPr>
        <w:t>Baillie-Gifford Pandemic Science Hub, Institute for Regeneration and Repair, University of Edinburgh, Edinburgh, U.K.</w:t>
      </w:r>
    </w:p>
    <w:p w14:paraId="3924C8B2" w14:textId="77777777" w:rsidR="005D240B" w:rsidRPr="005B64D9" w:rsidRDefault="005D240B" w:rsidP="005D240B">
      <w:pPr>
        <w:spacing w:line="480" w:lineRule="auto"/>
        <w:jc w:val="both"/>
        <w:rPr>
          <w:sz w:val="22"/>
          <w:szCs w:val="22"/>
        </w:rPr>
      </w:pPr>
    </w:p>
    <w:p w14:paraId="53342AC2" w14:textId="77777777" w:rsidR="005D240B" w:rsidRPr="005B64D9" w:rsidRDefault="005D240B" w:rsidP="005D240B">
      <w:pPr>
        <w:spacing w:line="480" w:lineRule="auto"/>
        <w:jc w:val="both"/>
        <w:rPr>
          <w:rFonts w:cs="Calibri"/>
          <w:color w:val="000000" w:themeColor="text1"/>
          <w:sz w:val="22"/>
          <w:szCs w:val="22"/>
        </w:rPr>
      </w:pPr>
      <w:r w:rsidRPr="005B64D9">
        <w:rPr>
          <w:rFonts w:cs="Calibri"/>
          <w:b/>
          <w:bCs/>
          <w:color w:val="000000" w:themeColor="text1"/>
          <w:sz w:val="22"/>
          <w:szCs w:val="22"/>
        </w:rPr>
        <w:t xml:space="preserve">Running title: </w:t>
      </w:r>
      <w:r>
        <w:rPr>
          <w:rFonts w:cs="Calibri"/>
          <w:color w:val="000000" w:themeColor="text1"/>
          <w:sz w:val="22"/>
          <w:szCs w:val="22"/>
        </w:rPr>
        <w:t>MAIC analysis</w:t>
      </w:r>
      <w:r w:rsidRPr="005B64D9">
        <w:rPr>
          <w:rFonts w:cs="Calibri"/>
          <w:color w:val="000000" w:themeColor="text1"/>
          <w:sz w:val="22"/>
          <w:szCs w:val="22"/>
        </w:rPr>
        <w:t xml:space="preserve"> of Bronchopulmonary Dysplasia</w:t>
      </w:r>
    </w:p>
    <w:p w14:paraId="13593164"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color w:val="000000" w:themeColor="text1"/>
          <w:sz w:val="22"/>
          <w:szCs w:val="22"/>
        </w:rPr>
        <w:br w:type="column"/>
      </w:r>
      <w:r w:rsidRPr="005B64D9">
        <w:rPr>
          <w:rFonts w:cs="Calibri"/>
          <w:b/>
          <w:bCs/>
          <w:color w:val="000000" w:themeColor="text1"/>
          <w:sz w:val="22"/>
          <w:szCs w:val="22"/>
        </w:rPr>
        <w:lastRenderedPageBreak/>
        <w:t>ABSTRACT</w:t>
      </w:r>
    </w:p>
    <w:p w14:paraId="5FC885CB" w14:textId="77777777" w:rsidR="005D240B" w:rsidRPr="005B64D9" w:rsidRDefault="005D240B" w:rsidP="005D240B">
      <w:pPr>
        <w:spacing w:line="480" w:lineRule="auto"/>
        <w:jc w:val="both"/>
        <w:rPr>
          <w:rFonts w:cs="Calibri"/>
          <w:b/>
          <w:bCs/>
          <w:color w:val="000000" w:themeColor="text1"/>
          <w:sz w:val="22"/>
          <w:szCs w:val="22"/>
        </w:rPr>
      </w:pPr>
    </w:p>
    <w:p w14:paraId="2AC1ACFE" w14:textId="77777777" w:rsidR="005D240B"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Background</w:t>
      </w:r>
    </w:p>
    <w:p w14:paraId="6316437E" w14:textId="77777777" w:rsidR="005D240B" w:rsidRPr="00CC2DFC" w:rsidRDefault="005D240B" w:rsidP="005D240B">
      <w:pPr>
        <w:spacing w:line="480" w:lineRule="auto"/>
        <w:jc w:val="both"/>
        <w:rPr>
          <w:rFonts w:cs="Calibri"/>
          <w:b/>
          <w:bCs/>
          <w:color w:val="000000" w:themeColor="text1"/>
          <w:sz w:val="22"/>
          <w:szCs w:val="22"/>
        </w:rPr>
      </w:pPr>
      <w:r w:rsidRPr="00CC2DFC">
        <w:rPr>
          <w:sz w:val="22"/>
          <w:szCs w:val="22"/>
        </w:rPr>
        <w:t xml:space="preserve">Despite marked improvements in survival following preterm birth, the incidence of bronchopulmonary dysplasia (BPD) continues to rise. BPD remains the most prevalent complication of prematurity and carries the risk of long-term morbidity. </w:t>
      </w:r>
      <w:r>
        <w:rPr>
          <w:sz w:val="22"/>
          <w:szCs w:val="22"/>
        </w:rPr>
        <w:t>Characterising</w:t>
      </w:r>
      <w:r w:rsidRPr="00CC2DFC">
        <w:rPr>
          <w:sz w:val="22"/>
          <w:szCs w:val="22"/>
        </w:rPr>
        <w:t xml:space="preserve"> the cellular and molecular mechanisms driving disease progression is critical for informing clinical management and improving outcomes. To this end, we conducted a meta-analysis of genome-scale studies to identify molecular pathways implicated in BPD progression in both human cohorts and animal models.</w:t>
      </w:r>
    </w:p>
    <w:p w14:paraId="682833F4" w14:textId="77777777" w:rsidR="005D240B" w:rsidRPr="005B64D9" w:rsidRDefault="005D240B" w:rsidP="005D240B">
      <w:pPr>
        <w:spacing w:line="480" w:lineRule="auto"/>
        <w:jc w:val="both"/>
        <w:rPr>
          <w:rFonts w:cs="Calibri"/>
          <w:b/>
          <w:bCs/>
          <w:color w:val="000000" w:themeColor="text1"/>
          <w:sz w:val="22"/>
          <w:szCs w:val="22"/>
        </w:rPr>
      </w:pPr>
    </w:p>
    <w:p w14:paraId="695E0928"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Methods</w:t>
      </w:r>
    </w:p>
    <w:p w14:paraId="5792247D" w14:textId="77777777" w:rsidR="005D240B" w:rsidRPr="005B64D9" w:rsidRDefault="005D240B" w:rsidP="005D240B">
      <w:pPr>
        <w:spacing w:line="480" w:lineRule="auto"/>
        <w:jc w:val="both"/>
        <w:rPr>
          <w:rFonts w:cs="Calibri"/>
          <w:b/>
          <w:bCs/>
          <w:color w:val="000000" w:themeColor="text1"/>
          <w:sz w:val="22"/>
          <w:szCs w:val="22"/>
        </w:rPr>
      </w:pPr>
    </w:p>
    <w:p w14:paraId="1C8EAAE6"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Gene lists associated with bronchopulmonary dysplasia in humans and in rodent models were obtained from systematically identified genome-scale studies. These lists were then analy</w:t>
      </w:r>
      <w:r>
        <w:rPr>
          <w:rFonts w:cs="Calibri"/>
          <w:color w:val="000000" w:themeColor="text1"/>
          <w:sz w:val="22"/>
          <w:szCs w:val="22"/>
        </w:rPr>
        <w:t>s</w:t>
      </w:r>
      <w:r w:rsidRPr="005B64D9">
        <w:rPr>
          <w:rFonts w:cs="Calibri"/>
          <w:color w:val="000000" w:themeColor="text1"/>
          <w:sz w:val="22"/>
          <w:szCs w:val="22"/>
        </w:rPr>
        <w:t>ed using the meta-analysis by information content (MAIC) algorithm, which integrates multiple datasets to produce a single aggregated, ranked gene list based on the cumulative strength of evidence for each gene.</w:t>
      </w:r>
    </w:p>
    <w:p w14:paraId="283F0B14" w14:textId="77777777" w:rsidR="005D240B" w:rsidRPr="005B64D9" w:rsidRDefault="005D240B" w:rsidP="005D240B">
      <w:pPr>
        <w:spacing w:line="480" w:lineRule="auto"/>
        <w:jc w:val="both"/>
        <w:rPr>
          <w:rFonts w:cs="Calibri"/>
          <w:b/>
          <w:bCs/>
          <w:color w:val="000000" w:themeColor="text1"/>
          <w:sz w:val="22"/>
          <w:szCs w:val="22"/>
        </w:rPr>
      </w:pPr>
    </w:p>
    <w:p w14:paraId="1598C9B9"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Results</w:t>
      </w:r>
    </w:p>
    <w:p w14:paraId="217F6E50" w14:textId="77777777" w:rsidR="005D240B" w:rsidRPr="005B64D9" w:rsidRDefault="005D240B" w:rsidP="005D240B">
      <w:pPr>
        <w:spacing w:line="480" w:lineRule="auto"/>
        <w:jc w:val="both"/>
        <w:rPr>
          <w:rFonts w:cs="Calibri"/>
          <w:color w:val="000000" w:themeColor="text1"/>
          <w:sz w:val="22"/>
          <w:szCs w:val="22"/>
        </w:rPr>
      </w:pPr>
    </w:p>
    <w:p w14:paraId="30B7BE11" w14:textId="77777777" w:rsidR="005D240B" w:rsidRPr="005B64D9" w:rsidRDefault="005D240B" w:rsidP="005D240B">
      <w:pPr>
        <w:spacing w:line="480" w:lineRule="auto"/>
        <w:jc w:val="both"/>
        <w:rPr>
          <w:rFonts w:cs="Calibri"/>
          <w:b/>
          <w:bCs/>
          <w:color w:val="000000" w:themeColor="text1"/>
          <w:sz w:val="22"/>
          <w:szCs w:val="22"/>
        </w:rPr>
      </w:pPr>
    </w:p>
    <w:p w14:paraId="14036533"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Conclusions</w:t>
      </w:r>
    </w:p>
    <w:p w14:paraId="614E12E4" w14:textId="77777777" w:rsidR="005D240B" w:rsidRPr="005B64D9" w:rsidRDefault="005D240B" w:rsidP="005D240B">
      <w:pPr>
        <w:spacing w:line="480" w:lineRule="auto"/>
        <w:jc w:val="both"/>
        <w:rPr>
          <w:rFonts w:cs="Calibri"/>
          <w:color w:val="000000" w:themeColor="text1"/>
          <w:sz w:val="22"/>
          <w:szCs w:val="22"/>
        </w:rPr>
      </w:pPr>
    </w:p>
    <w:p w14:paraId="0B37ABF8" w14:textId="77777777" w:rsidR="005D240B" w:rsidRPr="005B64D9" w:rsidRDefault="005D240B" w:rsidP="005D240B">
      <w:pPr>
        <w:spacing w:line="480" w:lineRule="auto"/>
        <w:jc w:val="both"/>
        <w:rPr>
          <w:rFonts w:cs="Calibri"/>
          <w:color w:val="000000" w:themeColor="text1"/>
          <w:sz w:val="22"/>
          <w:szCs w:val="22"/>
        </w:rPr>
      </w:pPr>
      <w:r w:rsidRPr="005B64D9">
        <w:rPr>
          <w:rFonts w:cs="Calibri"/>
          <w:b/>
          <w:bCs/>
          <w:color w:val="000000" w:themeColor="text1"/>
          <w:sz w:val="22"/>
          <w:szCs w:val="22"/>
        </w:rPr>
        <w:t xml:space="preserve">Key words: </w:t>
      </w:r>
      <w:r w:rsidRPr="005B64D9">
        <w:rPr>
          <w:rFonts w:cs="Calibri"/>
          <w:color w:val="000000" w:themeColor="text1"/>
          <w:sz w:val="22"/>
          <w:szCs w:val="22"/>
        </w:rPr>
        <w:t xml:space="preserve">Bronchopulmonary Dysplasia; adaptive immunity, T cells, </w:t>
      </w:r>
    </w:p>
    <w:p w14:paraId="71CCF539" w14:textId="77777777" w:rsidR="005D240B" w:rsidRPr="005B64D9" w:rsidRDefault="005D240B" w:rsidP="005D240B">
      <w:pPr>
        <w:spacing w:line="480" w:lineRule="auto"/>
        <w:jc w:val="both"/>
        <w:rPr>
          <w:b/>
          <w:bCs/>
          <w:sz w:val="22"/>
          <w:szCs w:val="22"/>
        </w:rPr>
      </w:pPr>
      <w:r w:rsidRPr="005B64D9">
        <w:rPr>
          <w:b/>
          <w:bCs/>
          <w:sz w:val="22"/>
          <w:szCs w:val="22"/>
        </w:rPr>
        <w:br w:type="column"/>
      </w:r>
      <w:r w:rsidRPr="005B64D9">
        <w:rPr>
          <w:b/>
          <w:bCs/>
          <w:sz w:val="22"/>
          <w:szCs w:val="22"/>
        </w:rPr>
        <w:lastRenderedPageBreak/>
        <w:t>Background</w:t>
      </w:r>
    </w:p>
    <w:p w14:paraId="5EE88B62" w14:textId="77777777" w:rsidR="005D240B" w:rsidRPr="005B64D9" w:rsidRDefault="005D240B" w:rsidP="005D240B">
      <w:pPr>
        <w:spacing w:line="480" w:lineRule="auto"/>
        <w:jc w:val="both"/>
        <w:rPr>
          <w:sz w:val="22"/>
          <w:szCs w:val="22"/>
        </w:rPr>
      </w:pPr>
    </w:p>
    <w:p w14:paraId="1A381C39" w14:textId="21763BCE" w:rsidR="005D240B" w:rsidRPr="005B64D9" w:rsidRDefault="005D240B" w:rsidP="005D240B">
      <w:pPr>
        <w:spacing w:line="480" w:lineRule="auto"/>
        <w:jc w:val="both"/>
        <w:rPr>
          <w:color w:val="FF0000"/>
          <w:sz w:val="22"/>
          <w:szCs w:val="22"/>
        </w:rPr>
      </w:pPr>
      <w:r w:rsidRPr="005B64D9">
        <w:rPr>
          <w:sz w:val="22"/>
          <w:szCs w:val="22"/>
        </w:rPr>
        <w:t xml:space="preserve">Bronchopulmonary dysplasia (BPD), </w:t>
      </w:r>
      <w:r w:rsidR="00BE6D81">
        <w:rPr>
          <w:sz w:val="22"/>
          <w:szCs w:val="22"/>
        </w:rPr>
        <w:t>a</w:t>
      </w:r>
      <w:r w:rsidRPr="005B64D9">
        <w:rPr>
          <w:sz w:val="22"/>
          <w:szCs w:val="22"/>
        </w:rPr>
        <w:t xml:space="preserve"> </w:t>
      </w:r>
      <w:r w:rsidR="00BE6D81">
        <w:rPr>
          <w:sz w:val="22"/>
          <w:szCs w:val="22"/>
        </w:rPr>
        <w:t>c</w:t>
      </w:r>
      <w:r w:rsidRPr="005B64D9">
        <w:rPr>
          <w:sz w:val="22"/>
          <w:szCs w:val="22"/>
        </w:rPr>
        <w:t xml:space="preserve">hronic </w:t>
      </w:r>
      <w:r w:rsidR="00BE6D81">
        <w:rPr>
          <w:sz w:val="22"/>
          <w:szCs w:val="22"/>
        </w:rPr>
        <w:t>l</w:t>
      </w:r>
      <w:r w:rsidRPr="005B64D9">
        <w:rPr>
          <w:sz w:val="22"/>
          <w:szCs w:val="22"/>
        </w:rPr>
        <w:t xml:space="preserve">ung </w:t>
      </w:r>
      <w:r w:rsidR="00BE6D81">
        <w:rPr>
          <w:sz w:val="22"/>
          <w:szCs w:val="22"/>
        </w:rPr>
        <w:t>d</w:t>
      </w:r>
      <w:r w:rsidRPr="005B64D9">
        <w:rPr>
          <w:sz w:val="22"/>
          <w:szCs w:val="22"/>
        </w:rPr>
        <w:t>isease, is one of the most common complications of preterm birth, affecting up to 30% of preterm infants born before 32 weeks post-menstrual age (PMA).</w:t>
      </w:r>
      <w:r w:rsidRPr="005B64D9">
        <w:rPr>
          <w:sz w:val="22"/>
          <w:szCs w:val="22"/>
        </w:rPr>
        <w:fldChar w:fldCharType="begin"/>
      </w:r>
      <w:r>
        <w:rPr>
          <w:sz w:val="22"/>
          <w:szCs w:val="22"/>
        </w:rPr>
        <w:instrText xml:space="preserve"> ADDIN ZOTERO_ITEM CSL_CITATION {"citationID":"abq0jeead","properties":{"formattedCitation":"({\\i{}Neonatal Data Analysis Unit (NDAU). Neonatal Health Intelligence Tool. 2021. Available: Https://Www.Imperial.Ac.Uk/Neonatal-Data-Analysis-Unit/Neonatal-Data-Analysis-Unit/Neonatal-Data-Visualisations/}, n.d.)","plainCitation":"(Neonatal Data Analysis Unit (NDAU). Neonatal Health Intelligence Tool. 2021. Available: Https://Www.Imperial.Ac.Uk/Neonatal-Data-Analysis-Unit/Neonatal-Data-Analysis-Unit/Neonatal-Data-Visualisations/, n.d.)","noteIndex":0},"citationItems":[{"id":546,"uris":["http://zotero.org/users/14418362/items/BVMIFMDA"],"itemData":{"id":546,"type":"post-weblog","title":"Neonatal Data Analysis Unit (NDAU). Neonatal Health Intelligence Tool. 2021. Available: https://www.imperial.ac.uk/neonatal-data-analysis-unit/neonatal-data-analysis-unit/neonatal-data-visualisations/"}}],"schema":"https://github.com/citation-style-language/schema/raw/master/csl-citation.json"} </w:instrText>
      </w:r>
      <w:r w:rsidRPr="005B64D9">
        <w:rPr>
          <w:sz w:val="22"/>
          <w:szCs w:val="22"/>
        </w:rPr>
        <w:fldChar w:fldCharType="separate"/>
      </w:r>
      <w:r w:rsidRPr="009E4E9B">
        <w:rPr>
          <w:rFonts w:ascii="Aptos" w:cs="Times New Roman"/>
          <w:sz w:val="22"/>
        </w:rPr>
        <w:t>(</w:t>
      </w:r>
      <w:r w:rsidRPr="009E4E9B">
        <w:rPr>
          <w:rFonts w:ascii="Aptos" w:cs="Times New Roman"/>
          <w:i/>
          <w:iCs/>
          <w:sz w:val="22"/>
        </w:rPr>
        <w:t>Neonatal Data Analysis Unit (NDAU). Neonatal Health Intelligence Tool. 2021. Available: Https://Www.Imperial.Ac.Uk/Neonatal-Data-Analysis-Unit/Neonatal-Data-Analysis-Unit/Neonatal-Data-Visualisations/</w:t>
      </w:r>
      <w:r w:rsidRPr="009E4E9B">
        <w:rPr>
          <w:rFonts w:ascii="Aptos" w:cs="Times New Roman"/>
          <w:sz w:val="22"/>
        </w:rPr>
        <w:t>, n.d.)</w:t>
      </w:r>
      <w:r w:rsidRPr="005B64D9">
        <w:rPr>
          <w:sz w:val="22"/>
          <w:szCs w:val="22"/>
        </w:rPr>
        <w:fldChar w:fldCharType="end"/>
      </w:r>
      <w:r w:rsidRPr="005B64D9">
        <w:rPr>
          <w:sz w:val="22"/>
          <w:szCs w:val="22"/>
          <w:vertAlign w:val="superscript"/>
        </w:rPr>
        <w:t>,</w:t>
      </w:r>
      <w:r w:rsidRPr="005B64D9">
        <w:rPr>
          <w:sz w:val="22"/>
          <w:szCs w:val="22"/>
        </w:rPr>
        <w:fldChar w:fldCharType="begin"/>
      </w:r>
      <w:r>
        <w:rPr>
          <w:sz w:val="22"/>
          <w:szCs w:val="22"/>
        </w:rPr>
        <w:instrText xml:space="preserve"> ADDIN ZOTERO_ITEM CSL_CITATION {"citationID":"a12abtf8lgk","properties":{"unsorted":true,"formattedCitation":"(Isayama et al., 2017; Jensen et al., 2019)","plainCitation":"(Isayama et al., 2017; Jensen et al., 2019)","noteIndex":0},"citationItems":[{"id":575,"uris":["http://zotero.org/users/14418362/items/P247ZRCA"],"itemData":{"id":575,"type":"article-journal","container-title":"JAMA Pediatrics","DOI":"10.1001/jamapediatrics.2016.4141","ISSN":"2168-6203","issue":"3","journalAbbreviation":"JAMA Pediatr","language":"en","page":"271","source":"DOI.org (Crossref)","title":"Revisiting the Definition of Bronchopulmonary Dysplasia: Effect of Changing Panoply of Respiratory Support for Preterm Neonates","title-short":"Revisiting the Definition of Bronchopulmonary Dysplasia","URL":"http://archpedi.jamanetwork.com/article.aspx?doi=10.1001/jamapediatrics.2016.4141","volume":"171","author":[{"family":"Isayama","given":"Tetsuya"},{"family":"Lee","given":"Shoo K."},{"family":"Yang","given":"Junmin"},{"family":"Lee","given":"David"},{"family":"Daspal","given":"Sibasis"},{"family":"Dunn","given":"Michael"},{"family":"Shah","given":"Prakesh S."},{"literal":"for the Canadian Neonatal Network and Canadian Neonatal Follow-Up Network Investigators"}],"accessed":{"date-parts":[["2024",6,11]]},"issued":{"date-parts":[["2017",3,1]]}}},{"id":539,"uris":["http://zotero.org/users/14418362/items/33JX5C8W"],"itemData":{"id":539,"type":"article-journal","abstract":"Rationale: Current diagnostic criteria for bronchopulmonary dysplasia rely heavily on the level and duration of oxygen therapy, do not reﬂect contemporary neonatal care, and do not adequately predict childhood morbidity.","container-title":"American Journal of Respiratory and Critical Care Medicine","DOI":"10.1164/rccm.201812-2348OC","ISSN":"1073-449X, 1535-4970","issue":"6","journalAbbreviation":"Am J Respir Crit Care Med","language":"en","page":"751-759","source":"DOI.org (Crossref)","title":"The Diagnosis of Bronchopulmonary Dysplasia in Very Preterm Infants. An Evidence-based Approach","URL":"https://www.atsjournals.org/doi/10.1164/rccm.201812-2348OC","volume":"200","author":[{"family":"Jensen","given":"Erik A."},{"family":"Dysart","given":"Kevin"},{"family":"Gantz","given":"Marie G."},{"family":"McDonald","given":"Scott"},{"family":"Bamat","given":"Nicolas A."},{"family":"Keszler","given":"Martin"},{"family":"Kirpalani","given":"Haresh"},{"family":"Laughon","given":"Matthew M."},{"family":"Poindexter","given":"Brenda B."},{"family":"Duncan","given":"Andrea F."},{"family":"Yoder","given":"Bradley A."},{"family":"Eichenwald","given":"Eric C."},{"family":"DeMauro","given":"Sara B."}],"accessed":{"date-parts":[["2024",6,8]]},"issued":{"date-parts":[["2019",9,15]]}}}],"schema":"https://github.com/citation-style-language/schema/raw/master/csl-citation.json"} </w:instrText>
      </w:r>
      <w:r w:rsidRPr="005B64D9">
        <w:rPr>
          <w:sz w:val="22"/>
          <w:szCs w:val="22"/>
        </w:rPr>
        <w:fldChar w:fldCharType="separate"/>
      </w:r>
      <w:r>
        <w:rPr>
          <w:rFonts w:cs="Times New Roman"/>
          <w:sz w:val="22"/>
          <w:szCs w:val="22"/>
        </w:rPr>
        <w:t>(Isayama et al., 2017; Jensen et al., 2019)</w:t>
      </w:r>
      <w:r w:rsidRPr="005B64D9">
        <w:rPr>
          <w:sz w:val="22"/>
          <w:szCs w:val="22"/>
        </w:rPr>
        <w:fldChar w:fldCharType="end"/>
      </w:r>
      <w:r w:rsidRPr="005B64D9">
        <w:rPr>
          <w:color w:val="FF0000"/>
          <w:sz w:val="22"/>
          <w:szCs w:val="22"/>
        </w:rPr>
        <w:t xml:space="preserve"> </w:t>
      </w:r>
      <w:r w:rsidRPr="005B64D9">
        <w:rPr>
          <w:sz w:val="22"/>
          <w:szCs w:val="22"/>
        </w:rPr>
        <w:t>Antenatal and postnatal factors disrupt the developing lung leading to decreased alveolarisation, larger alveoli, irregular pulmonary vessels, and fibrotic tissue.</w:t>
      </w:r>
      <w:r w:rsidRPr="005B64D9">
        <w:rPr>
          <w:rFonts w:eastAsia="Times New Roman"/>
          <w:sz w:val="22"/>
          <w:szCs w:val="22"/>
          <w:lang w:eastAsia="en-GB"/>
        </w:rPr>
        <w:fldChar w:fldCharType="begin"/>
      </w:r>
      <w:r>
        <w:rPr>
          <w:rFonts w:eastAsia="Times New Roman"/>
          <w:sz w:val="22"/>
          <w:szCs w:val="22"/>
          <w:lang w:eastAsia="en-GB"/>
        </w:rPr>
        <w:instrText xml:space="preserve"> ADDIN ZOTERO_ITEM CSL_CITATION {"citationID":"al1eucrh87","properties":{"formattedCitation":"(Gilfillan et al., 2021; Th\\uc0\\u233{}baud et al., 2019)","plainCitation":"(Gilfillan et al., 2021; Thébaud et al., 2019)","noteIndex":0},"citationItems":[{"id":579,"uris":["http://zotero.org/users/14418362/items/MJ26QLGT"],"itemData":{"id":579,"type":"article-journal","abstract":"Abstract\n            Bronchopulmonary dysplasia (BPD) is the most common chronic lung disease in infants and is associated with increased mortality, respiratory morbidity, neurodevelopmental impairment, and increased healthcare costs. In parallel with advances made in the field of neonatal intensive care, the phenotype of BPD has evolved from a fibrocystic disease affecting late preterm infants to one of impaired parenchymal development and dysregulated vascular growth predominantly affecting infants born before 29 weeks’ gestational age. BPD has been shown to have significant lifelong consequences. Adults with BPD have been found to have abnormal lung function tests, reduced exercise tolerance, and may be at increased risk for developing chronic obstructive pulmonary disease. Evidence shows that BPD occurs secondary to genetic-environmental interactions in an immature lung. In this review, we evaluate the various clinical definitions, imaging modalities, and biomarker data that are helpful in making an early diagnosis of BPD. In addition, we evaluate recent evidence about the prevention and treatment of BPD. We discuss the invasive and non-invasive ventilation strategies and pharmacological agents used in the early, evolving, and established phases of BPD.","container-title":"BMJ","DOI":"10.1136/bmj.n1974","ISSN":"1756-1833","journalAbbreviation":"BMJ","language":"en","page":"n1974","source":"DOI.org (Crossref)","title":"Diagnosis and management of bronchopulmonary dysplasia","URL":"https://www.bmj.com/lookup/doi/10.1136/bmj.n1974","author":[{"family":"Gilfillan","given":"Margaret"},{"family":"Bhandari","given":"Anita"},{"family":"Bhandari","given":"Vineet"}],"accessed":{"date-parts":[["2024",6,12]]},"issued":{"date-parts":[["2021",10,20]]}}},{"id":606,"uris":["http://zotero.org/users/14418362/items/T3F4S7GB"],"itemData":{"id":606,"type":"article-journal","container-title":"Nature Reviews Disease Primers","DOI":"10.1038/s41572-019-0127-7","ISSN":"2056-676X","issue":"1","journalAbbreviation":"Nat Rev Dis Primers","language":"en","page":"78","source":"DOI.org (Crossref)","title":"Bronchopulmonary dysplasia","URL":"https://www.nature.com/articles/s41572-019-0127-7","volume":"5","author":[{"family":"Thébaud","given":"Bernard"},{"family":"Goss","given":"Kara N."},{"family":"Laughon","given":"Matthew"},{"family":"Whitsett","given":"Jeffrey A."},{"family":"Abman","given":"Steven H."},{"family":"Steinhorn","given":"Robin H."},{"family":"Aschner","given":"Judy L."},{"family":"Davis","given":"Peter G."},{"family":"McGrath-Morrow","given":"Sharon A."},{"family":"Soll","given":"Roger F."},{"family":"Jobe","given":"Alan H."}],"accessed":{"date-parts":[["2024",6,16]]},"issued":{"date-parts":[["2019",11,14]]}}}],"schema":"https://github.com/citation-style-language/schema/raw/master/csl-citation.json"} </w:instrText>
      </w:r>
      <w:r w:rsidRPr="005B64D9">
        <w:rPr>
          <w:rFonts w:eastAsia="Times New Roman"/>
          <w:sz w:val="22"/>
          <w:szCs w:val="22"/>
          <w:lang w:eastAsia="en-GB"/>
        </w:rPr>
        <w:fldChar w:fldCharType="separate"/>
      </w:r>
      <w:r w:rsidRPr="009E4E9B">
        <w:rPr>
          <w:rFonts w:ascii="Aptos" w:cs="Times New Roman"/>
          <w:sz w:val="22"/>
        </w:rPr>
        <w:t>(Gilfillan et al., 2021; Thébaud et al., 2019)</w:t>
      </w:r>
      <w:r w:rsidRPr="005B64D9">
        <w:rPr>
          <w:rFonts w:eastAsia="Times New Roman"/>
          <w:sz w:val="22"/>
          <w:szCs w:val="22"/>
          <w:lang w:eastAsia="en-GB"/>
        </w:rPr>
        <w:fldChar w:fldCharType="end"/>
      </w:r>
      <w:r w:rsidRPr="005B64D9">
        <w:rPr>
          <w:rFonts w:eastAsia="Times New Roman"/>
          <w:sz w:val="22"/>
          <w:szCs w:val="22"/>
          <w:lang w:eastAsia="en-GB"/>
        </w:rPr>
        <w:t xml:space="preserve"> </w:t>
      </w:r>
      <w:r w:rsidRPr="005B64D9">
        <w:rPr>
          <w:sz w:val="22"/>
          <w:szCs w:val="22"/>
        </w:rPr>
        <w:t xml:space="preserve">The effects of BPD </w:t>
      </w:r>
      <w:r w:rsidR="00BE6D81">
        <w:rPr>
          <w:sz w:val="22"/>
          <w:szCs w:val="22"/>
        </w:rPr>
        <w:t>can be</w:t>
      </w:r>
      <w:r w:rsidRPr="005B64D9">
        <w:rPr>
          <w:sz w:val="22"/>
          <w:szCs w:val="22"/>
        </w:rPr>
        <w:t xml:space="preserve"> life-long; individuals with BPD are more likely to require rehospitalisation during their childhood</w:t>
      </w:r>
      <w:r w:rsidR="00BE6D81">
        <w:rPr>
          <w:sz w:val="22"/>
          <w:szCs w:val="22"/>
        </w:rPr>
        <w:t xml:space="preserve"> and</w:t>
      </w:r>
      <w:r w:rsidRPr="005B64D9">
        <w:rPr>
          <w:sz w:val="22"/>
          <w:szCs w:val="22"/>
        </w:rPr>
        <w:t xml:space="preserve"> to have limited lung function compared to those born preterm without BPD.</w:t>
      </w:r>
      <w:r w:rsidRPr="005B64D9">
        <w:rPr>
          <w:rFonts w:eastAsia="Times New Roman"/>
          <w:sz w:val="22"/>
          <w:szCs w:val="22"/>
          <w:lang w:eastAsia="en-GB"/>
        </w:rPr>
        <w:fldChar w:fldCharType="begin"/>
      </w:r>
      <w:r>
        <w:rPr>
          <w:rFonts w:eastAsia="Times New Roman"/>
          <w:sz w:val="22"/>
          <w:szCs w:val="22"/>
          <w:lang w:eastAsia="en-GB"/>
        </w:rPr>
        <w:instrText xml:space="preserve"> ADDIN ZOTERO_ITEM CSL_CITATION {"citationID":"a3mgi8k89m","properties":{"formattedCitation":"(Dassios &amp; Greenough, 2021; Greenough, 2000, 2006; Sun et al., 2023)","plainCitation":"(Dassios &amp; Greenough, 2021; Greenough, 2000, 2006; Sun et al., 2023)","noteIndex":0},"citationItems":[{"id":582,"uris":["http://zotero.org/users/14418362/items/WE8AKN3D"],"itemData":{"id":582,"type":"article-journal","container-title":"Seminars in Neonatology","DOI":"10.1053/siny.1999.0006","ISSN":"10842756","issue":"2","journalAbbreviation":"Seminars in Neonatology","language":"en","license":"https://www.elsevier.com/tdm/userlicense/1.0/","page":"119-126","source":"DOI.org (Crossref)","title":"Measuring respiratory outcome","URL":"https://linkinghub.elsevier.com/retrieve/pii/S1084275699900064","volume":"5","author":[{"family":"Greenough","given":"Anne"}],"accessed":{"date-parts":[["2024",6,12]]},"issued":{"date-parts":[["2000",5]]}}},{"id":581,"uris":["http://zotero.org/users/14418362/items/5DU74E5B"],"itemData":{"id":581,"type":"article-journal","container-title":"Paediatric Respiratory Reviews","DOI":"10.1016/j.prrv.2006.04.206","ISSN":"15260542","journalAbbreviation":"Paediatric Respiratory Reviews","language":"en","license":"https://www.elsevier.com/tdm/userlicense/1.0/","page":"S189-S191","source":"DOI.org (Crossref)","title":"Bronchopulmonary dysplasia – Long term follow up","URL":"https://linkinghub.elsevier.com/retrieve/pii/S1526054206002363","volume":"7","author":[{"family":"Greenough","given":"Anne"}],"accessed":{"date-parts":[["2024",6,12]]},"issued":{"date-parts":[["2006",1]]}}},{"id":583,"uris":["http://zotero.org/users/14418362/items/2J47ZCHK"],"itemData":{"id":583,"type":"chapter","container-title":"Respiratory Diseases of the Newborn Infant","event-place":"Sheffield, United Kingdom","ISBN":"978-1-84984-136-8","language":"en","note":"DOI: 10.1183/2312508X.10013720","page":"68-78","publisher":"European Respiratory Society","publisher-place":"Sheffield, United Kingdom","source":"DOI.org (Crossref)","title":"Long-term sequelae of bronchopulmonary dysplasia","URL":"http://erspublications.com/lookup/doi/10.1183/2312508X.10013720","editor":[{"family":"Sinha","given":"Ian P."},{"family":"Bhatt","given":"Jayesh Mahendra"},{"family":"Cleator","given":"Alex"},{"family":"Wallace","given":"Helen"}],"author":[{"family":"Dassios","given":"Theodore"},{"family":"Greenough","given":"Anne"}],"accessed":{"date-parts":[["2024",6,12]]},"issued":{"date-parts":[["2021",6]]}}},{"id":601,"uris":["http://zotero.org/users/14418362/items/X5EYGSWQ"],"itemData":{"id":601,"type":"article-journal","abstract":"Abstract\n            \n              Background\n              This study aimed to systematically review and meta-analyze the available literature on the association between preterm infant bronchopulmonary dysplasia (BPD) and pre-adulthood asthma.\n            \n            \n              Methods\n              Studies examining the association between BPD and asthma in children and adolescents were systematically reviewed, and a meta-analysis was conducted. We searched Scopus, Embase, Web of Science, PubMed, and Cochrane Library from the database inception to March 26, 2022. The pooled odds ratio (OR) estimate was used in our meta-analysis to calculate the correlation between BPD and the probability of developing asthma before adulthood. Stata 12.0 was used to conduct the statistical analysis.\n            \n            \n              Results\n              \n                The correlation between asthma and BPD in preterm newborns was examined in nine studies. We used a random effect model to pool the OR estimate. Our results indicated a marked increase in the risk of subsequent asthma in preterm infants with BPD [OR</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1.73, 95% confidence interval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1.43–2.09]. Moreover, there was no obvious heterogeneity across the studies (\n                P\n                </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0.617,\n                I\n                2\n                </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0%). The pooled OR remained stable and ranged from 1.65 (95%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1.35–2.01) to 1.78 (95%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1.43–2.21). Regarding publication bias, the funnel plot for asthma risk did not reveal any noticeable asymmetry. We further performed Begg’s and Egger’s tests to quantitatively evaluate publication bias. There was no evidence of a publication bias for asthma risk (\n                P\n                </w:instrText>
      </w:r>
      <w:r>
        <w:rPr>
          <w:rFonts w:ascii="Arial" w:eastAsia="Times New Roman" w:hAnsi="Arial" w:cs="Arial"/>
          <w:sz w:val="22"/>
          <w:szCs w:val="22"/>
          <w:lang w:eastAsia="en-GB"/>
        </w:rPr>
        <w:instrText> </w:instrText>
      </w:r>
      <w:r>
        <w:rPr>
          <w:rFonts w:eastAsia="Times New Roman"/>
          <w:sz w:val="22"/>
          <w:szCs w:val="22"/>
          <w:lang w:eastAsia="en-GB"/>
        </w:rPr>
        <w:instrText>&gt; |\n                Z\n                | =</w:instrText>
      </w:r>
      <w:r>
        <w:rPr>
          <w:rFonts w:ascii="Arial" w:eastAsia="Times New Roman" w:hAnsi="Arial" w:cs="Arial"/>
          <w:sz w:val="22"/>
          <w:szCs w:val="22"/>
          <w:lang w:eastAsia="en-GB"/>
        </w:rPr>
        <w:instrText> </w:instrText>
      </w:r>
      <w:r>
        <w:rPr>
          <w:rFonts w:eastAsia="Times New Roman"/>
          <w:sz w:val="22"/>
          <w:szCs w:val="22"/>
          <w:lang w:eastAsia="en-GB"/>
        </w:rPr>
        <w:instrText xml:space="preserve">0.602 for Begg’s test, and\n                P\n                </w:instrText>
      </w:r>
      <w:r>
        <w:rPr>
          <w:rFonts w:ascii="Arial" w:eastAsia="Times New Roman" w:hAnsi="Arial" w:cs="Arial"/>
          <w:sz w:val="22"/>
          <w:szCs w:val="22"/>
          <w:lang w:eastAsia="en-GB"/>
        </w:rPr>
        <w:instrText> </w:instrText>
      </w:r>
      <w:r>
        <w:rPr>
          <w:rFonts w:eastAsia="Times New Roman"/>
          <w:sz w:val="22"/>
          <w:szCs w:val="22"/>
          <w:lang w:eastAsia="en-GB"/>
        </w:rPr>
        <w:instrText>&gt; |\n                t\n                | =</w:instrText>
      </w:r>
      <w:r>
        <w:rPr>
          <w:rFonts w:ascii="Arial" w:eastAsia="Times New Roman" w:hAnsi="Arial" w:cs="Arial"/>
          <w:sz w:val="22"/>
          <w:szCs w:val="22"/>
          <w:lang w:eastAsia="en-GB"/>
        </w:rPr>
        <w:instrText> </w:instrText>
      </w:r>
      <w:r>
        <w:rPr>
          <w:rFonts w:eastAsia="Times New Roman"/>
          <w:sz w:val="22"/>
          <w:szCs w:val="22"/>
          <w:lang w:eastAsia="en-GB"/>
        </w:rPr>
        <w:instrText>0.991 for Egger’s test).\n              \n            \n            \n              Conclusions\n              Our findings indicate that preterm infants with BPD have a much higher risk of developing asthma in the future (OR</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1.73, 95%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1.43–2.09). Preterm infants with BPD may benefit from long-term follow-up.","container-title":"World Journal of Pediatrics","DOI":"10.1007/s12519-023-00701-1","ISSN":"1708-8569, 1867-0687","issue":"6","journalAbbreviation":"World J Pediatr","language":"en","page":"549-556","source":"DOI.org (Crossref)","title":"Risk of asthma in preterm infants with bronchopulmonary dysplasia: a systematic review and meta-analysis","title-short":"Risk of asthma in preterm infants with bronchopulmonary dysplasia","URL":"https://link.springer.com/10.1007/s12519-023-00701-1","volume":"19","author":[{"family":"Sun","given":"Tong"},{"family":"Yu","given":"Hai-Yang"},{"family":"Yang","given":"Miao"},{"family":"Song","given":"Yi-Fan"},{"family":"Fu","given":"Jian-Hua"}],"accessed":{"date-parts":[["2024",6,14]]},"issued":{"date-parts":[["2023",6]]}}}],"schema":"https://github.com/citation-style-language/schema/raw/master/csl-citation.json"} </w:instrText>
      </w:r>
      <w:r w:rsidRPr="005B64D9">
        <w:rPr>
          <w:rFonts w:eastAsia="Times New Roman"/>
          <w:sz w:val="22"/>
          <w:szCs w:val="22"/>
          <w:lang w:eastAsia="en-GB"/>
        </w:rPr>
        <w:fldChar w:fldCharType="separate"/>
      </w:r>
      <w:r>
        <w:rPr>
          <w:rFonts w:cs="Times New Roman"/>
          <w:sz w:val="22"/>
          <w:szCs w:val="22"/>
        </w:rPr>
        <w:t>(Dassios &amp; Greenough, 2021; Greenough, 2000, 2006; Sun et al., 2023)</w:t>
      </w:r>
      <w:r w:rsidRPr="005B64D9">
        <w:rPr>
          <w:rFonts w:eastAsia="Times New Roman"/>
          <w:sz w:val="22"/>
          <w:szCs w:val="22"/>
          <w:lang w:eastAsia="en-GB"/>
        </w:rPr>
        <w:fldChar w:fldCharType="end"/>
      </w:r>
    </w:p>
    <w:p w14:paraId="759F8694" w14:textId="77777777" w:rsidR="005D240B" w:rsidRPr="005B64D9" w:rsidRDefault="005D240B" w:rsidP="005D240B">
      <w:pPr>
        <w:spacing w:line="480" w:lineRule="auto"/>
        <w:jc w:val="both"/>
        <w:rPr>
          <w:color w:val="000000" w:themeColor="text1"/>
          <w:sz w:val="22"/>
          <w:szCs w:val="22"/>
        </w:rPr>
      </w:pPr>
    </w:p>
    <w:p w14:paraId="03FACDBC" w14:textId="53B0D55C" w:rsidR="005D240B" w:rsidRDefault="00BE6D81" w:rsidP="005D240B">
      <w:pPr>
        <w:spacing w:line="480" w:lineRule="auto"/>
        <w:jc w:val="both"/>
        <w:rPr>
          <w:sz w:val="22"/>
          <w:szCs w:val="22"/>
        </w:rPr>
      </w:pPr>
      <w:r w:rsidRPr="005B64D9">
        <w:rPr>
          <w:color w:val="000000" w:themeColor="text1"/>
          <w:sz w:val="22"/>
          <w:szCs w:val="22"/>
        </w:rPr>
        <w:t>The heterogeneity of the disease has hampered efforts to identify reliable, consistent biomarkers.</w:t>
      </w:r>
      <w:r>
        <w:rPr>
          <w:color w:val="000000" w:themeColor="text1"/>
          <w:sz w:val="22"/>
          <w:szCs w:val="22"/>
        </w:rPr>
        <w:t xml:space="preserve"> </w:t>
      </w:r>
      <w:r w:rsidR="005D240B" w:rsidRPr="005B64D9">
        <w:rPr>
          <w:color w:val="000000" w:themeColor="text1"/>
          <w:sz w:val="22"/>
          <w:szCs w:val="22"/>
        </w:rPr>
        <w:t xml:space="preserve">Understanding the molecular mechanisms that contribute to BPD could aid in risk prediction, targeted therapies, and understanding disease mechanisms. </w:t>
      </w:r>
      <w:r w:rsidR="005D240B">
        <w:rPr>
          <w:sz w:val="22"/>
          <w:szCs w:val="22"/>
        </w:rPr>
        <w:t>A</w:t>
      </w:r>
      <w:r w:rsidR="005D240B" w:rsidRPr="005B64D9">
        <w:rPr>
          <w:sz w:val="22"/>
          <w:szCs w:val="22"/>
        </w:rPr>
        <w:t>longside evidence from twin studies pointing to a possible heritable component in BPD</w:t>
      </w:r>
      <w:r w:rsidR="0065547A">
        <w:rPr>
          <w:sz w:val="22"/>
          <w:szCs w:val="22"/>
        </w:rPr>
        <w:t xml:space="preserve"> </w:t>
      </w:r>
      <w:r w:rsidR="005D240B" w:rsidRPr="005B64D9">
        <w:rPr>
          <w:color w:val="000000" w:themeColor="text1"/>
          <w:sz w:val="22"/>
          <w:szCs w:val="22"/>
        </w:rPr>
        <w:fldChar w:fldCharType="begin"/>
      </w:r>
      <w:r w:rsidR="005D240B">
        <w:rPr>
          <w:color w:val="000000" w:themeColor="text1"/>
          <w:sz w:val="22"/>
          <w:szCs w:val="22"/>
        </w:rPr>
        <w:instrText xml:space="preserve"> ADDIN ZOTERO_ITEM CSL_CITATION {"citationID":"TugNsHcX","properties":{"formattedCitation":"(Bhandari et al., 2006; Lavoie et al., 2008)","plainCitation":"(Bhandari et al., 2006; Lavoie et al., 2008)","noteIndex":0},"citationItems":[{"id":21,"uris":["http://zotero.org/users/14418362/items/P6YNYH5C"],"itemData":{"id":21,"type":"article-journal","abstract":"OBJECTIVE. The goal was to determine the magnitude of genetic effects on susceptibility and risk factors for bronchopulmonary dysplasia by using the clinically validated National Institutes of Health consensus deﬁnition as a demonstrated proxy for long-term respiratory and neurodevelopmental outcomes in extremely low birth weight infants. www.pediatrics.org/cgi/doi/10.1542/ peds.2007-2313 doi:10.1542/peds.2007-2313 Key Words\nMETHODS. We analyzed clinical data from twin pairs born at </w:instrText>
      </w:r>
      <w:r w:rsidR="005D240B">
        <w:rPr>
          <w:rFonts w:ascii="Sylfaen" w:hAnsi="Sylfaen" w:cs="Sylfaen"/>
          <w:color w:val="000000" w:themeColor="text1"/>
          <w:sz w:val="22"/>
          <w:szCs w:val="22"/>
        </w:rPr>
        <w:instrText>Յ</w:instrText>
      </w:r>
      <w:r w:rsidR="005D240B">
        <w:rPr>
          <w:color w:val="000000" w:themeColor="text1"/>
          <w:sz w:val="22"/>
          <w:szCs w:val="22"/>
        </w:rPr>
        <w:instrText xml:space="preserve">30 completed weeks of bronchopulmonary dysplasia, infant, gestation in British Columbia, Canada, between 1993 and 2006. Differences in correlations between monozygotic and dizygotic twin pairs and model-ﬁtting approaches were used to quantify the relative contributions of genetic, shared environmental, and nonshared environmental effects. premature, twin study, heritability, patent ductus arteriosus Abbreviations RDS—respiratory distress syndrome BPD— bronchopulmonary dysplasia\nRESULTS. Among 318 twins of known zygosity, monozygotic twin pair similarities were greater than those observed for dizygotic pairs, which suggests signiﬁcant heritability NICHD—National Institute of Child Health and Human Development PMA—postmenstrual age for bronchopulmonary dysplasia. Model-ﬁtting analyses conﬁrmed that genetic ef- PDA—patent ductus arteriosus fects accounted for 82% and 79% of the observed variance in bronchopulmonary Accepted for publication Dec 13, 2007 dysplasia susceptibility, deﬁned on the basis of the need for supplemental oxygen at 36 weeks or the National Institutes of Health consensus deﬁnition, respectively. Variations in rates of hemodynamically signiﬁcant patent ductus arteriosus were Address correspondence to Pascal M. Lavoie, MD, PhD, FRCPC, Department of Pediatrics, Division of Neonatology, Children’s and Women’s Health Centre of British Columbia, largely accounted for by genetic effects, whereas the observed variability in susceptibility to blood-borne bacterial infections was largely attributable to environmental factors, both common and unique to each infant. Room 1R47, 4480 Oak St, Vancouver BC, Canada V6H 3V4. E-mail: plavoie@cw.bc.ca PEDIATRICS (ISSN Numbers: Print, 0031-4005; Online, 1098-4275). Copyright © 2008 by the American Academy of Pediatrics\nCONCLUSIONS. Susceptibility to bronchopulmonary dysplasia and persistence of patent ductus arteriosus are both signiﬁcantly heritable. Our study strengthens the case for investigating genetic risk stratiﬁcation markers useful for predicting the most signiﬁcant long-term respiratory and neurodevelopmental consequences of bronchopulmonary dysplasia in premature neonates. Pediatrics 2008;122: 479–485","container-title":"Pediatrics","DOI":"10.1542/peds.2007-2313","ISSN":"0031-4005, 1098-4275","issue":"3","language":"en","page":"479-485","source":"DOI.org (Crossref)","title":"Heritability of Bronchopulmonary Dysplasia, Defined According to the Consensus Statement of the National Institutes of Health","URL":"https://publications.aap.org/pediatrics/article/122/3/479/72260/Heritability-of-Bronchopulmonary-Dysplasia-Defined","volume":"122","author":[{"family":"Lavoie","given":"Pascal M."},{"family":"Pham","given":"Chandra"},{"family":"Jang","given":"Kerry L."}],"accessed":{"date-parts":[["2024",6,3]]},"issued":{"date-parts":[["2008",9,1]]}}},{"id":20,"uris":["http://zotero.org/users/14418362/items/I6L7N3HA"],"itemData":{"id":20,"type":"article-journal","abstract":"BACKGROUND. Intraventricular hemorrhage, necrotizing enterocolitis, and bronchopulmonary dysplasia remain signiﬁcant causes of morbidity and mortality in preterm newborns.\nOBJECTIVES. Our goal was to assess the familial and genetic susceptibility to intraventricular hemorrhage, necrotizing enterocolitis, and bronchopulmonary dysplasia.\nMETHODS. Mixed-effects logistic-regression and latent variable probit model analysis were used to assess the contribution of several covariates in a multicenter retrospective study of 450 twin pairs born at </w:instrText>
      </w:r>
      <w:r w:rsidR="005D240B">
        <w:rPr>
          <w:rFonts w:ascii="Sylfaen" w:hAnsi="Sylfaen" w:cs="Sylfaen"/>
          <w:color w:val="000000" w:themeColor="text1"/>
          <w:sz w:val="22"/>
          <w:szCs w:val="22"/>
        </w:rPr>
        <w:instrText>Յ</w:instrText>
      </w:r>
      <w:r w:rsidR="005D240B">
        <w:rPr>
          <w:color w:val="000000" w:themeColor="text1"/>
          <w:sz w:val="22"/>
          <w:szCs w:val="22"/>
        </w:rPr>
        <w:instrText xml:space="preserve">32 weeks of gestation. To determine the genetic contribution, concordance rates in a subset of 252 monozygotic and dizygotic twin pairs were compared.\nRESULTS. The study population had a mean gestational age of 29 weeks and birth weight of 1286 g. After controlling for effects of covariates, the twin data showed that 41.3%, 51.9%, and 65.2%, respectively, of the variances in liability for intraventricular hemorrhage, necrotizing enterocolitis, and bronchopulmonary dysplasia could be accounted for by genetic and shared environmental factors. Among the 63 monozygotic twin pairs, the observed concordance for bronchopulmonary dysplasia was signiﬁcantly higher than the expected concordance; 12 of 18 monozygotic twin pairs with </w:instrText>
      </w:r>
      <w:r w:rsidR="005D240B">
        <w:rPr>
          <w:rFonts w:ascii="Sylfaen" w:hAnsi="Sylfaen" w:cs="Sylfaen"/>
          <w:color w:val="000000" w:themeColor="text1"/>
          <w:sz w:val="22"/>
          <w:szCs w:val="22"/>
        </w:rPr>
        <w:instrText>Ն</w:instrText>
      </w:r>
      <w:r w:rsidR="005D240B">
        <w:rPr>
          <w:color w:val="000000" w:themeColor="text1"/>
          <w:sz w:val="22"/>
          <w:szCs w:val="22"/>
        </w:rPr>
        <w:instrText xml:space="preserve">1 affected member had both members affected versus 3.69 expected. After controlling for covariates, genetic factors accounted for 53% of the variance in liability for bronchopulmonary dysplasia.\nCONCLUSIONS. Twin analyses show that intraventricular hemorrhage, necrotizing enterocolitis, and bronchopulmonary dysplasia are familial in origin. These data demonstrate, for the ﬁrst time, the signiﬁcant genetic susceptibility for bronchopulmonary dysplasia in preterm infants.","container-title":"Pediatrics","DOI":"10.1542/peds.2005-1414","ISSN":"0031-4005, 1098-4275","issue":"6","language":"en","page":"1901-1906","source":"DOI.org (Crossref)","title":"Familial and Genetic Susceptibility to Major Neonatal Morbidities in Preterm Twins","URL":"https://publications.aap.org/pediatrics/article/117/6/1901/69470/Familial-and-Genetic-Susceptibility-to-Major","volume":"117","author":[{"family":"Bhandari","given":"Vineet"},{"family":"Bizzarro","given":"Matthew J."},{"family":"Shetty","given":"Anupama"},{"family":"Zhong","given":"Xiaoyun"},{"family":"Page","given":"Grier P."},{"family":"Zhang","given":"Heping"},{"family":"Ment","given":"Laura R."},{"family":"Gruen","given":"Jeffrey R."},{"literal":"for the Neonatal Genetics Study Group"}],"accessed":{"date-parts":[["2024",6,3]]},"issued":{"date-parts":[["2006",6,1]]}}}],"schema":"https://github.com/citation-style-language/schema/raw/master/csl-citation.json"} </w:instrText>
      </w:r>
      <w:r w:rsidR="005D240B" w:rsidRPr="005B64D9">
        <w:rPr>
          <w:color w:val="000000" w:themeColor="text1"/>
          <w:sz w:val="22"/>
          <w:szCs w:val="22"/>
        </w:rPr>
        <w:fldChar w:fldCharType="separate"/>
      </w:r>
      <w:r w:rsidR="005D240B">
        <w:rPr>
          <w:rFonts w:cs="Times New Roman"/>
          <w:color w:val="000000" w:themeColor="text1"/>
          <w:sz w:val="22"/>
          <w:szCs w:val="22"/>
        </w:rPr>
        <w:t>(Bhandari et al., 2006; Lavoie et al., 2008)</w:t>
      </w:r>
      <w:r w:rsidR="005D240B" w:rsidRPr="005B64D9">
        <w:rPr>
          <w:color w:val="000000" w:themeColor="text1"/>
          <w:sz w:val="22"/>
          <w:szCs w:val="22"/>
        </w:rPr>
        <w:fldChar w:fldCharType="end"/>
      </w:r>
      <w:r w:rsidR="005D240B" w:rsidRPr="005B64D9">
        <w:rPr>
          <w:color w:val="000000" w:themeColor="text1"/>
          <w:sz w:val="22"/>
          <w:szCs w:val="22"/>
        </w:rPr>
        <w:t xml:space="preserve"> some candidates have been identified (e.g. SPOCK2, CRP)</w:t>
      </w:r>
      <w:r w:rsidR="005D240B">
        <w:rPr>
          <w:color w:val="000000" w:themeColor="text1"/>
          <w:sz w:val="22"/>
          <w:szCs w:val="22"/>
        </w:rPr>
        <w:t>. Though</w:t>
      </w:r>
      <w:r w:rsidR="005D240B" w:rsidRPr="005B64D9">
        <w:rPr>
          <w:color w:val="000000" w:themeColor="text1"/>
          <w:sz w:val="22"/>
          <w:szCs w:val="22"/>
        </w:rPr>
        <w:t xml:space="preserve"> no gene has been significantly associated with the development of BPD via Genome Wide Association Studies (GWAS) or exome sequencing.</w:t>
      </w:r>
      <w:r w:rsidR="005D240B" w:rsidRPr="005B64D9">
        <w:rPr>
          <w:color w:val="000000" w:themeColor="text1"/>
          <w:sz w:val="22"/>
          <w:szCs w:val="22"/>
        </w:rPr>
        <w:fldChar w:fldCharType="begin"/>
      </w:r>
      <w:r w:rsidR="005D240B">
        <w:rPr>
          <w:color w:val="000000" w:themeColor="text1"/>
          <w:sz w:val="22"/>
          <w:szCs w:val="22"/>
        </w:rPr>
        <w:instrText xml:space="preserve"> ADDIN ZOTERO_ITEM CSL_CITATION {"citationID":"kXMrB53G","properties":{"formattedCitation":"(Ambalavanan et al., 2015; Hadchouel et al., 2011; Mahlman et al., 2017; Torgerson et al., 2018; H. Wang et al., 2013)","plainCitation":"(Ambalavanan et al., 2015; Hadchouel et al., 2011; Mahlman et al., 2017; Torgerson et al., 2018; H. Wang et al., 2013)","noteIndex":0},"citationItems":[{"id":16,"uris":["http://zotero.org/users/14418362/items/MBS3TYY6"],"itemData":{"id":16,"type":"article-journal","container-title":"American Journal of Respiratory and Critical Care Medicine","DOI":"10.1164/rccm.201103-0548OC","ISSN":"1073-449X, 1535-4970","issue":"10","journalAbbreviation":"Am J Respir Crit Care Med","language":"en","page":"1164-1170","source":"DOI.org (Crossref)","title":"Identification of &lt;i&gt;SPOCK2&lt;/i&gt; As a Susceptibility Gene for Bronchopulmonary Dysplasia","URL":"https://www.atsjournals.org/doi/10.1164/rccm.201103-0548OC","volume":"184","author":[{"family":"Hadchouel","given":"Alice"},{"family":"Durrmeyer","given":"Xavier"},{"family":"Bouzigon","given":"Emmanuelle"},{"family":"Incitti","given":"Roberto"},{"family":"Huusko","given":"Johanna"},{"family":"Jarreau","given":"Pierre-Henri"},{"family":"Lenclen","given":"Richard"},{"family":"Demenais","given":"Florence"},{"family":"Franco-Montoya","given":"Marie-Laure"},{"family":"Layouni","given":"Inès"},{"family":"Patkai","given":"Juliana"},{"family":"Bourbon","given":"Jacques"},{"family":"Hallman","given":"Mikko"},{"family":"Danan","given":"Claude"},{"family":"Delacourt","given":"Christophe"}],"accessed":{"date-parts":[["2024",6,3]]},"issued":{"date-parts":[["2011",11,15]]}}},{"id":551,"uris":["http://zotero.org/users/14418362/items/7XRQX92N"],"itemData":{"id":551,"type":"article-journal","abstract":"OBJECTIVE:\n              Twin studies suggest that heritability of moderate-severe bronchopulmonary dysplasia (BPD) is 53% to 79%, we conducted a genome-wide association study (GWAS) to identify genetic variants associated with the risk for BPD.\n            \n            \n              METHODS:\n              The discovery GWAS was completed on 1726 very low birth weight infants (gestational age = 250–296/7 weeks) who had a minimum of 3 days of intermittent positive pressure ventilation and were in the hospital at 36 weeks’ postmenstrual age. At 36 weeks’ postmenstrual age, moderate-severe BPD cases (n = 899) were defined as requiring continuous supplemental oxygen, whereas controls (n = 827) inhaled room air. An additional 795 comparable infants (371 cases, 424 controls) were a replication population. Genomic DNA from case and control newborn screening bloodspots was used for the GWAS. The replication study interrogated single-nucleotide polymorphisms (SNPs) identified in the discovery GWAS and those within the HumanExome beadchip.\n            \n            \n              RESULTS:\n              Genotyping using genomic DNA was successful. We did not identify SNPs associated with BPD at the genome-wide significance level (5 × 10−8) and no SNP identified in previous studies reached statistical significance (Bonferroni-corrected P value threshold .0018). Pathway analyses were not informative.\n            \n            \n              CONCLUSIONS:\n              We did not identify genomic loci or pathways that account for the previously described heritability for BPD. Potential explanations include causal mutations that are genetic variants and were not assayed or are mapped to many distributed loci, inadequate sample size, race ethnicity of our study population, or case-control differences investigated are not attributable to underlying common genetic variation.","container-title":"Pediatrics","DOI":"10.1542/peds.2013-0533","ISSN":"0031-4005, 1098-4275","issue":"2","language":"en","page":"290-297","source":"DOI.org (Crossref)","title":"A Genome-Wide Association Study (GWAS) for Bronchopulmonary Dysplasia","URL":"https://publications.aap.org/pediatrics/article/132/2/290/31355/A-Genome-Wide-Association-Study-GWAS-for","volume":"132","author":[{"family":"Wang","given":"Hui"},{"family":"St. Julien","given":"Krystal R."},{"family":"Stevenson","given":"David K."},{"family":"Hoffmann","given":"Thomas J."},{"family":"Witte","given":"John S."},{"family":"Lazzeroni","given":"Laura C."},{"family":"Krasnow","given":"Mark A."},{"family":"Quaintance","given":"Cecele C."},{"family":"Oehlert","given":"John W."},{"family":"Jelliffe-Pawlowski","given":"Laura L."},{"family":"Gould","given":"Jeffrey B."},{"family":"Shaw","given":"Gary M."},{"family":"O’Brodovich","given":"Hugh M."}],"accessed":{"date-parts":[["2024",6,11]]},"issued":{"date-parts":[["2013",8,1]]}}},{"id":14,"uris":["http://zotero.org/users/14418362/items/CIY4TZNQ"],"itemData":{"id":14,"type":"article-journal","abstract":"Objective To identify single-nucleotide polymorphisms (SNPs) and pathways associated with bronchopulmonary dysplasia (BPD) because O2 requirement at 36 weeks’ postmenstrual age risk is strongly inﬂuenced by heritable factors. Study design A genome-wide scan was conducted on 1.2 million genotyped SNPs, and an additional 7 million imputed SNPs, using a DNA repository of extremely low birth weight infants. Genome-wide association and gene set analysis was performed for BPD or death, severe BPD or death, and severe BPD in survivors. Speciﬁc targets were validated via the use of gene expression in BPD lung tissue and in mouse models.\nResults Of 751 infants analyzed, 428 developed BPD or died. No SNPs achieved genome-wide signiﬁcance (P &lt; 10À8), although multiple SNPs in adenosine deaminase, CD44, and other genes were just below P &lt; 10À6. Of approximately 8000 pathways, 75 were signiﬁcant at false discovery rate (FDR) &lt;0.1 and P &lt; .001 for BPD/death, 95 for severe BPD/death, and 90 for severe BPD in survivors. The pathway with lowest FDR was miR-219 targets (P = 1.41E-08, FDR 9.5E-05) for BPD/death and phosphorous oxygen lyase activity (includes adenylate and guanylate cyclases) for both severe BPD/death (P = 5.68E-08, FDR 0.00019) and severe BPD in survivors (P = 3.91E-08, FDR 0.00013). Gene expression analysis conﬁrmed signiﬁcantly increased miR-219 and CD44 in BPD.\nConclusions Pathway analyses conﬁrmed involvement of known pathways of lung development and repair (CD44, phosphorus oxygen lyase activity) and indicated novel molecules and pathways (adenosine deaminase, targets of miR-219) involved in genetic predisposition to BPD. (J Pediatr 2015;166:531-37).","container-title":"The Journal of Pediatrics","DOI":"10.1016/j.jpeds.2014.09.052","ISSN":"00223476","issue":"3","journalAbbreviation":"The Journal of Pediatrics","language":"en","page":"531-537.e13","source":"DOI.org (Crossref)","title":"Integrated Genomic Analyses in Bronchopulmonary Dysplasia","URL":"https://linkinghub.elsevier.com/retrieve/pii/S0022347614009032","volume":"166","author":[{"family":"Ambalavanan","given":"Namasivayam"},{"family":"Cotten","given":"C. Michael"},{"family":"Page","given":"Grier P."},{"family":"Carlo","given":"Waldemar A."},{"family":"Murray","given":"Jeffrey C."},{"family":"Bhattacharya","given":"Soumyaroop"},{"family":"Mariani","given":"Thomas J."},{"family":"Cuna","given":"Alain C."},{"family":"Faye-Petersen","given":"Ona M."},{"family":"Kelly","given":"David"},{"family":"Higgins","given":"Rosemary D."}],"accessed":{"date-parts":[["2024",6,3]]},"issued":{"date-parts":[["2015",3]]}}},{"id":18,"uris":["http://zotero.org/users/14418362/items/5M6VC6LE"],"itemData":{"id":18,"type":"article-journal","abstract":"Abstract\n            \n              Bronchopulmonary dysplasia (BPD), the main consequence of prematurity, has a significant heritability, but little is known about predisposing genes. The aim of this study was to identify gene loci predisposing infants to BPD. The initial genome-wide association study (GWAS) included 174 Finnish preterm infants of gestational age 24–30 weeks. Thereafter, the most promising single-nucleotide polymorphisms (SNPs) associated with BPD were genotyped in both Finnish (\n              n\n              </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555) and non-Finnish (\n              n</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 xml:space="preserve">\n              388) replication cohorts. Finally, plasma CRP levels from the first week of life and the risk of BPD were assessed. SNP rs11265269, flanking the\n              CRP\n              gene, showed the strongest signal in GWAS (odds ratio [OR] 3.2,\n              p\n              </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3.4</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 xml:space="preserve">10\n              −6\n              ). This association was nominally replicated in Finnish and French African populations. A number of other SNPs in the\n              CRP\n              region, including rs3093059, had nominal associations with BPD. During the first week of life the elevated plasma levels of CRP predicted the risk of BPD (OR 3.4,\n              p\n              </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2.9</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 xml:space="preserve">10\n              –4\n              ) and the SNP rs3093059 associated nominally with plasma CRP levels. Finally, SNP rs11265269 was identified as a risk factor of BPD (OR 1.8,\n              p\n              </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5.3</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10\n              −5\n              ), independently of the robust antenatal risk factors. As such, in BPD, a potential role for variants near\n              CRP\n              gene is proposed.","container-title":"Scientific Reports","DOI":"10.1038/s41598-017-08977-w","ISSN":"2045-2322","issue":"1","journalAbbreviation":"Sci Rep","language":"en","page":"9271","source":"DOI.org (Crossref)","title":"Genome-wide association study of bronchopulmonary dysplasia: a potential role for variants near the CRP gene","title-short":"Genome-wide association study of bronchopulmonary dysplasia","URL":"https://www.nature.com/articles/s41598-017-08977-w","volume":"7","author":[{"family":"Mahlman","given":"Mari"},{"family":"Karjalainen","given":"Minna K."},{"family":"Huusko","given":"Johanna M."},{"family":"Andersson","given":"Sture"},{"family":"Kari","given":"M. Anneli"},{"family":"Tammela","given":"Outi K. T."},{"family":"Sankilampi","given":"Ulla"},{"family":"Lehtonen","given":"Liisa"},{"family":"Marttila","given":"Riitta H."},{"family":"Bassler","given":"Dirk"},{"family":"Poets","given":"Christian F."},{"family":"Lacaze-Masmonteil","given":"Thierry"},{"family":"Danan","given":"Claude"},{"family":"Delacourt","given":"Christophe"},{"family":"Palotie","given":"Aarno"},{"family":"Muglia","given":"Louis J."},{"family":"Lavoie","given":"Pascal M."},{"family":"Hadchouel","given":"Alice"},{"family":"Rämet","given":"Mika"},{"family":"Hallman","given":"Mikko"}],"accessed":{"date-parts":[["2024",6,3]]},"issued":{"date-parts":[["2017",8,24]]}}},{"id":19,"uris":["http://zotero.org/users/14418362/items/PJ6GGZD2"],"itemData":{"id":19,"type":"article-journal","abstract":"Bronchopulmonary dysplasia in premature infants is a common and often severe lung disease with long-term sequelae. A genetic component is suspected but not fully defined. We performed an ancestry and genome-wide association study to identify variants, genes, and pathways associated with survival without bronchopulmonary dysplasia in 387 high-risk infants treated with inhaled nitric oxide in the Trial of Late Surfactant study. Global African genetic ancestry was associated with increased survival without bronchopulmonary dysplasia among infants of maternal self-reported Hispanic white race/ethnicity [odds ratio (OR)</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4.5, P = 0.01]. Admixture mapping found suggestive outcome associations with local African ancestry at chromosome bands 18q21 and 10q22 among infants of maternal self-reported African-American race/ethnicity. For all infants, the top individual variant identified was within the intron of NBL1, which is expressed in midtrimester lung and is an antagonist of bone morphogenetic proteins ( rs372271081 , OR</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 xml:space="preserve">0.17, P = 7.4 × 10\n              −7\n              ). The protective allele of this variant was significantly associated with lower nitric oxide metabolites in the urine of non-Hispanic white infants ( P = 0.006), supporting a role in the racial differential response to nitric oxide. Interrogating genes upregulated in bronchopulmonary dysplasia lungs indicated association with variants in CCL18, a cytokine associated with fibrosis and interstitial lung disease, and pathway analyses implicated variation in genes involved in immune/inflammatory processes in response to infection and mechanical ventilation. Our results suggest that genetic variation related to lung development, drug metabolism, and immune response contribute to individual and racial/ethnic differences in respiratory outcomes following inhaled nitric oxide treatment of high-risk premature infants.","container-title":"American Journal of Physiology-Lung Cellular and Molecular Physiology","DOI":"10.1152/ajplung.00073.2018","ISSN":"1040-0605, 1522-1504","issue":"5","journalAbbreviation":"American Journal of Physiology-Lung Cellular and Molecular Physiology","language":"en","page":"L858-L869","source":"DOI.org (Crossref)","title":"Ancestry and genetic associations with bronchopulmonary dysplasia in preterm infants","URL":"https://www.physiology.org/doi/10.1152/ajplung.00073.2018","volume":"315","author":[{"family":"Torgerson","given":"Dara G."},{"family":"Ballard","given":"Philip L."},{"family":"Keller","given":"Roberta L."},{"family":"Oh","given":"Sam S."},{"family":"Huntsman","given":"Scott"},{"family":"Hu","given":"Donglei"},{"family":"Eng","given":"Celeste"},{"family":"Burchard","given":"Esteban G."},{"family":"Ballard","given":"Roberta A."},{"literal":"TOLSURF Study Group"}],"accessed":{"date-parts":[["2024",6,3]]},"issued":{"date-parts":[["2018",11,1]]}}}],"schema":"https://github.com/citation-style-language/schema/raw/master/csl-citation.json"} </w:instrText>
      </w:r>
      <w:r w:rsidR="005D240B" w:rsidRPr="005B64D9">
        <w:rPr>
          <w:color w:val="000000" w:themeColor="text1"/>
          <w:sz w:val="22"/>
          <w:szCs w:val="22"/>
        </w:rPr>
        <w:fldChar w:fldCharType="separate"/>
      </w:r>
      <w:r w:rsidR="005D240B">
        <w:rPr>
          <w:rFonts w:cs="Times New Roman"/>
          <w:color w:val="000000" w:themeColor="text1"/>
          <w:sz w:val="22"/>
          <w:szCs w:val="22"/>
        </w:rPr>
        <w:t>(Ambalavanan et al., 2015; Hadchouel et al., 2011; Mahlman et al., 2017; Torgerson et al., 2018; H. Wang et al., 2013)</w:t>
      </w:r>
      <w:r w:rsidR="005D240B" w:rsidRPr="005B64D9">
        <w:rPr>
          <w:color w:val="000000" w:themeColor="text1"/>
          <w:sz w:val="22"/>
          <w:szCs w:val="22"/>
        </w:rPr>
        <w:fldChar w:fldCharType="end"/>
      </w:r>
      <w:r w:rsidR="005D240B" w:rsidRPr="005B64D9">
        <w:rPr>
          <w:color w:val="000000" w:themeColor="text1"/>
          <w:sz w:val="22"/>
          <w:szCs w:val="22"/>
        </w:rPr>
        <w:t xml:space="preserve"> </w:t>
      </w:r>
      <w:r w:rsidR="005D240B">
        <w:rPr>
          <w:sz w:val="22"/>
          <w:szCs w:val="22"/>
        </w:rPr>
        <w:t xml:space="preserve">Recently, </w:t>
      </w:r>
      <w:r w:rsidR="005D240B">
        <w:rPr>
          <w:color w:val="000000" w:themeColor="text1"/>
          <w:sz w:val="22"/>
          <w:szCs w:val="22"/>
        </w:rPr>
        <w:t>t</w:t>
      </w:r>
      <w:r w:rsidR="005D240B" w:rsidRPr="005B64D9">
        <w:rPr>
          <w:color w:val="000000" w:themeColor="text1"/>
          <w:sz w:val="22"/>
          <w:szCs w:val="22"/>
        </w:rPr>
        <w:t xml:space="preserve">ranscriptomic data has been used to identify four endotypes of BPD, distinguished by T helper </w:t>
      </w:r>
      <w:r w:rsidR="005D240B" w:rsidRPr="005B64D9">
        <w:rPr>
          <w:sz w:val="22"/>
          <w:szCs w:val="22"/>
        </w:rPr>
        <w:t>cell and T cell signalling.</w:t>
      </w:r>
      <w:r w:rsidR="005D240B" w:rsidRPr="005B64D9">
        <w:rPr>
          <w:sz w:val="22"/>
          <w:szCs w:val="22"/>
        </w:rPr>
        <w:fldChar w:fldCharType="begin"/>
      </w:r>
      <w:r w:rsidR="005D240B">
        <w:rPr>
          <w:sz w:val="22"/>
          <w:szCs w:val="22"/>
        </w:rPr>
        <w:instrText xml:space="preserve"> ADDIN ZOTERO_ITEM CSL_CITATION {"citationID":"A5WpL8Rw","properties":{"formattedCitation":"(Moreira et al., 2023)","plainCitation":"(Moreira et al., 2023)","noteIndex":0},"citationItems":[{"id":1738,"uris":["http://zotero.org/users/14418362/items/4FM3ID98"],"itemData":{"id":1738,"type":"article-journal","abstract":"IMPACT: Bronchopulmonary dysplasia has multiple definitions that are currently based on phenotypic characteristics. Using an unsupervised machine learning approach, we created BPD subclasses (e.g., endotypes) by clustering whole microarray data. T helper 17 cell differentiation was the most significant pathway differentiating the BPD endotypes., INTRODUCTION: Bronchopulmonary dysplasia (BPD) is the most common complication of extreme prematurity. Discovery of BPD endotypes in an unbiased format, derived from the peripheral blood transcriptome, may uncover patterns underpinning this complex lung disease., METHODS: An unsupervised agglomerative hierarchical clustering approach applied to genome-wide expression of profiling from 62 children at day of life five was used to identify BPD endotypes. To identify which genes were differentially expressed across the BPD endotypes, we formulated a linear model based on least-squares minimization with empirical Bayes statistics., RESULTS: Four BPD endotypes (A, B,C,D) were identified using 7,319 differentially expressed genes. Across BPD endotypes, 5,850 genes had a p value &lt; 0.05 after multiple comparison testing. Endotype A consisted of neonates with a higher gestational age and birthweight. Endotypes B-D included neonates between 25 and 26 weeks and a birthweight range of 640 to 940 g. Endotype D appeared to have a protective role against BPD compared to Endotypes B and C (36% vs. 62% vs. 60%, respectively). The most significant pathway focused on T helper 17 cell differentiation., CONCLUSION: Bioinformatic analyses can help identify BPD endotypes that associate with clinical definitions of BPD. Copyright © 2023. The Author(s).","archive":"Ovid MEDLINE(R) &lt;2023 to 2024&gt;","container-title":"Respiratory research","DOI":"10.1186/s12931-023-02596-y","ISSN":"1465-9921","issue":"1","title":"Leveraging transcriptomics to develop bronchopulmonary dysplasia endotypes: a concept paper.","URL":"http://ovidsp.ovid.com/ovidweb.cgi?T=JS&amp;PAGE=reference&amp;D=med24&amp;NEWS=N&amp;AN=37968635","volume":"24","author":[{"family":"Moreira","given":"Alvaro G"},{"family":"Arora","given":"Tanima"},{"family":"Arya","given":"Shreyas"},{"family":"Winter","given":"Caitlyn"},{"family":"Valadie","given":"Charles T"},{"family":"Kwinta","given":"Przemko"}],"issued":{"date-parts":[["2023"]]}}}],"schema":"https://github.com/citation-style-language/schema/raw/master/csl-citation.json"} </w:instrText>
      </w:r>
      <w:r w:rsidR="005D240B" w:rsidRPr="005B64D9">
        <w:rPr>
          <w:sz w:val="22"/>
          <w:szCs w:val="22"/>
        </w:rPr>
        <w:fldChar w:fldCharType="separate"/>
      </w:r>
      <w:r w:rsidR="005D240B">
        <w:rPr>
          <w:rFonts w:cs="Times New Roman"/>
          <w:sz w:val="22"/>
          <w:szCs w:val="22"/>
        </w:rPr>
        <w:t>(Moreira et al., 2023)</w:t>
      </w:r>
      <w:r w:rsidR="005D240B" w:rsidRPr="005B64D9">
        <w:rPr>
          <w:sz w:val="22"/>
          <w:szCs w:val="22"/>
        </w:rPr>
        <w:fldChar w:fldCharType="end"/>
      </w:r>
      <w:r w:rsidR="005D240B" w:rsidRPr="005B64D9">
        <w:rPr>
          <w:sz w:val="22"/>
          <w:szCs w:val="22"/>
        </w:rPr>
        <w:t xml:space="preserve"> </w:t>
      </w:r>
    </w:p>
    <w:p w14:paraId="327A3697" w14:textId="77777777" w:rsidR="009122EE" w:rsidRPr="005B64D9" w:rsidRDefault="009122EE" w:rsidP="005D240B">
      <w:pPr>
        <w:spacing w:line="480" w:lineRule="auto"/>
        <w:jc w:val="both"/>
        <w:rPr>
          <w:sz w:val="22"/>
          <w:szCs w:val="22"/>
        </w:rPr>
      </w:pPr>
    </w:p>
    <w:p w14:paraId="47B3636A" w14:textId="77777777" w:rsidR="005D240B" w:rsidRPr="005B64D9" w:rsidRDefault="005D240B" w:rsidP="005D240B">
      <w:pPr>
        <w:spacing w:line="480" w:lineRule="auto"/>
        <w:jc w:val="both"/>
        <w:rPr>
          <w:sz w:val="22"/>
          <w:szCs w:val="22"/>
        </w:rPr>
      </w:pPr>
      <w:r w:rsidRPr="005B64D9">
        <w:rPr>
          <w:sz w:val="22"/>
          <w:szCs w:val="22"/>
        </w:rPr>
        <w:t>Comparative transcriptomic analyses across species can provide valuable insights into common mechanisms while also highlighting potential species-specific responses.</w:t>
      </w:r>
      <w:r>
        <w:rPr>
          <w:sz w:val="22"/>
          <w:szCs w:val="22"/>
        </w:rPr>
        <w:t xml:space="preserve"> </w:t>
      </w:r>
      <w:r w:rsidRPr="005B64D9">
        <w:rPr>
          <w:sz w:val="22"/>
          <w:szCs w:val="22"/>
        </w:rPr>
        <w:t xml:space="preserve">Rodent models, </w:t>
      </w:r>
      <w:r w:rsidRPr="005B64D9">
        <w:rPr>
          <w:sz w:val="22"/>
          <w:szCs w:val="22"/>
        </w:rPr>
        <w:lastRenderedPageBreak/>
        <w:t>particularly murine models, have been widely employed to study the pathophysiology of BPD. Anatomical and physiological differences have prevented in-depth research of ventilator induced lung injury in this model and research has concentrated primarily on hyperoxia-induced lung injury, mimicking the impaired alveolar development and inflammation observed in preterm infants.</w:t>
      </w:r>
      <w:r w:rsidRPr="005B64D9">
        <w:rPr>
          <w:sz w:val="22"/>
          <w:szCs w:val="22"/>
        </w:rPr>
        <w:fldChar w:fldCharType="begin"/>
      </w:r>
      <w:r>
        <w:rPr>
          <w:sz w:val="22"/>
          <w:szCs w:val="22"/>
        </w:rPr>
        <w:instrText xml:space="preserve"> ADDIN ZOTERO_ITEM CSL_CITATION {"citationID":"eY47ZLSQ","properties":{"formattedCitation":"(Hurskainen et al., 2021)","plainCitation":"(Hurskainen et al., 2021)","noteIndex":0},"citationItems":[{"id":1115,"uris":["http://zotero.org/users/14418362/items/6CPGENAH"],"itemData":{"id":1115,"type":"article-journal","abstract":"During late lung development, alveolar and microvascular development is finalized to enable sufficient gas exchange. Impaired late lung development manifests as bronchopulmonary dysplasia (BPD) in preterm infants. Single-cell RNA sequencing (scRNA-seq) allows for assessment of complex cellular dynamics during biological processes, such as development. Here, we use MULTI-seq to generate scRNA-seq profiles of over 66,000 cells from 36 mice during normal or impaired lung development secondary to hyperoxia with validation of some of the findings in lungs from BPD patients. We observe dynamic populations of cells, including several rare cell types and putative progenitors. Hyperoxia exposure, which mimics the BPD phenotype, alters the composition of all cellular compartments, particularly alveolar epithelium, stromal fibroblasts, capillary endothelium and macrophage populations. Pathway analysis and predicted dynamic cellular crosstalk suggest inflammatory signaling as the main driver of hyperoxia-induced changes. Our data provides a single-cell view of cellular changes associated with late lung development in health and disease.","archive":"Ovid MEDLINE(R) &lt;2021&gt;","container-title":"Nature communications","DOI":"10.1038/s41467-021-21865-2","ISSN":"2041-1723","issue":"1","title":"Single cell transcriptomic analysis of murine lung development on hyperoxia-induced damage.","URL":"http://ovidsp.ovid.com/ovidweb.cgi?T=JS&amp;PAGE=reference&amp;D=med19&amp;NEWS=N&amp;AN=33692365","volume":"12","author":[{"family":"Hurskainen","given":"Maria"},{"family":"Mizikova","given":"Ivana"},{"family":"Cook","given":"David P"},{"family":"Andersson","given":"Noora"},{"family":"Cyr-Depauw","given":"Chanele"},{"family":"Lesage","given":"Flore"},{"family":"Helle","given":"Emmi"},{"family":"Renesme","given":"Laurent"},{"family":"Jankov","given":"Robert P"},{"family":"Heikinheimo","given":"Markku"},{"family":"Vanderhyden","given":"Barbara C"},{"family":"Thebaud","given":"Bernard"}],"issued":{"date-parts":[["2021"]]}}}],"schema":"https://github.com/citation-style-language/schema/raw/master/csl-citation.json"} </w:instrText>
      </w:r>
      <w:r w:rsidRPr="005B64D9">
        <w:rPr>
          <w:sz w:val="22"/>
          <w:szCs w:val="22"/>
        </w:rPr>
        <w:fldChar w:fldCharType="separate"/>
      </w:r>
      <w:r>
        <w:rPr>
          <w:rFonts w:cs="Times New Roman"/>
          <w:sz w:val="22"/>
          <w:szCs w:val="22"/>
        </w:rPr>
        <w:t>(Hurskainen et al., 2021)</w:t>
      </w:r>
      <w:r w:rsidRPr="005B64D9">
        <w:rPr>
          <w:sz w:val="22"/>
          <w:szCs w:val="22"/>
        </w:rPr>
        <w:fldChar w:fldCharType="end"/>
      </w:r>
      <w:r w:rsidRPr="005B64D9">
        <w:rPr>
          <w:sz w:val="22"/>
          <w:szCs w:val="22"/>
        </w:rPr>
        <w:t xml:space="preserve"> </w:t>
      </w:r>
    </w:p>
    <w:p w14:paraId="47F9A33D" w14:textId="77777777" w:rsidR="005D240B" w:rsidRPr="005B64D9" w:rsidRDefault="005D240B" w:rsidP="005D240B">
      <w:pPr>
        <w:spacing w:line="480" w:lineRule="auto"/>
        <w:jc w:val="both"/>
        <w:rPr>
          <w:sz w:val="22"/>
          <w:szCs w:val="22"/>
        </w:rPr>
      </w:pPr>
    </w:p>
    <w:p w14:paraId="4EF82ACF" w14:textId="2A7F5B8F" w:rsidR="005D240B" w:rsidRPr="005B64D9" w:rsidRDefault="009122EE" w:rsidP="005D240B">
      <w:pPr>
        <w:spacing w:line="480" w:lineRule="auto"/>
        <w:jc w:val="both"/>
        <w:rPr>
          <w:sz w:val="22"/>
          <w:szCs w:val="22"/>
        </w:rPr>
      </w:pPr>
      <w:r w:rsidRPr="009122EE">
        <w:rPr>
          <w:sz w:val="22"/>
          <w:szCs w:val="22"/>
        </w:rPr>
        <w:t xml:space="preserve">Integrating results from heterogenous sources can allow for novel insights. In this study we incorporate insights from genome-scale research to complement the longstanding emphasis on clinical studies in the field.  </w:t>
      </w:r>
      <w:r w:rsidR="005D240B" w:rsidRPr="009122EE">
        <w:rPr>
          <w:sz w:val="22"/>
          <w:szCs w:val="22"/>
        </w:rPr>
        <w:t>We conducted two concurrent systematic reviews of the BPD literature, focusing on genome-scale</w:t>
      </w:r>
      <w:r w:rsidR="005D240B" w:rsidRPr="005B64D9">
        <w:rPr>
          <w:sz w:val="22"/>
          <w:szCs w:val="22"/>
        </w:rPr>
        <w:t xml:space="preserve"> studies in humans and rodents. Results were extracted from identified studies, where possible, and analysed using Meta Analysis by Information Content (MAIC) algorithm. MAIC is a previously described algorithm that uses data-driven gene list weightings to produce a comprehensive ranked list of genes associated with the trait of interest.</w:t>
      </w:r>
      <w:r w:rsidR="005D240B" w:rsidRPr="005B64D9">
        <w:rPr>
          <w:sz w:val="22"/>
          <w:szCs w:val="22"/>
        </w:rPr>
        <w:fldChar w:fldCharType="begin"/>
      </w:r>
      <w:r w:rsidR="005D240B">
        <w:rPr>
          <w:sz w:val="22"/>
          <w:szCs w:val="22"/>
        </w:rPr>
        <w:instrText xml:space="preserve"> ADDIN ZOTERO_ITEM CSL_CITATION {"citationID":"ehZZ6W1l","properties":{"formattedCitation":"(Millar et al., 2024; Parkinson et al., 2020; The GenOMICC Investigators et al., 2021; B. Wang et al., 2022)","plainCitation":"(Millar et al., 2024; Parkinson et al., 2020; The GenOMICC Investigators et al., 2021; B. Wang et al., 2022)","noteIndex":0},"citationItems":[{"id":540,"uris":["http://zotero.org/users/14418362/items/2GA2N3ZL"],"itemData":{"id":540,"type":"article-journal","container-title":"Nature","DOI":"10.1038/s41586-020-03065-y","ISSN":"0028-0836, 1476-4687","issue":"7848","journalAbbreviation":"Nature","language":"en","page":"92-98","source":"DOI.org (Crossref)","title":"Genetic mechanisms of critical illness in COVID-19","URL":"https://www.nature.com/articles/s41586-020-03065-y","volume":"591","author":[{"literal":"The GenOMICC Investigators"},{"literal":"The ISARIC4C Investigators"},{"literal":"The COVID-19 Human Genetics Initiative"},{"literal":"23andMe Investigators"},{"literal":"BRACOVID Investigators"},{"literal":"Gen-COVID Investigators"},{"family":"Pairo-Castineira","given":"Erola"},{"family":"Clohisey","given":"Sara"},{"family":"Klaric","given":"Lucija"},{"family":"Bretherick","given":"Andrew D."},{"family":"Rawlik","given":"Konrad"},{"family":"Pasko","given":"Dorota"},{"family":"Walker","given":"Susan"},{"family":"Parkinson","given":"Nick"},{"family":"Fourman","given":"Max Head"},{"family":"Russell","given":"Clark D."},{"family":"Furniss","given":"James"},{"family":"Richmond","given":"Anne"},{"family":"Gountouna","given":"Elvina"},{"family":"Wrobel","given":"Nicola"},{"family":"Harrison","given":"David"},{"family":"Wang","given":"Bo"},{"family":"Wu","given":"Yang"},{"family":"Meynert","given":"Alison"},{"family":"Griffiths","given":"Fiona"},{"family":"Oosthuyzen","given":"Wilna"},{"family":"Kousathanas","given":"Athanasios"},{"family":"Moutsianas","given":"Loukas"},{"family":"Yang","given":"Zhijian"},{"family":"Zhai","given":"Ranran"},{"family":"Zheng","given":"Chenqing"},{"family":"Grimes","given":"Graeme"},{"family":"Beale","given":"Rupert"},{"family":"Millar","given":"Jonathan"},{"family":"Shih","given":"Barbara"},{"family":"Keating","given":"Sean"},{"family":"Zechner","given":"Marie"},{"family":"Haley","given":"Chris"},{"family":"Porteous","given":"David J."},{"family":"Hayward","given":"Caroline"},{"family":"Yang","given":"Jian"},{"family":"Knight","given":"Julian"},{"family":"Summers","given":"Charlotte"},{"family":"Shankar-Hari","given":"Manu"},{"family":"Klenerman","given":"Paul"},{"family":"Turtle","given":"Lance"},{"family":"Ho","given":"Antonia"},{"family":"Moore","given":"Shona C."},{"family":"Hinds","given":"Charles"},{"family":"Horby","given":"Peter"},{"family":"Nichol","given":"Alistair"},{"family":"Maslove","given":"David"},{"family":"Ling","given":"Lowell"},{"family":"McAuley","given":"Danny"},{"family":"Montgomery","given":"Hugh"},{"family":"Walsh","given":"Timothy"},{"family":"Pereira","given":"Alexandre C."},{"family":"Renieri","given":"Alessandra"},{"family":"Shen","given":"Xia"},{"family":"Ponting","given":"Chris P."},{"family":"Fawkes","given":"Angie"},{"family":"Tenesa","given":"Albert"},{"family":"Caulfield","given":"Mark"},{"family":"Scott","given":"Richard"},{"family":"Rowan","given":"Kathy"},{"family":"Murphy","given":"Lee"},{"family":"Openshaw","given":"Peter J. M."},{"family":"Semple","given":"Malcolm G."},{"family":"Law","given":"Andrew"},{"family":"Vitart","given":"Veronique"},{"family":"Wilson","given":"James F."},{"family":"Baillie","given":"J. Kenneth"}],"accessed":{"date-parts":[["2024",6,11]]},"issued":{"date-parts":[["2021",3,4]]}}},{"id":2377,"uris":["http://zotero.org/users/14418362/items/WBGNVTKH"],"itemData":{"id":2377,"type":"article-journal","abstract":"OR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Kenneth"},{"family":"Clohisey","given":"Sara"}],"accessed":{"date-parts":[["2025",3,21]]},"issued":{"date-parts":[["2020",12,18]]}}},{"id":2393,"uris":["http://zotero.org/users/14418362/items/LDUXIVGQ"],"itemData":{"id":2393,"type":"article-journal","abstract":"Motivation: A common experimental output in biomedical science is a list of genes implicated in a given biological process or disease. The gene lists resulting from a group of studies answering the same, or similar, questions can be combined by ranking aggregation methods to ﬁnd a consensus or a more reliable answer. Evaluating a ranking aggregation method on a speciﬁc type of data before using it is required to support the reliability since the property of a dataset can inﬂuence the performance of an algorithm. Such evaluation on gene lists is usually based on a simulated database because of the lack of a known truth for real data. However, simulated datasets tend to be too small compared to experimental data and neglect key features, including heterogeneity of quality, relevance and the inclusion of unranked lists.","container-title":"Bioinformatics","DOI":"10.1093/bioinformatics/btac621","ISSN":"1367-4803, 1367-4811","issue":"21","language":"en","license":"https://creativecommons.org/licenses/by/4.0/","page":"4927-4933","source":"DOI.org (Crossref)","title":"Systematic comparison of ranking aggregation methods for gene lists in experimental results","URL":"https://academic.oup.com/bioinformatics/article/38/21/4927/6696211","volume":"38","author":[{"family":"Wang","given":"Bo"},{"family":"Law","given":"Andy"},{"family":"Regan","given":"Tim"},{"family":"Parkinson","given":"Nicholas"},{"family":"Cole","given":"Joby"},{"family":"Russell","given":"Clark D"},{"family":"Dockrell","given":"David H"},{"family":"Gutmann","given":"Michael U"},{"family":"Baillie","given":"J Kenneth"}],"editor":[{"family":"Lu","given":"Zhiyong"}],"accessed":{"date-parts":[["2025",3,25]]},"issued":{"date-parts":[["2022",10,31]]}}},{"id":2244,"uris":["http://zotero.org/users/14418362/items/WPBH2JSR"],"itemData":{"id":2244,"type":"article","abstract":"Acute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005D240B" w:rsidRPr="005B64D9">
        <w:rPr>
          <w:sz w:val="22"/>
          <w:szCs w:val="22"/>
        </w:rPr>
        <w:fldChar w:fldCharType="separate"/>
      </w:r>
      <w:r w:rsidR="005D240B">
        <w:rPr>
          <w:rFonts w:cs="Times New Roman"/>
          <w:sz w:val="22"/>
          <w:szCs w:val="22"/>
        </w:rPr>
        <w:t>(Millar et al., 2024; Parkinson et al., 2020; The GenOMICC Investigators et al., 2021; B. Wang et al., 2022)</w:t>
      </w:r>
      <w:r w:rsidR="005D240B" w:rsidRPr="005B64D9">
        <w:rPr>
          <w:sz w:val="22"/>
          <w:szCs w:val="22"/>
        </w:rPr>
        <w:fldChar w:fldCharType="end"/>
      </w:r>
    </w:p>
    <w:p w14:paraId="218F2443" w14:textId="77777777" w:rsidR="005D240B" w:rsidRPr="005B64D9" w:rsidRDefault="005D240B" w:rsidP="005D240B">
      <w:pPr>
        <w:spacing w:line="480" w:lineRule="auto"/>
        <w:jc w:val="both"/>
        <w:rPr>
          <w:sz w:val="22"/>
          <w:szCs w:val="22"/>
        </w:rPr>
      </w:pPr>
    </w:p>
    <w:p w14:paraId="0B6EE8BF" w14:textId="33310DD7" w:rsidR="005D240B" w:rsidRPr="005B64D9" w:rsidRDefault="009122EE" w:rsidP="005D240B">
      <w:pPr>
        <w:spacing w:line="480" w:lineRule="auto"/>
        <w:jc w:val="both"/>
        <w:rPr>
          <w:color w:val="FF0000"/>
          <w:sz w:val="22"/>
          <w:szCs w:val="22"/>
        </w:rPr>
      </w:pPr>
      <w:r w:rsidRPr="009122EE">
        <w:rPr>
          <w:sz w:val="22"/>
          <w:szCs w:val="22"/>
        </w:rPr>
        <w:t xml:space="preserve">Our findings show that BPD is a multifaceted disease characterised by disruptions in adaptive immune signalling and extracellular matrix organisation. </w:t>
      </w:r>
      <w:r w:rsidR="005D240B" w:rsidRPr="009122EE">
        <w:rPr>
          <w:sz w:val="22"/>
          <w:szCs w:val="22"/>
        </w:rPr>
        <w:t>Of note, genes</w:t>
      </w:r>
      <w:r w:rsidRPr="009122EE">
        <w:rPr>
          <w:sz w:val="22"/>
          <w:szCs w:val="22"/>
        </w:rPr>
        <w:t xml:space="preserve"> associated with development and</w:t>
      </w:r>
      <w:r>
        <w:rPr>
          <w:sz w:val="22"/>
          <w:szCs w:val="22"/>
        </w:rPr>
        <w:t xml:space="preserve"> maintenance of adaptive immunity</w:t>
      </w:r>
      <w:r w:rsidR="005D240B" w:rsidRPr="005B64D9">
        <w:rPr>
          <w:sz w:val="22"/>
          <w:szCs w:val="22"/>
        </w:rPr>
        <w:t xml:space="preserve"> feature prominently</w:t>
      </w:r>
      <w:r>
        <w:rPr>
          <w:sz w:val="22"/>
          <w:szCs w:val="22"/>
        </w:rPr>
        <w:t>,</w:t>
      </w:r>
      <w:r w:rsidR="005D240B" w:rsidRPr="005B64D9">
        <w:rPr>
          <w:sz w:val="22"/>
          <w:szCs w:val="22"/>
        </w:rPr>
        <w:t xml:space="preserve"> suggesting that </w:t>
      </w:r>
      <w:r w:rsidR="00645074">
        <w:rPr>
          <w:sz w:val="22"/>
          <w:szCs w:val="22"/>
        </w:rPr>
        <w:t>adaptive-lineage cells</w:t>
      </w:r>
      <w:r w:rsidR="005D240B" w:rsidRPr="005B64D9">
        <w:rPr>
          <w:sz w:val="22"/>
          <w:szCs w:val="22"/>
        </w:rPr>
        <w:t xml:space="preserve"> may play a larger role in BPD pathogenesis</w:t>
      </w:r>
      <w:r w:rsidR="005D240B">
        <w:rPr>
          <w:sz w:val="22"/>
          <w:szCs w:val="22"/>
        </w:rPr>
        <w:t>,</w:t>
      </w:r>
      <w:r w:rsidR="005D240B" w:rsidRPr="005B64D9">
        <w:rPr>
          <w:sz w:val="22"/>
          <w:szCs w:val="22"/>
        </w:rPr>
        <w:t xml:space="preserve"> and </w:t>
      </w:r>
      <w:r>
        <w:rPr>
          <w:sz w:val="22"/>
          <w:szCs w:val="22"/>
        </w:rPr>
        <w:t xml:space="preserve">a wider role in </w:t>
      </w:r>
      <w:r w:rsidR="005D240B" w:rsidRPr="005B64D9">
        <w:rPr>
          <w:sz w:val="22"/>
          <w:szCs w:val="22"/>
        </w:rPr>
        <w:t>ventilator associated lung injury, than previously appreciated.</w:t>
      </w:r>
      <w:r w:rsidR="005D240B" w:rsidRPr="005B64D9">
        <w:rPr>
          <w:color w:val="FF0000"/>
          <w:sz w:val="22"/>
          <w:szCs w:val="22"/>
        </w:rPr>
        <w:br w:type="page"/>
      </w:r>
    </w:p>
    <w:p w14:paraId="38E3A906" w14:textId="77777777" w:rsidR="005D240B" w:rsidRPr="005B64D9" w:rsidRDefault="005D240B" w:rsidP="005D240B">
      <w:pPr>
        <w:spacing w:line="480" w:lineRule="auto"/>
        <w:jc w:val="both"/>
        <w:rPr>
          <w:b/>
          <w:bCs/>
          <w:sz w:val="22"/>
          <w:szCs w:val="22"/>
        </w:rPr>
      </w:pPr>
      <w:r w:rsidRPr="005B64D9">
        <w:rPr>
          <w:b/>
          <w:bCs/>
          <w:sz w:val="22"/>
          <w:szCs w:val="22"/>
        </w:rPr>
        <w:lastRenderedPageBreak/>
        <w:t>Result</w:t>
      </w:r>
      <w:commentRangeStart w:id="0"/>
      <w:r w:rsidRPr="005B64D9">
        <w:rPr>
          <w:b/>
          <w:bCs/>
          <w:sz w:val="22"/>
          <w:szCs w:val="22"/>
        </w:rPr>
        <w:t>s</w:t>
      </w:r>
      <w:commentRangeEnd w:id="0"/>
      <w:r>
        <w:rPr>
          <w:rStyle w:val="CommentReference"/>
        </w:rPr>
        <w:commentReference w:id="0"/>
      </w:r>
    </w:p>
    <w:p w14:paraId="10D82985" w14:textId="77777777" w:rsidR="005D240B" w:rsidRPr="005B64D9" w:rsidRDefault="005D240B" w:rsidP="005D240B">
      <w:pPr>
        <w:spacing w:line="480" w:lineRule="auto"/>
        <w:jc w:val="both"/>
        <w:rPr>
          <w:sz w:val="22"/>
          <w:szCs w:val="22"/>
        </w:rPr>
      </w:pPr>
    </w:p>
    <w:p w14:paraId="4FBD7ABA" w14:textId="77777777" w:rsidR="005D240B" w:rsidRPr="005B64D9" w:rsidRDefault="005D240B" w:rsidP="005D240B">
      <w:pPr>
        <w:spacing w:line="480" w:lineRule="auto"/>
        <w:jc w:val="both"/>
        <w:rPr>
          <w:i/>
          <w:iCs/>
          <w:sz w:val="22"/>
          <w:szCs w:val="22"/>
        </w:rPr>
      </w:pPr>
      <w:r w:rsidRPr="005B64D9">
        <w:rPr>
          <w:i/>
          <w:iCs/>
          <w:sz w:val="22"/>
          <w:szCs w:val="22"/>
        </w:rPr>
        <w:t xml:space="preserve">Systematic review </w:t>
      </w:r>
    </w:p>
    <w:p w14:paraId="331A203E" w14:textId="77777777" w:rsidR="005D240B" w:rsidRPr="005B64D9" w:rsidRDefault="005D240B" w:rsidP="005D240B">
      <w:pPr>
        <w:spacing w:line="480" w:lineRule="auto"/>
        <w:jc w:val="both"/>
        <w:rPr>
          <w:sz w:val="22"/>
          <w:szCs w:val="22"/>
        </w:rPr>
      </w:pPr>
    </w:p>
    <w:p w14:paraId="008204EC" w14:textId="17BC4EDB" w:rsidR="005D240B" w:rsidRDefault="005D240B" w:rsidP="005D240B">
      <w:pPr>
        <w:spacing w:line="480" w:lineRule="auto"/>
        <w:jc w:val="both"/>
        <w:rPr>
          <w:sz w:val="22"/>
          <w:szCs w:val="22"/>
        </w:rPr>
      </w:pPr>
      <w:r w:rsidRPr="005B64D9">
        <w:rPr>
          <w:sz w:val="22"/>
          <w:szCs w:val="22"/>
        </w:rPr>
        <w:t xml:space="preserve">We </w:t>
      </w:r>
      <w:r w:rsidR="00740014">
        <w:rPr>
          <w:sz w:val="22"/>
          <w:szCs w:val="22"/>
        </w:rPr>
        <w:t xml:space="preserve">first </w:t>
      </w:r>
      <w:r w:rsidRPr="005B64D9">
        <w:rPr>
          <w:sz w:val="22"/>
          <w:szCs w:val="22"/>
        </w:rPr>
        <w:t xml:space="preserve">conducted a systematic review of studies that reported associations between genes, transcripts, or proteins, and the development of BPD in humans or the study of BPD in </w:t>
      </w:r>
      <w:r w:rsidR="009122EE">
        <w:rPr>
          <w:sz w:val="22"/>
          <w:szCs w:val="22"/>
        </w:rPr>
        <w:t xml:space="preserve">non-human </w:t>
      </w:r>
      <w:r w:rsidR="00740014">
        <w:rPr>
          <w:sz w:val="22"/>
          <w:szCs w:val="22"/>
        </w:rPr>
        <w:t>mammalian</w:t>
      </w:r>
      <w:r w:rsidRPr="005B64D9">
        <w:rPr>
          <w:sz w:val="22"/>
          <w:szCs w:val="22"/>
        </w:rPr>
        <w:t xml:space="preserve"> models. </w:t>
      </w:r>
      <w:r w:rsidR="000B0759" w:rsidRPr="000B0759">
        <w:rPr>
          <w:sz w:val="22"/>
          <w:szCs w:val="22"/>
        </w:rPr>
        <w:t>We did not restrict the search to a specific definition of BPD; however, the timeline of genome-scale studies results in an indirect emphasis on ‘new BPD’.</w:t>
      </w:r>
      <w:r w:rsidR="000B0759">
        <w:rPr>
          <w:sz w:val="22"/>
          <w:szCs w:val="22"/>
        </w:rPr>
        <w:t xml:space="preserve"> </w:t>
      </w:r>
      <w:r w:rsidRPr="005B64D9">
        <w:rPr>
          <w:sz w:val="22"/>
          <w:szCs w:val="22"/>
        </w:rPr>
        <w:t>Our search yielded 4450 unique citations that were evaluated for inclusion [</w:t>
      </w:r>
      <w:r w:rsidRPr="000F518A">
        <w:rPr>
          <w:sz w:val="22"/>
          <w:szCs w:val="22"/>
          <w:highlight w:val="darkMagenta"/>
        </w:rPr>
        <w:t>Supplementary Figures 1 and 2</w:t>
      </w:r>
      <w:r w:rsidRPr="005B64D9">
        <w:rPr>
          <w:sz w:val="22"/>
          <w:szCs w:val="22"/>
        </w:rPr>
        <w:t xml:space="preserve">]. For full text evaluation we retrieved 76 articles for human studies and 118 for </w:t>
      </w:r>
      <w:r w:rsidR="00740014">
        <w:rPr>
          <w:sz w:val="22"/>
          <w:szCs w:val="22"/>
        </w:rPr>
        <w:t>mammalian</w:t>
      </w:r>
      <w:r w:rsidRPr="005B64D9">
        <w:rPr>
          <w:sz w:val="22"/>
          <w:szCs w:val="22"/>
        </w:rPr>
        <w:t xml:space="preserve"> studies</w:t>
      </w:r>
      <w:r>
        <w:rPr>
          <w:sz w:val="22"/>
          <w:szCs w:val="22"/>
        </w:rPr>
        <w:t xml:space="preserve">, </w:t>
      </w:r>
      <w:r w:rsidRPr="00E76DCD">
        <w:rPr>
          <w:sz w:val="22"/>
          <w:szCs w:val="22"/>
        </w:rPr>
        <w:t>without overlap. Although</w:t>
      </w:r>
      <w:r w:rsidRPr="005B64D9">
        <w:rPr>
          <w:sz w:val="22"/>
          <w:szCs w:val="22"/>
        </w:rPr>
        <w:t xml:space="preserve"> large </w:t>
      </w:r>
      <w:r w:rsidR="00740014">
        <w:rPr>
          <w:sz w:val="22"/>
          <w:szCs w:val="22"/>
        </w:rPr>
        <w:t>mammal</w:t>
      </w:r>
      <w:r w:rsidRPr="005B64D9">
        <w:rPr>
          <w:sz w:val="22"/>
          <w:szCs w:val="22"/>
        </w:rPr>
        <w:t xml:space="preserve"> models are used to explore BPD,</w:t>
      </w:r>
      <w:r w:rsidRPr="005B64D9">
        <w:rPr>
          <w:sz w:val="22"/>
          <w:szCs w:val="22"/>
        </w:rPr>
        <w:fldChar w:fldCharType="begin"/>
      </w:r>
      <w:r w:rsidR="000B0759">
        <w:rPr>
          <w:sz w:val="22"/>
          <w:szCs w:val="22"/>
        </w:rPr>
        <w:instrText xml:space="preserve"> ADDIN ZOTERO_ITEM CSL_CITATION {"citationID":"1WRFWVRS","properties":{"formattedCitation":"(Eiby et al., 2013; Rozance et al., 2011)","plainCitation":"(Eiby et al., 2013; Rozance et al., 2011)","noteIndex":0},"citationItems":[{"id":2060,"uris":["http://zotero.org/users/14418362/items/4W55XNDV"],"itemData":{"id":2060,"type":"article-journal","abstract":"Background: Large animal models are an essential tool in the development of rationally-based new clinical therapies for preterm infants. We provide a description of the newborn pig as a model of the preterm neonate in terms of growth parameters, physiology and the requirement for intensive care over a range of gestational ages.\nMethods: Twenty-nine litters of piglets (n = 298) were delivered by caesarean section at six timepoints during gestation from 91d to 113d (term = 115d). Two groups, at 91 and 97d gestation, also received maternal glucocorticoid treatment. At four of these timepoints, piglets (n = 79) were ventilated, sedated and monitored using standard neonatal intensive care techniques for up to 8 h in various experimental protocols.\nResults: Body weight increased from mean 697 g (SD 193) at 91d gestation to 1331 g (SD 368) at 113d gestation. Piglets delivered at 97d gestation were able to be resuscitated and kept alive for at least 8 h on respiratory support after surfactant administration. Maternal glucocorticoid treatment 48 h and 24 h hours prior to delivery reduced the requirement for ventilator support and improved cardiovascular stability.\nConclusion: The pig provides a relevant model for the study of human preterm physiology and for investigation of novel therapies to improve outcomes.","container-title":"PLoS ONE","DOI":"10.1371/journal.pone.0068763","ISSN":"1932-6203","issue":"7","journalAbbreviation":"PLoS ONE","language":"en","page":"e68763","source":"DOI.org (Crossref)","title":"A Pig Model of the Preterm Neonate: Anthropometric and Physiological Characteristics","title-short":"A Pig Model of the Preterm Neonate","URL":"https://dx.plos.org/10.1371/journal.pone.0068763","volume":"8","author":[{"family":"Eiby","given":"Yvonne A."},{"family":"Wright","given":"Layne L."},{"family":"Kalanjati","given":"Viskasari P."},{"family":"Miller","given":"Stephanie M."},{"family":"Bjorkman","given":"Stella T."},{"family":"Keates","given":"Helen L."},{"family":"Lumbers","given":"Eugenie R."},{"family":"Colditz","given":"Paul B."},{"family":"Lingwood","given":"Barbara E."}],"editor":[{"family":"Frasch","given":"Martin Gerbert"}],"accessed":{"date-parts":[["2024",11,8]]},"issued":{"date-parts":[["2013",7,9]]}}},{"id":2369,"uris":["http://zotero.org/users/14418362/items/Z287RFGX"],"itemData":{"id":2369,"type":"article-journal","abstract":"Intrauterine growth restriction (IUGR) increases the risk for bronchopulmonary dysplasia (BPD). Abnormal lung structure has been noted in animal models of IUGR, but whether IUGR adversely impacts fetal pulmonary vascular development and pulmonary artery endothelial cell (PAEC) function is unknown. We hypothesized that IUGR would decrease fetal pulmonary alveolarization, vascular growth, and in vitro PAEC function. Studies were performed in an established model of severe placental insufficiency and IUGR induced by exposing pregnant sheep to elevated temperatures. Alveolarization, quantified by radial alveolar counts, was decreased 20% ( P &lt; 0.005) in IUGR fetuses. Pulmonary vessel density was decreased 44% ( P &lt; 0.01) in IUGR fetuses. In vitro, insulin increased control PAEC migration, tube formation, and nitric oxide (NO) production. This response was absent in IUGR PAECs. VEGFA stimulated tube formation, and NO production also was absent. In control PAECs, insulin increased cell growth by 68% ( P &lt; 0.0001). Cell growth was reduced in IUGR PAECs by 29% at baseline ( P &lt; 0.01), and the response to insulin was attenuated ( P &lt; 0.005). Despite increased basal and insulin-stimulated Akt phosphorylation in IUGR PAECs, endothelial NO synthase (eNOS) protein expression as well as basal and insulin-stimulated eNOS phosphorylation were decreased in IUGR PAECs. Both VEGFA and VEGFR2 also were decreased in IUGR PAECs. We conclude that fetuses with IUGR are characterized by decreased alveolar and vascular growth and PAEC dysfunction in vitro. This may contribute to the increased risk for adverse respiratory outcomes and BPD in infants with IUGR.","container-title":"American Journal of Physiology-Lung Cellular and Molecular Physiology","DOI":"10.1152/ajplung.00197.2011","ISSN":"1040-0605, 1522-1504","issue":"6","journalAbbreviation":"American Journal of Physiology-Lung Cellular and Molecular Physiology","language":"en","page":"L860-L871","source":"DOI.org (Crossref)","title":"Intrauterine growth restriction decreases pulmonary alveolar and vessel growth and causes pulmonary artery endothelial cell dysfunction in vitro in fetal sheep","URL":"https://www.physiology.org/doi/10.1152/ajplung.00197.2011","volume":"301","author":[{"family":"Rozance","given":"Paul J."},{"family":"Seedorf","given":"Gregory J."},{"family":"Brown","given":"Alicia"},{"family":"Roe","given":"Gates"},{"family":"O'Meara","given":"Meghan C."},{"family":"Gien","given":"Jason"},{"family":"Tang","given":"Jen-Ruey"},{"family":"Abman","given":"Steven H."}],"accessed":{"date-parts":[["2025",3,5]]},"issued":{"date-parts":[["2011",12]]}}}],"schema":"https://github.com/citation-style-language/schema/raw/master/csl-citation.json"} </w:instrText>
      </w:r>
      <w:r w:rsidRPr="005B64D9">
        <w:rPr>
          <w:sz w:val="22"/>
          <w:szCs w:val="22"/>
        </w:rPr>
        <w:fldChar w:fldCharType="separate"/>
      </w:r>
      <w:r w:rsidR="000B0759">
        <w:rPr>
          <w:rFonts w:cs="Times New Roman"/>
          <w:sz w:val="22"/>
          <w:szCs w:val="22"/>
        </w:rPr>
        <w:t>(Eiby et al., 2013; Rozance et al., 2011)</w:t>
      </w:r>
      <w:r w:rsidRPr="005B64D9">
        <w:rPr>
          <w:sz w:val="22"/>
          <w:szCs w:val="22"/>
        </w:rPr>
        <w:fldChar w:fldCharType="end"/>
      </w:r>
      <w:r w:rsidRPr="005B64D9">
        <w:rPr>
          <w:sz w:val="22"/>
          <w:szCs w:val="22"/>
          <w:shd w:val="clear" w:color="auto" w:fill="FFFFFF"/>
        </w:rPr>
        <w:fldChar w:fldCharType="begin"/>
      </w:r>
      <w:r>
        <w:rPr>
          <w:sz w:val="22"/>
          <w:szCs w:val="22"/>
          <w:shd w:val="clear" w:color="auto" w:fill="FFFFFF"/>
        </w:rPr>
        <w:instrText xml:space="preserve"> ADDIN ZOTERO_ITEM CSL_CITATION {"citationID":"ArDnAzo1","properties":{"formattedCitation":"\\super 24\\nosupersub{}","plainCitation":"24","dontUpdate":true,"noteIndex":0},"citationItems":[{"id":2369,"uris":["http://zotero.org/users/14418362/items/Z287RFGX"],"itemData":{"id":2369,"type":"article-journal","abstract":"Intrauterine growth restriction (IUGR) increases the risk for bronchopulmonary dysplasia (BPD). Abnormal lung structure has been noted in animal models of IUGR, but whether IUGR adversely impacts fetal pulmonary vascular development and pulmonary artery endothelial cell (PAEC) function is unknown. We hypothesized that IUGR would decrease fetal pulmonary alveolarization, vascular growth, and in vitro PAEC function. Studies were performed in an established model of severe placental insufficiency and IUGR induced by exposing pregnant sheep to elevated temperatures. Alveolarization, quantified by radial alveolar counts, was decreased 20% ( P &lt; 0.005) in IUGR fetuses. Pulmonary vessel density was decreased 44% ( P &lt; 0.01) in IUGR fetuses. In vitro, insulin increased control PAEC migration, tube formation, and nitric oxide (NO) production. This response was absent in IUGR PAECs. VEGFA stimulated tube formation, and NO production also was absent. In control PAECs, insulin increased cell growth by 68% ( P &lt; 0.0001). Cell growth was reduced in IUGR PAECs by 29% at baseline ( P &lt; 0.01), and the response to insulin was attenuated ( P &lt; 0.005). Despite increased basal and insulin-stimulated Akt phosphorylation in IUGR PAECs, endothelial NO synthase (eNOS) protein expression as well as basal and insulin-stimulated eNOS phosphorylation were decreased in IUGR PAECs. Both VEGFA and VEGFR2 also were decreased in IUGR PAECs. We conclude that fetuses with IUGR are characterized by decreased alveolar and vascular growth and PAEC dysfunction in vitro. This may contribute to the increased risk for adverse respiratory outcomes and BPD in infants with IUGR.","container-title":"American Journal of Physiology-Lung Cellular and Molecular Physiology","DOI":"10.1152/ajplung.00197.2011","ISSN":"1040-0605, 1522-1504","issue":"6","journalAbbreviation":"American Journal of Physiology-Lung Cellular and Molecular Physiology","language":"en","page":"L860-L871","source":"DOI.org (Crossref)","title":"Intrauterine growth restriction decreases pulmonary alveolar and vessel growth and causes pulmonary artery endothelial cell dysfunction in vitro in fetal sheep","URL":"https://www.physiology.org/doi/10.1152/ajplung.00197.2011","volume":"301","author":[{"family":"Rozance","given":"Paul J."},{"family":"Seedorf","given":"Gregory J."},{"family":"Brown","given":"Alicia"},{"family":"Roe","given":"Gates"},{"family":"O'Meara","given":"Meghan C."},{"family":"Gien","given":"Jason"},{"family":"Tang","given":"Jen-Ruey"},{"family":"Abman","given":"Steven H."}],"accessed":{"date-parts":[["2025",3,5]]},"issued":{"date-parts":[["2011",12]]}}}],"schema":"https://github.com/citation-style-language/schema/raw/master/csl-citation.json"} </w:instrText>
      </w:r>
      <w:r w:rsidRPr="005B64D9">
        <w:rPr>
          <w:sz w:val="22"/>
          <w:szCs w:val="22"/>
          <w:shd w:val="clear" w:color="auto" w:fill="FFFFFF"/>
        </w:rPr>
        <w:fldChar w:fldCharType="separate"/>
      </w:r>
      <w:r w:rsidRPr="005B64D9">
        <w:rPr>
          <w:sz w:val="22"/>
          <w:szCs w:val="22"/>
          <w:shd w:val="clear" w:color="auto" w:fill="FFFFFF"/>
        </w:rPr>
        <w:fldChar w:fldCharType="end"/>
      </w:r>
      <w:r w:rsidRPr="005B64D9">
        <w:rPr>
          <w:sz w:val="22"/>
          <w:szCs w:val="22"/>
        </w:rPr>
        <w:t xml:space="preserve"> we </w:t>
      </w:r>
      <w:r w:rsidR="009122EE">
        <w:rPr>
          <w:sz w:val="22"/>
          <w:szCs w:val="22"/>
        </w:rPr>
        <w:t>did not identify any</w:t>
      </w:r>
      <w:r w:rsidRPr="005B64D9">
        <w:rPr>
          <w:sz w:val="22"/>
          <w:szCs w:val="22"/>
        </w:rPr>
        <w:t xml:space="preserve"> that met our inclusion criteria</w:t>
      </w:r>
      <w:r>
        <w:rPr>
          <w:sz w:val="22"/>
          <w:szCs w:val="22"/>
        </w:rPr>
        <w:t xml:space="preserve"> (</w:t>
      </w:r>
      <w:r w:rsidRPr="004201F6">
        <w:rPr>
          <w:sz w:val="22"/>
          <w:szCs w:val="22"/>
          <w:highlight w:val="darkMagenta"/>
        </w:rPr>
        <w:t>Supplementary Tables 1 and 2)</w:t>
      </w:r>
      <w:r>
        <w:rPr>
          <w:sz w:val="22"/>
          <w:szCs w:val="22"/>
        </w:rPr>
        <w:t xml:space="preserve"> and the analysis therefore focused on rodents(mice and rats).</w:t>
      </w:r>
    </w:p>
    <w:p w14:paraId="71C971F9" w14:textId="77777777" w:rsidR="00E334A6" w:rsidRPr="005B64D9" w:rsidRDefault="00E334A6" w:rsidP="005D240B">
      <w:pPr>
        <w:spacing w:line="480" w:lineRule="auto"/>
        <w:jc w:val="both"/>
        <w:rPr>
          <w:sz w:val="22"/>
          <w:szCs w:val="22"/>
        </w:rPr>
      </w:pPr>
    </w:p>
    <w:p w14:paraId="17039506" w14:textId="77777777" w:rsidR="005D240B" w:rsidRPr="005B64D9" w:rsidRDefault="005D240B" w:rsidP="005D240B">
      <w:pPr>
        <w:spacing w:line="480" w:lineRule="auto"/>
        <w:jc w:val="both"/>
        <w:rPr>
          <w:i/>
          <w:iCs/>
          <w:sz w:val="22"/>
          <w:szCs w:val="22"/>
        </w:rPr>
      </w:pPr>
      <w:r w:rsidRPr="005B64D9">
        <w:rPr>
          <w:i/>
          <w:iCs/>
          <w:sz w:val="22"/>
          <w:szCs w:val="22"/>
        </w:rPr>
        <w:t>Meta-Analysis by Information Content of human studies</w:t>
      </w:r>
    </w:p>
    <w:p w14:paraId="7F78BF00" w14:textId="469B5728" w:rsidR="005D240B" w:rsidRPr="005B64D9" w:rsidRDefault="005D240B" w:rsidP="005D240B">
      <w:pPr>
        <w:tabs>
          <w:tab w:val="left" w:pos="8364"/>
        </w:tabs>
        <w:spacing w:line="480" w:lineRule="auto"/>
        <w:jc w:val="both"/>
        <w:rPr>
          <w:sz w:val="22"/>
          <w:szCs w:val="22"/>
        </w:rPr>
      </w:pPr>
      <w:r w:rsidRPr="005B64D9">
        <w:rPr>
          <w:sz w:val="22"/>
          <w:szCs w:val="22"/>
        </w:rPr>
        <w:t xml:space="preserve">From the 81 human studies, 21 met our eligibility </w:t>
      </w:r>
      <w:proofErr w:type="gramStart"/>
      <w:r w:rsidRPr="005B64D9">
        <w:rPr>
          <w:sz w:val="22"/>
          <w:szCs w:val="22"/>
        </w:rPr>
        <w:t>criteria[</w:t>
      </w:r>
      <w:proofErr w:type="gramEnd"/>
      <w:r w:rsidRPr="000F518A">
        <w:rPr>
          <w:sz w:val="22"/>
          <w:szCs w:val="22"/>
          <w:highlight w:val="darkMagenta"/>
        </w:rPr>
        <w:t>Supplementary Figure</w:t>
      </w:r>
      <w:r>
        <w:rPr>
          <w:sz w:val="22"/>
          <w:szCs w:val="22"/>
        </w:rPr>
        <w:t xml:space="preserve"> 1, Table 1</w:t>
      </w:r>
      <w:r w:rsidRPr="005B64D9">
        <w:rPr>
          <w:sz w:val="22"/>
          <w:szCs w:val="22"/>
        </w:rPr>
        <w:t>]. This yielded 31 gene lists, 23 ranked and 8 unranked, employing 5 experimental techniques</w:t>
      </w:r>
      <w:r w:rsidR="000B0759">
        <w:rPr>
          <w:sz w:val="22"/>
          <w:szCs w:val="22"/>
        </w:rPr>
        <w:t>.</w:t>
      </w:r>
      <w:r w:rsidRPr="005B64D9">
        <w:rPr>
          <w:sz w:val="22"/>
          <w:szCs w:val="22"/>
        </w:rPr>
        <w:t xml:space="preserve"> </w:t>
      </w:r>
      <w:r>
        <w:rPr>
          <w:sz w:val="22"/>
          <w:szCs w:val="22"/>
        </w:rPr>
        <w:t>(</w:t>
      </w:r>
      <w:r w:rsidRPr="004201F6">
        <w:rPr>
          <w:sz w:val="22"/>
          <w:szCs w:val="22"/>
          <w:highlight w:val="darkMagenta"/>
        </w:rPr>
        <w:t xml:space="preserve">Supplementary Table </w:t>
      </w:r>
      <w:r>
        <w:rPr>
          <w:sz w:val="22"/>
          <w:szCs w:val="22"/>
        </w:rPr>
        <w:t>3</w:t>
      </w:r>
      <w:r w:rsidRPr="005B64D9">
        <w:rPr>
          <w:sz w:val="22"/>
          <w:szCs w:val="22"/>
        </w:rPr>
        <w:t>,</w:t>
      </w:r>
      <w:r>
        <w:rPr>
          <w:sz w:val="22"/>
          <w:szCs w:val="22"/>
        </w:rPr>
        <w:t>)</w:t>
      </w:r>
      <w:r w:rsidRPr="005B64D9">
        <w:rPr>
          <w:sz w:val="22"/>
          <w:szCs w:val="22"/>
        </w:rPr>
        <w:t xml:space="preserve"> </w:t>
      </w:r>
      <w:r w:rsidR="000B0759">
        <w:rPr>
          <w:sz w:val="22"/>
          <w:szCs w:val="22"/>
        </w:rPr>
        <w:t xml:space="preserve">The included studies </w:t>
      </w:r>
      <w:r w:rsidRPr="005B64D9">
        <w:rPr>
          <w:sz w:val="22"/>
          <w:szCs w:val="22"/>
        </w:rPr>
        <w:t>represent</w:t>
      </w:r>
      <w:r w:rsidR="000B0759">
        <w:rPr>
          <w:sz w:val="22"/>
          <w:szCs w:val="22"/>
        </w:rPr>
        <w:t xml:space="preserve">ed </w:t>
      </w:r>
      <w:r w:rsidRPr="005B64D9">
        <w:rPr>
          <w:sz w:val="22"/>
          <w:szCs w:val="22"/>
        </w:rPr>
        <w:t>4358 infants (cases = 2247, controls = 2111).  While the definition of BPD varied between studies, over two-thirds of studies, (71.4%, 15/21), used receipt of respiratory support at 36 weeks PMA.</w:t>
      </w:r>
      <w:r w:rsidRPr="005B64D9">
        <w:rPr>
          <w:sz w:val="22"/>
          <w:szCs w:val="22"/>
        </w:rPr>
        <w:fldChar w:fldCharType="begin"/>
      </w:r>
      <w:r>
        <w:rPr>
          <w:sz w:val="22"/>
          <w:szCs w:val="22"/>
        </w:rPr>
        <w:instrText xml:space="preserve"> ADDIN ZOTERO_ITEM CSL_CITATION {"citationID":"nf5WnUWa","properties":{"formattedCitation":"(Jensen et al., 2019)","plainCitation":"(Jensen et al., 2019)","noteIndex":0},"citationItems":[{"id":539,"uris":["http://zotero.org/users/14418362/items/33JX5C8W"],"itemData":{"id":539,"type":"article-journal","abstract":"Rationale: Current diagnostic criteria for bronchopulmonary dysplasia rely heavily on the level and duration of oxygen therapy, do not reﬂect contemporary neonatal care, and do not adequately predict childhood morbidity.","container-title":"American Journal of Respiratory and Critical Care Medicine","DOI":"10.1164/rccm.201812-2348OC","ISSN":"1073-449X, 1535-4970","issue":"6","journalAbbreviation":"Am J Respir Crit Care Med","language":"en","page":"751-759","source":"DOI.org (Crossref)","title":"The Diagnosis of Bronchopulmonary Dysplasia in Very Preterm Infants. An Evidence-based Approach","URL":"https://www.atsjournals.org/doi/10.1164/rccm.201812-2348OC","volume":"200","author":[{"family":"Jensen","given":"Erik A."},{"family":"Dysart","given":"Kevin"},{"family":"Gantz","given":"Marie G."},{"family":"McDonald","given":"Scott"},{"family":"Bamat","given":"Nicolas A."},{"family":"Keszler","given":"Martin"},{"family":"Kirpalani","given":"Haresh"},{"family":"Laughon","given":"Matthew M."},{"family":"Poindexter","given":"Brenda B."},{"family":"Duncan","given":"Andrea F."},{"family":"Yoder","given":"Bradley A."},{"family":"Eichenwald","given":"Eric C."},{"family":"DeMauro","given":"Sara B."}],"accessed":{"date-parts":[["2024",6,8]]},"issued":{"date-parts":[["2019",9,15]]}}}],"schema":"https://github.com/citation-style-language/schema/raw/master/csl-citation.json"} </w:instrText>
      </w:r>
      <w:r w:rsidRPr="005B64D9">
        <w:rPr>
          <w:sz w:val="22"/>
          <w:szCs w:val="22"/>
        </w:rPr>
        <w:fldChar w:fldCharType="separate"/>
      </w:r>
      <w:r>
        <w:rPr>
          <w:rFonts w:cs="Times New Roman"/>
          <w:sz w:val="22"/>
          <w:szCs w:val="22"/>
        </w:rPr>
        <w:t>(Jensen et al., 2019)</w:t>
      </w:r>
      <w:r w:rsidRPr="005B64D9">
        <w:rPr>
          <w:sz w:val="22"/>
          <w:szCs w:val="22"/>
        </w:rPr>
        <w:fldChar w:fldCharType="end"/>
      </w:r>
      <w:r w:rsidRPr="005B64D9">
        <w:rPr>
          <w:sz w:val="22"/>
          <w:szCs w:val="22"/>
        </w:rPr>
        <w:t xml:space="preserve"> All but a single study used primary tissue</w:t>
      </w:r>
      <w:r w:rsidR="00740014">
        <w:rPr>
          <w:sz w:val="22"/>
          <w:szCs w:val="22"/>
        </w:rPr>
        <w:t xml:space="preserve"> or blood</w:t>
      </w:r>
      <w:r w:rsidR="000B0759">
        <w:rPr>
          <w:sz w:val="22"/>
          <w:szCs w:val="22"/>
        </w:rPr>
        <w:t xml:space="preserve"> (</w:t>
      </w:r>
      <w:r w:rsidR="000B0759" w:rsidRPr="000B0759">
        <w:rPr>
          <w:sz w:val="22"/>
          <w:szCs w:val="22"/>
          <w:highlight w:val="darkMagenta"/>
        </w:rPr>
        <w:t>Table 1</w:t>
      </w:r>
      <w:r w:rsidR="000B0759">
        <w:rPr>
          <w:sz w:val="22"/>
          <w:szCs w:val="22"/>
        </w:rPr>
        <w:t>)</w:t>
      </w:r>
      <w:r w:rsidRPr="005B64D9">
        <w:rPr>
          <w:sz w:val="22"/>
          <w:szCs w:val="22"/>
        </w:rPr>
        <w:t xml:space="preserve">. </w:t>
      </w:r>
      <w:r>
        <w:rPr>
          <w:sz w:val="22"/>
          <w:szCs w:val="22"/>
        </w:rPr>
        <w:t xml:space="preserve">MAIC collated and ranked </w:t>
      </w:r>
      <w:r w:rsidRPr="005B64D9">
        <w:rPr>
          <w:sz w:val="22"/>
          <w:szCs w:val="22"/>
        </w:rPr>
        <w:t>8017 unique genes across the datasets</w:t>
      </w:r>
      <w:r>
        <w:rPr>
          <w:sz w:val="22"/>
          <w:szCs w:val="22"/>
        </w:rPr>
        <w:t xml:space="preserve"> [</w:t>
      </w:r>
      <w:proofErr w:type="spellStart"/>
      <w:r w:rsidRPr="00F25B82">
        <w:rPr>
          <w:sz w:val="22"/>
          <w:szCs w:val="22"/>
          <w:highlight w:val="darkMagenta"/>
        </w:rPr>
        <w:t>Supplmentary</w:t>
      </w:r>
      <w:proofErr w:type="spellEnd"/>
      <w:r w:rsidRPr="00F25B82">
        <w:rPr>
          <w:sz w:val="22"/>
          <w:szCs w:val="22"/>
          <w:highlight w:val="darkMagenta"/>
        </w:rPr>
        <w:t xml:space="preserve"> Table 4</w:t>
      </w:r>
      <w:r>
        <w:rPr>
          <w:sz w:val="22"/>
          <w:szCs w:val="22"/>
        </w:rPr>
        <w:t xml:space="preserve">, </w:t>
      </w:r>
      <w:r w:rsidRPr="00F25B82">
        <w:rPr>
          <w:sz w:val="22"/>
          <w:szCs w:val="22"/>
          <w:highlight w:val="red"/>
        </w:rPr>
        <w:t>Figure1A</w:t>
      </w:r>
      <w:r>
        <w:rPr>
          <w:sz w:val="22"/>
          <w:szCs w:val="22"/>
        </w:rPr>
        <w:t>]</w:t>
      </w:r>
      <w:commentRangeStart w:id="1"/>
      <w:r w:rsidRPr="005B64D9">
        <w:rPr>
          <w:sz w:val="22"/>
          <w:szCs w:val="22"/>
        </w:rPr>
        <w:t>,</w:t>
      </w:r>
      <w:commentRangeEnd w:id="1"/>
      <w:r>
        <w:rPr>
          <w:rStyle w:val="CommentReference"/>
        </w:rPr>
        <w:commentReference w:id="1"/>
      </w:r>
      <w:r w:rsidRPr="005B64D9">
        <w:rPr>
          <w:sz w:val="22"/>
          <w:szCs w:val="22"/>
        </w:rPr>
        <w:t xml:space="preserve"> </w:t>
      </w:r>
      <w:r>
        <w:rPr>
          <w:sz w:val="22"/>
          <w:szCs w:val="22"/>
        </w:rPr>
        <w:t xml:space="preserve">and </w:t>
      </w:r>
      <w:r w:rsidRPr="005B64D9">
        <w:rPr>
          <w:sz w:val="22"/>
          <w:szCs w:val="22"/>
        </w:rPr>
        <w:t>only a single gene was supported by evidence from all 5 experimental techniques (</w:t>
      </w:r>
      <w:r w:rsidRPr="005B64D9">
        <w:rPr>
          <w:i/>
          <w:iCs/>
          <w:sz w:val="22"/>
          <w:szCs w:val="22"/>
        </w:rPr>
        <w:t>RASGRP3</w:t>
      </w:r>
      <w:r w:rsidRPr="005B64D9">
        <w:rPr>
          <w:sz w:val="22"/>
          <w:szCs w:val="22"/>
        </w:rPr>
        <w:t>, rank = 1). Few genes (n = 53 genes, 0.6%) were supported by &gt;=3 methods while 745 genes (9.74%) were supported by more than 1 method.</w:t>
      </w:r>
      <w:r>
        <w:rPr>
          <w:sz w:val="22"/>
          <w:szCs w:val="22"/>
        </w:rPr>
        <w:t xml:space="preserve"> </w:t>
      </w:r>
      <w:r w:rsidR="000B0759">
        <w:rPr>
          <w:sz w:val="22"/>
          <w:szCs w:val="22"/>
        </w:rPr>
        <w:t>Genes associated with</w:t>
      </w:r>
      <w:r>
        <w:rPr>
          <w:sz w:val="22"/>
          <w:szCs w:val="22"/>
        </w:rPr>
        <w:t xml:space="preserve"> </w:t>
      </w:r>
      <w:r w:rsidRPr="000B0759">
        <w:rPr>
          <w:sz w:val="22"/>
          <w:szCs w:val="22"/>
          <w:highlight w:val="green"/>
        </w:rPr>
        <w:t>immun</w:t>
      </w:r>
      <w:r w:rsidR="00083898">
        <w:rPr>
          <w:sz w:val="22"/>
          <w:szCs w:val="22"/>
        </w:rPr>
        <w:t>e processes</w:t>
      </w:r>
      <w:r>
        <w:rPr>
          <w:sz w:val="22"/>
          <w:szCs w:val="22"/>
        </w:rPr>
        <w:t xml:space="preserve"> (</w:t>
      </w:r>
      <w:r w:rsidRPr="006639D2">
        <w:rPr>
          <w:i/>
          <w:iCs/>
          <w:sz w:val="22"/>
          <w:szCs w:val="22"/>
        </w:rPr>
        <w:t>RASGRP3, IL1R2, CD2, CHIT1, GPA33, CD177</w:t>
      </w:r>
      <w:r>
        <w:rPr>
          <w:i/>
          <w:iCs/>
          <w:sz w:val="22"/>
          <w:szCs w:val="22"/>
        </w:rPr>
        <w:t xml:space="preserve">, RCAN3) </w:t>
      </w:r>
      <w:r w:rsidRPr="00750C51">
        <w:rPr>
          <w:sz w:val="22"/>
          <w:szCs w:val="22"/>
        </w:rPr>
        <w:t xml:space="preserve">and </w:t>
      </w:r>
      <w:r w:rsidR="00740014">
        <w:rPr>
          <w:sz w:val="22"/>
          <w:szCs w:val="22"/>
        </w:rPr>
        <w:t xml:space="preserve">extracellular </w:t>
      </w:r>
      <w:r w:rsidRPr="00750C51">
        <w:rPr>
          <w:sz w:val="22"/>
          <w:szCs w:val="22"/>
        </w:rPr>
        <w:t>structure</w:t>
      </w:r>
      <w:r>
        <w:rPr>
          <w:i/>
          <w:iCs/>
          <w:sz w:val="22"/>
          <w:szCs w:val="22"/>
        </w:rPr>
        <w:t xml:space="preserve"> (</w:t>
      </w:r>
      <w:r w:rsidRPr="006639D2">
        <w:rPr>
          <w:i/>
          <w:iCs/>
          <w:sz w:val="22"/>
          <w:szCs w:val="22"/>
        </w:rPr>
        <w:t>LRRN3,</w:t>
      </w:r>
      <w:r w:rsidRPr="00750C51">
        <w:rPr>
          <w:i/>
          <w:iCs/>
          <w:sz w:val="22"/>
          <w:szCs w:val="22"/>
        </w:rPr>
        <w:t xml:space="preserve"> </w:t>
      </w:r>
      <w:r w:rsidRPr="006639D2">
        <w:rPr>
          <w:i/>
          <w:iCs/>
          <w:sz w:val="22"/>
          <w:szCs w:val="22"/>
        </w:rPr>
        <w:t>FBN1</w:t>
      </w:r>
      <w:r>
        <w:rPr>
          <w:i/>
          <w:iCs/>
          <w:sz w:val="22"/>
          <w:szCs w:val="22"/>
        </w:rPr>
        <w:t>)</w:t>
      </w:r>
      <w:r>
        <w:rPr>
          <w:sz w:val="22"/>
          <w:szCs w:val="22"/>
        </w:rPr>
        <w:t xml:space="preserve"> </w:t>
      </w:r>
      <w:r w:rsidR="000B0759">
        <w:rPr>
          <w:sz w:val="22"/>
          <w:szCs w:val="22"/>
        </w:rPr>
        <w:t xml:space="preserve">are heavily represented </w:t>
      </w:r>
      <w:r>
        <w:rPr>
          <w:sz w:val="22"/>
          <w:szCs w:val="22"/>
        </w:rPr>
        <w:t xml:space="preserve">within the top 10 </w:t>
      </w:r>
      <w:r>
        <w:rPr>
          <w:sz w:val="22"/>
          <w:szCs w:val="22"/>
        </w:rPr>
        <w:lastRenderedPageBreak/>
        <w:t xml:space="preserve">ranked genes. Additionally, a subunit of foetal </w:t>
      </w:r>
      <w:r w:rsidR="00740014">
        <w:rPr>
          <w:sz w:val="22"/>
          <w:szCs w:val="22"/>
        </w:rPr>
        <w:t>haemoglobin</w:t>
      </w:r>
      <w:r w:rsidR="000B0759">
        <w:rPr>
          <w:sz w:val="22"/>
          <w:szCs w:val="22"/>
        </w:rPr>
        <w:t>,</w:t>
      </w:r>
      <w:r w:rsidR="000B0759" w:rsidRPr="000B0759">
        <w:rPr>
          <w:i/>
          <w:iCs/>
          <w:sz w:val="22"/>
          <w:szCs w:val="22"/>
        </w:rPr>
        <w:t xml:space="preserve"> </w:t>
      </w:r>
      <w:r w:rsidR="000B0759" w:rsidRPr="00750C51">
        <w:rPr>
          <w:i/>
          <w:iCs/>
          <w:sz w:val="22"/>
          <w:szCs w:val="22"/>
        </w:rPr>
        <w:t>HGB1</w:t>
      </w:r>
      <w:r w:rsidR="000B0759">
        <w:rPr>
          <w:i/>
          <w:iCs/>
          <w:sz w:val="22"/>
          <w:szCs w:val="22"/>
        </w:rPr>
        <w:t>,</w:t>
      </w:r>
      <w:r w:rsidR="000B0759">
        <w:rPr>
          <w:sz w:val="22"/>
          <w:szCs w:val="22"/>
        </w:rPr>
        <w:t xml:space="preserve"> features</w:t>
      </w:r>
      <w:r>
        <w:rPr>
          <w:sz w:val="22"/>
          <w:szCs w:val="22"/>
        </w:rPr>
        <w:t xml:space="preserve">. </w:t>
      </w:r>
      <w:r w:rsidRPr="005B64D9">
        <w:rPr>
          <w:sz w:val="22"/>
          <w:szCs w:val="22"/>
        </w:rPr>
        <w:t>We prioritised 945 genes for further investigation [</w:t>
      </w:r>
      <w:r w:rsidRPr="00AB1CAB">
        <w:rPr>
          <w:sz w:val="22"/>
          <w:szCs w:val="22"/>
          <w:highlight w:val="darkMagenta"/>
        </w:rPr>
        <w:t>Figure 1B</w:t>
      </w:r>
      <w:r w:rsidRPr="005B64D9">
        <w:rPr>
          <w:sz w:val="22"/>
          <w:szCs w:val="22"/>
        </w:rPr>
        <w:t>], as previously described</w:t>
      </w:r>
      <w:r w:rsidR="000B0759">
        <w:rPr>
          <w:sz w:val="22"/>
          <w:szCs w:val="22"/>
        </w:rPr>
        <w:t xml:space="preserve"> </w:t>
      </w:r>
      <w:r w:rsidRPr="005B64D9">
        <w:rPr>
          <w:sz w:val="22"/>
          <w:szCs w:val="22"/>
        </w:rPr>
        <w:fldChar w:fldCharType="begin"/>
      </w:r>
      <w:r>
        <w:rPr>
          <w:sz w:val="22"/>
          <w:szCs w:val="22"/>
        </w:rPr>
        <w:instrText xml:space="preserve"> ADDIN ZOTERO_ITEM CSL_CITATION {"citationID":"A0juvxsw","properties":{"formattedCitation":"(Millar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Pr>
          <w:rFonts w:cs="Times New Roman"/>
          <w:sz w:val="22"/>
          <w:szCs w:val="22"/>
        </w:rPr>
        <w:t>(Millar et al., 2024)</w:t>
      </w:r>
      <w:r w:rsidRPr="005B64D9">
        <w:rPr>
          <w:sz w:val="22"/>
          <w:szCs w:val="22"/>
        </w:rPr>
        <w:fldChar w:fldCharType="end"/>
      </w:r>
      <w:r w:rsidR="000B0759">
        <w:rPr>
          <w:sz w:val="22"/>
          <w:szCs w:val="22"/>
        </w:rPr>
        <w:t xml:space="preserve"> and of these 310 (38%) were identified as druggable using the Druggable Genome</w:t>
      </w:r>
      <w:r w:rsidR="00545988">
        <w:rPr>
          <w:sz w:val="22"/>
          <w:szCs w:val="22"/>
        </w:rPr>
        <w:t xml:space="preserve"> [</w:t>
      </w:r>
      <w:r w:rsidR="00545988" w:rsidRPr="00545988">
        <w:rPr>
          <w:sz w:val="22"/>
          <w:szCs w:val="22"/>
          <w:highlight w:val="red"/>
        </w:rPr>
        <w:t>ref</w:t>
      </w:r>
      <w:r w:rsidR="00545988">
        <w:rPr>
          <w:sz w:val="22"/>
          <w:szCs w:val="22"/>
        </w:rPr>
        <w:t>]</w:t>
      </w:r>
      <w:r w:rsidR="000B0759">
        <w:rPr>
          <w:sz w:val="22"/>
          <w:szCs w:val="22"/>
        </w:rPr>
        <w:t>.</w:t>
      </w:r>
    </w:p>
    <w:p w14:paraId="564454B4" w14:textId="77777777" w:rsidR="005D240B" w:rsidRPr="005B64D9" w:rsidRDefault="005D240B" w:rsidP="005D240B">
      <w:pPr>
        <w:spacing w:line="480" w:lineRule="auto"/>
        <w:jc w:val="both"/>
        <w:rPr>
          <w:i/>
          <w:iCs/>
          <w:sz w:val="22"/>
          <w:szCs w:val="22"/>
        </w:rPr>
      </w:pPr>
    </w:p>
    <w:p w14:paraId="16725CA1" w14:textId="77777777" w:rsidR="005D240B" w:rsidRPr="005B64D9" w:rsidRDefault="005D240B" w:rsidP="005D240B">
      <w:pPr>
        <w:spacing w:line="480" w:lineRule="auto"/>
        <w:jc w:val="both"/>
        <w:rPr>
          <w:i/>
          <w:iCs/>
          <w:sz w:val="22"/>
          <w:szCs w:val="22"/>
        </w:rPr>
      </w:pPr>
      <w:r w:rsidRPr="005B64D9">
        <w:rPr>
          <w:i/>
          <w:iCs/>
          <w:sz w:val="22"/>
          <w:szCs w:val="22"/>
        </w:rPr>
        <w:t>Over representation and enrichment analyses</w:t>
      </w:r>
    </w:p>
    <w:p w14:paraId="31A6965A" w14:textId="7B48C709" w:rsidR="005D240B" w:rsidRPr="004F6F62" w:rsidRDefault="005D240B" w:rsidP="005D240B">
      <w:pPr>
        <w:spacing w:line="480" w:lineRule="auto"/>
        <w:jc w:val="both"/>
        <w:rPr>
          <w:sz w:val="22"/>
          <w:szCs w:val="22"/>
        </w:rPr>
      </w:pPr>
      <w:r w:rsidRPr="004F6F62">
        <w:rPr>
          <w:sz w:val="22"/>
          <w:szCs w:val="22"/>
        </w:rPr>
        <w:t xml:space="preserve">We first performed Over Representation Analysis (ORA), on the prioritised list of 945 genes. The ORA results from the Gene Ontology database (encompassing all ontologies) were grouped first based on semantic similarity and then based on function </w:t>
      </w:r>
      <w:r w:rsidRPr="004F6F62">
        <w:rPr>
          <w:sz w:val="22"/>
          <w:szCs w:val="22"/>
          <w:highlight w:val="darkMagenta"/>
        </w:rPr>
        <w:t>[Figure 1C</w:t>
      </w:r>
      <w:r w:rsidRPr="004F6F62">
        <w:rPr>
          <w:sz w:val="22"/>
          <w:szCs w:val="22"/>
        </w:rPr>
        <w:t xml:space="preserve">].  Our analysis reveals a significant over-representation of </w:t>
      </w:r>
      <w:r w:rsidR="004F6F62">
        <w:rPr>
          <w:sz w:val="22"/>
          <w:szCs w:val="22"/>
        </w:rPr>
        <w:t>i</w:t>
      </w:r>
      <w:r w:rsidRPr="004F6F62">
        <w:rPr>
          <w:sz w:val="22"/>
          <w:szCs w:val="22"/>
        </w:rPr>
        <w:t>mmune system processes</w:t>
      </w:r>
      <w:r w:rsidR="004F6F62">
        <w:rPr>
          <w:sz w:val="22"/>
          <w:szCs w:val="22"/>
        </w:rPr>
        <w:t xml:space="preserve"> </w:t>
      </w:r>
      <w:proofErr w:type="spellStart"/>
      <w:r w:rsidR="004F6F62">
        <w:rPr>
          <w:sz w:val="22"/>
          <w:szCs w:val="22"/>
        </w:rPr>
        <w:t>asscoaited</w:t>
      </w:r>
      <w:proofErr w:type="spellEnd"/>
      <w:r w:rsidR="004F6F62">
        <w:rPr>
          <w:sz w:val="22"/>
          <w:szCs w:val="22"/>
        </w:rPr>
        <w:t xml:space="preserve"> with adaptive immunity and lymphoid cells</w:t>
      </w:r>
      <w:r w:rsidRPr="004F6F62">
        <w:rPr>
          <w:sz w:val="22"/>
          <w:szCs w:val="22"/>
        </w:rPr>
        <w:t xml:space="preserve">, with a prominent emphasis on T cell differentiation and regulation, </w:t>
      </w:r>
      <w:r w:rsidR="004F6F62">
        <w:rPr>
          <w:sz w:val="22"/>
          <w:szCs w:val="22"/>
        </w:rPr>
        <w:t>and</w:t>
      </w:r>
      <w:r w:rsidRPr="004F6F62">
        <w:rPr>
          <w:sz w:val="22"/>
          <w:szCs w:val="22"/>
        </w:rPr>
        <w:t xml:space="preserve"> cell-cell adhesion. This is further supported by ORA using the KEGG and </w:t>
      </w:r>
      <w:proofErr w:type="spellStart"/>
      <w:r w:rsidRPr="004F6F62">
        <w:rPr>
          <w:sz w:val="22"/>
          <w:szCs w:val="22"/>
        </w:rPr>
        <w:t>Reactome</w:t>
      </w:r>
      <w:proofErr w:type="spellEnd"/>
      <w:r w:rsidRPr="004F6F62">
        <w:rPr>
          <w:sz w:val="22"/>
          <w:szCs w:val="22"/>
        </w:rPr>
        <w:t xml:space="preserve"> databases [</w:t>
      </w:r>
      <w:r w:rsidRPr="008506FE">
        <w:rPr>
          <w:sz w:val="22"/>
          <w:szCs w:val="22"/>
          <w:highlight w:val="darkMagenta"/>
        </w:rPr>
        <w:t>Supplementary</w:t>
      </w:r>
      <w:r w:rsidR="004F6F62" w:rsidRPr="008506FE">
        <w:rPr>
          <w:sz w:val="22"/>
          <w:szCs w:val="22"/>
          <w:highlight w:val="darkMagenta"/>
        </w:rPr>
        <w:t xml:space="preserve"> Tables 5-8</w:t>
      </w:r>
      <w:r w:rsidRPr="004F6F62">
        <w:rPr>
          <w:sz w:val="22"/>
          <w:szCs w:val="22"/>
        </w:rPr>
        <w:t>]. T cell development was further highlighted when we carried out gene set enrichment analysis (GSEA) of the human BPD MAIC dataset [</w:t>
      </w:r>
      <w:r w:rsidRPr="004F6F62">
        <w:rPr>
          <w:sz w:val="22"/>
          <w:szCs w:val="22"/>
          <w:highlight w:val="darkMagenta"/>
        </w:rPr>
        <w:t>Figure 1D, E</w:t>
      </w:r>
      <w:r w:rsidRPr="004F6F62">
        <w:rPr>
          <w:sz w:val="22"/>
          <w:szCs w:val="22"/>
        </w:rPr>
        <w:t>].</w:t>
      </w:r>
      <w:r w:rsidR="004F6F62" w:rsidRPr="004F6F62">
        <w:rPr>
          <w:sz w:val="22"/>
          <w:szCs w:val="22"/>
        </w:rPr>
        <w:t xml:space="preserve"> </w:t>
      </w:r>
      <w:r w:rsidRPr="004F6F62">
        <w:rPr>
          <w:sz w:val="22"/>
          <w:szCs w:val="22"/>
        </w:rPr>
        <w:t xml:space="preserve">We then created a protein-protein interaction (PPI) network using the prioritised set of genes. </w:t>
      </w:r>
      <w:r w:rsidRPr="004F6F62">
        <w:rPr>
          <w:rFonts w:cs="Helvetica"/>
          <w:sz w:val="22"/>
          <w:szCs w:val="22"/>
        </w:rPr>
        <w:t>MCL clustering identified 25 clusters with &gt;=5 members. The 7 largest clusters contained &gt;=10 members [</w:t>
      </w:r>
      <w:r w:rsidRPr="004F6F62">
        <w:rPr>
          <w:rFonts w:cs="Helvetica"/>
          <w:sz w:val="22"/>
          <w:szCs w:val="22"/>
          <w:highlight w:val="darkMagenta"/>
        </w:rPr>
        <w:t>Supplementary Figures shows the top 5 clusters</w:t>
      </w:r>
      <w:r w:rsidRPr="004F6F62">
        <w:rPr>
          <w:rFonts w:cs="Helvetica"/>
          <w:sz w:val="22"/>
          <w:szCs w:val="22"/>
        </w:rPr>
        <w:t xml:space="preserve">]. </w:t>
      </w:r>
      <w:r w:rsidR="001D6A71" w:rsidRPr="004F6F62">
        <w:rPr>
          <w:sz w:val="22"/>
          <w:szCs w:val="22"/>
        </w:rPr>
        <w:t>Using previously reported methods (Millar et al., 2024), we identified 32 hub genes proposed to play central roles in the broader network [</w:t>
      </w:r>
      <w:r w:rsidR="001D6A71" w:rsidRPr="004F6F62">
        <w:rPr>
          <w:sz w:val="22"/>
          <w:szCs w:val="22"/>
          <w:highlight w:val="darkMagenta"/>
        </w:rPr>
        <w:t>Figure 1F</w:t>
      </w:r>
      <w:r w:rsidR="001D6A71" w:rsidRPr="004F6F62">
        <w:rPr>
          <w:sz w:val="22"/>
          <w:szCs w:val="22"/>
        </w:rPr>
        <w:t xml:space="preserve">]. MCL clustering </w:t>
      </w:r>
      <w:r w:rsidR="004F6F62" w:rsidRPr="004F6F62">
        <w:rPr>
          <w:sz w:val="22"/>
          <w:szCs w:val="22"/>
        </w:rPr>
        <w:t xml:space="preserve">of this </w:t>
      </w:r>
      <w:r w:rsidR="004F6F62">
        <w:rPr>
          <w:sz w:val="22"/>
          <w:szCs w:val="22"/>
        </w:rPr>
        <w:t>hub</w:t>
      </w:r>
      <w:r w:rsidR="004F6F62" w:rsidRPr="004F6F62">
        <w:rPr>
          <w:sz w:val="22"/>
          <w:szCs w:val="22"/>
        </w:rPr>
        <w:t xml:space="preserve"> </w:t>
      </w:r>
      <w:r w:rsidR="001D6A71" w:rsidRPr="004F6F62">
        <w:rPr>
          <w:sz w:val="22"/>
          <w:szCs w:val="22"/>
        </w:rPr>
        <w:t>revealed three major clusters related to lymphocytes, corresponding to activation (red, blue), receptors (blue), and i</w:t>
      </w:r>
      <w:r w:rsidR="001D6A71" w:rsidRPr="004F6F62">
        <w:rPr>
          <w:sz w:val="22"/>
          <w:szCs w:val="22"/>
          <w:highlight w:val="green"/>
        </w:rPr>
        <w:t>mmunoglobulins</w:t>
      </w:r>
      <w:r w:rsidR="001D6A71" w:rsidRPr="004F6F62">
        <w:rPr>
          <w:sz w:val="22"/>
          <w:szCs w:val="22"/>
        </w:rPr>
        <w:t xml:space="preserve"> (green) (</w:t>
      </w:r>
      <w:r w:rsidR="001D6A71" w:rsidRPr="004F6F62">
        <w:rPr>
          <w:sz w:val="22"/>
          <w:szCs w:val="22"/>
          <w:highlight w:val="darkMagenta"/>
        </w:rPr>
        <w:t>Figure 1G</w:t>
      </w:r>
      <w:r w:rsidR="001D6A71" w:rsidRPr="004F6F62">
        <w:rPr>
          <w:sz w:val="22"/>
          <w:szCs w:val="22"/>
        </w:rPr>
        <w:t>).</w:t>
      </w:r>
    </w:p>
    <w:p w14:paraId="17861E94" w14:textId="77777777" w:rsidR="001D6A71" w:rsidRPr="005B64D9" w:rsidRDefault="001D6A71" w:rsidP="005D240B">
      <w:pPr>
        <w:spacing w:line="480" w:lineRule="auto"/>
        <w:jc w:val="both"/>
        <w:rPr>
          <w:sz w:val="22"/>
          <w:szCs w:val="22"/>
        </w:rPr>
      </w:pPr>
    </w:p>
    <w:p w14:paraId="5EE2D56F" w14:textId="77777777" w:rsidR="005D240B" w:rsidRPr="005B64D9" w:rsidRDefault="005D240B" w:rsidP="005D240B">
      <w:pPr>
        <w:spacing w:line="480" w:lineRule="auto"/>
        <w:jc w:val="both"/>
        <w:rPr>
          <w:i/>
          <w:iCs/>
          <w:sz w:val="22"/>
          <w:szCs w:val="22"/>
        </w:rPr>
      </w:pPr>
      <w:r w:rsidRPr="005B64D9">
        <w:rPr>
          <w:i/>
          <w:iCs/>
          <w:sz w:val="22"/>
          <w:szCs w:val="22"/>
        </w:rPr>
        <w:t>ARDS dataset</w:t>
      </w:r>
    </w:p>
    <w:p w14:paraId="375A8821" w14:textId="1586F8DD" w:rsidR="005D240B" w:rsidRDefault="005D240B" w:rsidP="005D240B">
      <w:pPr>
        <w:spacing w:line="480" w:lineRule="auto"/>
        <w:jc w:val="both"/>
        <w:rPr>
          <w:sz w:val="22"/>
          <w:szCs w:val="22"/>
        </w:rPr>
      </w:pPr>
      <w:r w:rsidRPr="005B64D9">
        <w:rPr>
          <w:sz w:val="22"/>
          <w:szCs w:val="22"/>
        </w:rPr>
        <w:t xml:space="preserve">Acute lung injury caused or worsened by mechanical ventilation during treatment is a feature of BPD in neonates and </w:t>
      </w:r>
      <w:proofErr w:type="gramStart"/>
      <w:r w:rsidRPr="005B64D9">
        <w:rPr>
          <w:sz w:val="22"/>
          <w:szCs w:val="22"/>
        </w:rPr>
        <w:t>Acute Respiratory Distress Syndrome</w:t>
      </w:r>
      <w:proofErr w:type="gramEnd"/>
      <w:r w:rsidRPr="005B64D9">
        <w:rPr>
          <w:sz w:val="22"/>
          <w:szCs w:val="22"/>
        </w:rPr>
        <w:t xml:space="preserve"> (ARDS) in adults (paediatric ARDS in children). We </w:t>
      </w:r>
      <w:r w:rsidR="00955096">
        <w:rPr>
          <w:sz w:val="22"/>
          <w:szCs w:val="22"/>
        </w:rPr>
        <w:t>wished</w:t>
      </w:r>
      <w:r w:rsidRPr="005B64D9">
        <w:rPr>
          <w:sz w:val="22"/>
          <w:szCs w:val="22"/>
        </w:rPr>
        <w:t xml:space="preserve"> to </w:t>
      </w:r>
      <w:r w:rsidR="00955096">
        <w:rPr>
          <w:sz w:val="22"/>
          <w:szCs w:val="22"/>
        </w:rPr>
        <w:t>characterise, as a first step</w:t>
      </w:r>
      <w:r w:rsidRPr="005B64D9">
        <w:rPr>
          <w:sz w:val="22"/>
          <w:szCs w:val="22"/>
        </w:rPr>
        <w:t xml:space="preserve"> firstly, the </w:t>
      </w:r>
      <w:r w:rsidR="00955096">
        <w:rPr>
          <w:sz w:val="22"/>
          <w:szCs w:val="22"/>
        </w:rPr>
        <w:t>shared of</w:t>
      </w:r>
      <w:r w:rsidRPr="005B64D9">
        <w:rPr>
          <w:sz w:val="22"/>
          <w:szCs w:val="22"/>
        </w:rPr>
        <w:t xml:space="preserve"> effects mechanical ventilation may have on the developed </w:t>
      </w:r>
      <w:r w:rsidR="00955096">
        <w:rPr>
          <w:sz w:val="22"/>
          <w:szCs w:val="22"/>
        </w:rPr>
        <w:t>and</w:t>
      </w:r>
      <w:r w:rsidRPr="005B64D9">
        <w:rPr>
          <w:sz w:val="22"/>
          <w:szCs w:val="22"/>
        </w:rPr>
        <w:t xml:space="preserve"> the developing lung, and to understand </w:t>
      </w:r>
      <w:r w:rsidR="00955096">
        <w:rPr>
          <w:sz w:val="22"/>
          <w:szCs w:val="22"/>
        </w:rPr>
        <w:t>distinct</w:t>
      </w:r>
      <w:r w:rsidRPr="005B64D9">
        <w:rPr>
          <w:sz w:val="22"/>
          <w:szCs w:val="22"/>
        </w:rPr>
        <w:t xml:space="preserve"> </w:t>
      </w:r>
      <w:r w:rsidRPr="005B64D9">
        <w:rPr>
          <w:sz w:val="22"/>
          <w:szCs w:val="22"/>
        </w:rPr>
        <w:lastRenderedPageBreak/>
        <w:t xml:space="preserve">factors that may underlie </w:t>
      </w:r>
      <w:r w:rsidR="00955096">
        <w:rPr>
          <w:sz w:val="22"/>
          <w:szCs w:val="22"/>
        </w:rPr>
        <w:t>each</w:t>
      </w:r>
      <w:r w:rsidRPr="005B64D9">
        <w:rPr>
          <w:sz w:val="22"/>
          <w:szCs w:val="22"/>
        </w:rPr>
        <w:t xml:space="preserve"> syndrome. </w:t>
      </w:r>
      <w:r w:rsidR="00955096">
        <w:rPr>
          <w:sz w:val="22"/>
          <w:szCs w:val="22"/>
        </w:rPr>
        <w:t>We</w:t>
      </w:r>
      <w:r w:rsidRPr="005B64D9">
        <w:rPr>
          <w:sz w:val="22"/>
          <w:szCs w:val="22"/>
        </w:rPr>
        <w:t xml:space="preserve"> evaluated </w:t>
      </w:r>
      <w:r w:rsidRPr="001B5DBE">
        <w:rPr>
          <w:sz w:val="22"/>
          <w:szCs w:val="22"/>
        </w:rPr>
        <w:t>the human BPD MAIC dataset</w:t>
      </w:r>
      <w:r w:rsidRPr="005B64D9">
        <w:rPr>
          <w:sz w:val="22"/>
          <w:szCs w:val="22"/>
        </w:rPr>
        <w:t xml:space="preserve"> against our previously generated ARDS MAIC analysis.</w:t>
      </w:r>
      <w:r w:rsidRPr="005B64D9">
        <w:rPr>
          <w:sz w:val="22"/>
          <w:szCs w:val="22"/>
        </w:rPr>
        <w:fldChar w:fldCharType="begin"/>
      </w:r>
      <w:r>
        <w:rPr>
          <w:sz w:val="22"/>
          <w:szCs w:val="22"/>
        </w:rPr>
        <w:instrText xml:space="preserve"> ADDIN ZOTERO_ITEM CSL_CITATION {"citationID":"RiRd1wzb","properties":{"formattedCitation":"(Millar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Pr>
          <w:rFonts w:cs="Times New Roman"/>
          <w:sz w:val="22"/>
          <w:szCs w:val="22"/>
        </w:rPr>
        <w:t>(Millar et al., 2024)</w:t>
      </w:r>
      <w:r w:rsidRPr="005B64D9">
        <w:rPr>
          <w:sz w:val="22"/>
          <w:szCs w:val="22"/>
        </w:rPr>
        <w:fldChar w:fldCharType="end"/>
      </w:r>
      <w:r w:rsidRPr="005B64D9">
        <w:rPr>
          <w:sz w:val="22"/>
          <w:szCs w:val="22"/>
        </w:rPr>
        <w:t xml:space="preserve"> </w:t>
      </w:r>
    </w:p>
    <w:p w14:paraId="15EDB832" w14:textId="77777777" w:rsidR="007C3ADC" w:rsidRPr="005B64D9" w:rsidRDefault="007C3ADC" w:rsidP="005D240B">
      <w:pPr>
        <w:spacing w:line="480" w:lineRule="auto"/>
        <w:jc w:val="both"/>
        <w:rPr>
          <w:sz w:val="22"/>
          <w:szCs w:val="22"/>
        </w:rPr>
      </w:pPr>
    </w:p>
    <w:p w14:paraId="5C5DFECB" w14:textId="71A19A0D" w:rsidR="005D240B" w:rsidRPr="00745C0E" w:rsidRDefault="005D240B" w:rsidP="005D240B">
      <w:pPr>
        <w:spacing w:line="480" w:lineRule="auto"/>
        <w:jc w:val="both"/>
        <w:rPr>
          <w:sz w:val="22"/>
          <w:szCs w:val="22"/>
          <w:highlight w:val="yellow"/>
        </w:rPr>
      </w:pPr>
      <w:r w:rsidRPr="005B64D9">
        <w:rPr>
          <w:sz w:val="22"/>
          <w:szCs w:val="22"/>
        </w:rPr>
        <w:t xml:space="preserve">Over Representation Analysis focusing on the prioritised genes from both datasets highlighted shared pathology relating to adaptive immunity with pathways associated with positive regulation </w:t>
      </w:r>
      <w:r w:rsidRPr="001B5DBE">
        <w:rPr>
          <w:rFonts w:ascii="Aptos" w:hAnsi="Aptos"/>
          <w:sz w:val="22"/>
          <w:szCs w:val="22"/>
        </w:rPr>
        <w:t>of T cell activation [</w:t>
      </w:r>
      <w:r w:rsidRPr="001B5DBE">
        <w:rPr>
          <w:rFonts w:ascii="Aptos" w:hAnsi="Aptos"/>
          <w:sz w:val="22"/>
          <w:szCs w:val="22"/>
          <w:highlight w:val="darkMagenta"/>
        </w:rPr>
        <w:t>Figure2A</w:t>
      </w:r>
      <w:r w:rsidRPr="001B5DBE">
        <w:rPr>
          <w:rFonts w:ascii="Aptos" w:hAnsi="Aptos"/>
          <w:sz w:val="22"/>
          <w:szCs w:val="22"/>
        </w:rPr>
        <w:t xml:space="preserve">]. While NF-kappa signal transduction is associated with ARDS, it does </w:t>
      </w:r>
      <w:r w:rsidR="001B5DBE" w:rsidRPr="001B5DBE">
        <w:rPr>
          <w:rFonts w:ascii="Aptos" w:hAnsi="Aptos"/>
          <w:sz w:val="22"/>
          <w:szCs w:val="22"/>
        </w:rPr>
        <w:t>it is not evident in our BPD dataset, suggesting a divergence in the underlying pathologies.</w:t>
      </w:r>
      <w:r w:rsidRPr="001B5DBE">
        <w:rPr>
          <w:rFonts w:ascii="Aptos" w:hAnsi="Aptos"/>
          <w:sz w:val="22"/>
          <w:szCs w:val="22"/>
        </w:rPr>
        <w:t xml:space="preserve"> </w:t>
      </w:r>
      <w:r w:rsidR="00745C0E" w:rsidRPr="001B5DBE">
        <w:rPr>
          <w:rFonts w:ascii="Aptos" w:hAnsi="Aptos"/>
          <w:sz w:val="22"/>
          <w:szCs w:val="22"/>
        </w:rPr>
        <w:t xml:space="preserve"> </w:t>
      </w:r>
      <w:r w:rsidRPr="001B5DBE">
        <w:rPr>
          <w:rFonts w:ascii="Aptos" w:hAnsi="Aptos"/>
          <w:sz w:val="22"/>
          <w:szCs w:val="22"/>
        </w:rPr>
        <w:t>We then sought the overlap between both datasets, to find the genes most likely to be associated</w:t>
      </w:r>
      <w:r w:rsidRPr="005B64D9">
        <w:rPr>
          <w:sz w:val="22"/>
          <w:szCs w:val="22"/>
        </w:rPr>
        <w:t xml:space="preserve"> with both syndromes from the literature. There were 112 genes that overlapped in the prioritised sets from both datasets,</w:t>
      </w:r>
      <w:r>
        <w:rPr>
          <w:sz w:val="22"/>
          <w:szCs w:val="22"/>
        </w:rPr>
        <w:t xml:space="preserve"> [</w:t>
      </w:r>
      <w:r w:rsidRPr="00B822A7">
        <w:rPr>
          <w:sz w:val="22"/>
          <w:szCs w:val="22"/>
          <w:highlight w:val="darkMagenta"/>
        </w:rPr>
        <w:t>Figure2B</w:t>
      </w:r>
      <w:r>
        <w:rPr>
          <w:sz w:val="22"/>
          <w:szCs w:val="22"/>
        </w:rPr>
        <w:t>]</w:t>
      </w:r>
      <w:r w:rsidRPr="005B64D9">
        <w:rPr>
          <w:sz w:val="22"/>
          <w:szCs w:val="22"/>
        </w:rPr>
        <w:t xml:space="preserve"> and this overlap was found to be significant using a hypergeometric test using the protein-coding genome as the background set (p&lt;0.005).</w:t>
      </w:r>
      <w:r w:rsidR="00745C0E">
        <w:rPr>
          <w:sz w:val="22"/>
          <w:szCs w:val="22"/>
        </w:rPr>
        <w:t xml:space="preserve"> </w:t>
      </w:r>
      <w:r w:rsidRPr="005B64D9">
        <w:rPr>
          <w:sz w:val="22"/>
          <w:szCs w:val="22"/>
        </w:rPr>
        <w:t xml:space="preserve"> </w:t>
      </w:r>
      <w:r w:rsidR="00745C0E">
        <w:rPr>
          <w:sz w:val="22"/>
          <w:szCs w:val="22"/>
        </w:rPr>
        <w:t xml:space="preserve">We </w:t>
      </w:r>
      <w:r w:rsidR="00745C0E" w:rsidRPr="0077789B">
        <w:rPr>
          <w:sz w:val="22"/>
          <w:szCs w:val="22"/>
        </w:rPr>
        <w:t>assess</w:t>
      </w:r>
      <w:r w:rsidR="00745C0E">
        <w:rPr>
          <w:sz w:val="22"/>
          <w:szCs w:val="22"/>
        </w:rPr>
        <w:t>ed</w:t>
      </w:r>
      <w:r w:rsidR="00745C0E" w:rsidRPr="0077789B">
        <w:rPr>
          <w:sz w:val="22"/>
          <w:szCs w:val="22"/>
        </w:rPr>
        <w:t xml:space="preserve"> the degree of similarity between ranked lists</w:t>
      </w:r>
      <w:r w:rsidR="00745C0E">
        <w:rPr>
          <w:sz w:val="22"/>
          <w:szCs w:val="22"/>
        </w:rPr>
        <w:t xml:space="preserve"> and found much of the overlap </w:t>
      </w:r>
      <w:proofErr w:type="gramStart"/>
      <w:r w:rsidR="00745C0E">
        <w:rPr>
          <w:sz w:val="22"/>
          <w:szCs w:val="22"/>
        </w:rPr>
        <w:t>occurred</w:t>
      </w:r>
      <w:r w:rsidR="001B5DBE">
        <w:rPr>
          <w:sz w:val="22"/>
          <w:szCs w:val="22"/>
        </w:rPr>
        <w:t xml:space="preserve"> </w:t>
      </w:r>
      <w:r w:rsidR="00745C0E" w:rsidRPr="005B64D9">
        <w:rPr>
          <w:sz w:val="22"/>
          <w:szCs w:val="22"/>
        </w:rPr>
        <w:t xml:space="preserve"> </w:t>
      </w:r>
      <w:r w:rsidR="001B5DBE">
        <w:rPr>
          <w:sz w:val="22"/>
          <w:szCs w:val="22"/>
        </w:rPr>
        <w:t>toward</w:t>
      </w:r>
      <w:proofErr w:type="gramEnd"/>
      <w:r w:rsidR="001B5DBE">
        <w:rPr>
          <w:sz w:val="22"/>
          <w:szCs w:val="22"/>
        </w:rPr>
        <w:t xml:space="preserve"> the top of the lists. [</w:t>
      </w:r>
      <w:r w:rsidR="001B5DBE" w:rsidRPr="001B5DBE">
        <w:rPr>
          <w:sz w:val="22"/>
          <w:szCs w:val="22"/>
          <w:highlight w:val="darkMagenta"/>
        </w:rPr>
        <w:t>Figure 2C</w:t>
      </w:r>
      <w:r w:rsidR="001B5DBE">
        <w:rPr>
          <w:sz w:val="22"/>
          <w:szCs w:val="22"/>
        </w:rPr>
        <w:t xml:space="preserve">]. </w:t>
      </w:r>
      <w:r w:rsidRPr="005B64D9">
        <w:rPr>
          <w:sz w:val="22"/>
          <w:szCs w:val="22"/>
        </w:rPr>
        <w:t>Over representation analysis found leukocyte mediated immunity, lymphocyte mediated immunity</w:t>
      </w:r>
      <w:r w:rsidR="009F3C8A">
        <w:rPr>
          <w:sz w:val="22"/>
          <w:szCs w:val="22"/>
        </w:rPr>
        <w:t>,</w:t>
      </w:r>
      <w:r w:rsidRPr="005B64D9">
        <w:rPr>
          <w:sz w:val="22"/>
          <w:szCs w:val="22"/>
        </w:rPr>
        <w:t xml:space="preserve"> and positive regulation of </w:t>
      </w:r>
      <w:r w:rsidRPr="00C2707E">
        <w:rPr>
          <w:color w:val="000000" w:themeColor="text1"/>
          <w:sz w:val="22"/>
          <w:szCs w:val="22"/>
        </w:rPr>
        <w:t>both</w:t>
      </w:r>
      <w:r w:rsidRPr="005B64D9">
        <w:rPr>
          <w:sz w:val="22"/>
          <w:szCs w:val="22"/>
        </w:rPr>
        <w:t xml:space="preserve"> T cells and type II interferon were highlighted [</w:t>
      </w:r>
      <w:r w:rsidRPr="00B822A7">
        <w:rPr>
          <w:sz w:val="22"/>
          <w:szCs w:val="22"/>
          <w:highlight w:val="darkMagenta"/>
        </w:rPr>
        <w:t>Figure2</w:t>
      </w:r>
      <w:r w:rsidR="001B5DBE" w:rsidRPr="001B5DBE">
        <w:rPr>
          <w:sz w:val="22"/>
          <w:szCs w:val="22"/>
          <w:highlight w:val="darkMagenta"/>
        </w:rPr>
        <w:t>D</w:t>
      </w:r>
      <w:r w:rsidRPr="005B64D9">
        <w:rPr>
          <w:sz w:val="22"/>
          <w:szCs w:val="22"/>
        </w:rPr>
        <w:t>]</w:t>
      </w:r>
      <w:r w:rsidR="00642B03">
        <w:rPr>
          <w:sz w:val="22"/>
          <w:szCs w:val="22"/>
        </w:rPr>
        <w:t xml:space="preserve"> in the overlapping genes</w:t>
      </w:r>
      <w:r w:rsidRPr="005B64D9">
        <w:rPr>
          <w:sz w:val="22"/>
          <w:szCs w:val="22"/>
        </w:rPr>
        <w:t xml:space="preserve">. </w:t>
      </w:r>
      <w:r w:rsidR="00C2707E" w:rsidRPr="00C2707E">
        <w:rPr>
          <w:sz w:val="22"/>
          <w:szCs w:val="22"/>
        </w:rPr>
        <w:t xml:space="preserve">A PPI network focused on the overlap between datasets identifies a hub consisting of 5 genes </w:t>
      </w:r>
      <w:r w:rsidR="000C33C9">
        <w:rPr>
          <w:sz w:val="22"/>
          <w:szCs w:val="22"/>
        </w:rPr>
        <w:t>with roles in</w:t>
      </w:r>
      <w:r w:rsidR="00C2707E" w:rsidRPr="00C2707E">
        <w:rPr>
          <w:sz w:val="22"/>
          <w:szCs w:val="22"/>
        </w:rPr>
        <w:t xml:space="preserve"> IL8 signalling (</w:t>
      </w:r>
      <w:r w:rsidR="00C2707E" w:rsidRPr="007816AD">
        <w:rPr>
          <w:i/>
          <w:iCs/>
          <w:sz w:val="22"/>
          <w:szCs w:val="22"/>
        </w:rPr>
        <w:t>CXCL8, MMP9</w:t>
      </w:r>
      <w:r w:rsidR="00C2707E" w:rsidRPr="00C2707E">
        <w:rPr>
          <w:sz w:val="22"/>
          <w:szCs w:val="22"/>
        </w:rPr>
        <w:t>) and lymphocyte surface receptors (</w:t>
      </w:r>
      <w:r w:rsidR="00C2707E" w:rsidRPr="007816AD">
        <w:rPr>
          <w:i/>
          <w:iCs/>
          <w:sz w:val="22"/>
          <w:szCs w:val="22"/>
        </w:rPr>
        <w:t>CD4, CD40, CD2</w:t>
      </w:r>
      <w:r w:rsidR="00C2707E" w:rsidRPr="00C2707E">
        <w:rPr>
          <w:sz w:val="22"/>
          <w:szCs w:val="22"/>
        </w:rPr>
        <w:t>). [</w:t>
      </w:r>
      <w:r w:rsidR="00C2707E" w:rsidRPr="00F76418">
        <w:rPr>
          <w:color w:val="000000" w:themeColor="text1"/>
          <w:sz w:val="22"/>
          <w:szCs w:val="22"/>
          <w:highlight w:val="darkMagenta"/>
        </w:rPr>
        <w:t xml:space="preserve">Figure </w:t>
      </w:r>
      <w:r w:rsidR="00C2707E" w:rsidRPr="001B5DBE">
        <w:rPr>
          <w:color w:val="000000" w:themeColor="text1"/>
          <w:sz w:val="22"/>
          <w:szCs w:val="22"/>
          <w:highlight w:val="darkMagenta"/>
        </w:rPr>
        <w:t>2</w:t>
      </w:r>
      <w:r w:rsidR="001B5DBE" w:rsidRPr="001B5DBE">
        <w:rPr>
          <w:color w:val="000000" w:themeColor="text1"/>
          <w:sz w:val="22"/>
          <w:szCs w:val="22"/>
          <w:highlight w:val="darkMagenta"/>
        </w:rPr>
        <w:t>E</w:t>
      </w:r>
      <w:r w:rsidR="00C2707E" w:rsidRPr="00C2707E">
        <w:rPr>
          <w:color w:val="000000" w:themeColor="text1"/>
          <w:sz w:val="22"/>
          <w:szCs w:val="22"/>
        </w:rPr>
        <w:t>].</w:t>
      </w:r>
    </w:p>
    <w:p w14:paraId="03C54BD5" w14:textId="77777777" w:rsidR="00BD33E1" w:rsidRPr="00C2707E" w:rsidRDefault="00BD33E1" w:rsidP="005D240B">
      <w:pPr>
        <w:spacing w:line="480" w:lineRule="auto"/>
        <w:jc w:val="both"/>
        <w:rPr>
          <w:i/>
          <w:iCs/>
          <w:color w:val="000000" w:themeColor="text1"/>
          <w:sz w:val="22"/>
          <w:szCs w:val="22"/>
        </w:rPr>
      </w:pPr>
    </w:p>
    <w:p w14:paraId="1D04AC08" w14:textId="77777777" w:rsidR="005D240B" w:rsidRPr="005B64D9" w:rsidRDefault="005D240B" w:rsidP="005D240B">
      <w:pPr>
        <w:spacing w:line="480" w:lineRule="auto"/>
        <w:jc w:val="both"/>
        <w:rPr>
          <w:i/>
          <w:iCs/>
          <w:sz w:val="22"/>
          <w:szCs w:val="22"/>
        </w:rPr>
      </w:pPr>
      <w:r w:rsidRPr="005B64D9">
        <w:rPr>
          <w:i/>
          <w:iCs/>
          <w:sz w:val="22"/>
          <w:szCs w:val="22"/>
        </w:rPr>
        <w:t>Meta-Analysis by Information Content of rodent studies</w:t>
      </w:r>
    </w:p>
    <w:p w14:paraId="5748732A" w14:textId="77777777" w:rsidR="005D240B" w:rsidRPr="007733E8" w:rsidRDefault="005D240B" w:rsidP="005D240B">
      <w:pPr>
        <w:spacing w:line="480" w:lineRule="auto"/>
        <w:jc w:val="both"/>
        <w:rPr>
          <w:sz w:val="22"/>
          <w:szCs w:val="22"/>
        </w:rPr>
      </w:pPr>
      <w:r w:rsidRPr="005B64D9">
        <w:rPr>
          <w:sz w:val="22"/>
          <w:szCs w:val="22"/>
        </w:rPr>
        <w:t>From 20 eligible rodent BPD studies [</w:t>
      </w:r>
      <w:r w:rsidRPr="00B822A7">
        <w:rPr>
          <w:sz w:val="22"/>
          <w:szCs w:val="22"/>
          <w:highlight w:val="darkMagenta"/>
        </w:rPr>
        <w:t>Supplementary Figure 2</w:t>
      </w:r>
      <w:r w:rsidRPr="00FE63F4">
        <w:rPr>
          <w:sz w:val="22"/>
          <w:szCs w:val="22"/>
          <w:highlight w:val="darkMagenta"/>
        </w:rPr>
        <w:t>, Table 2</w:t>
      </w:r>
      <w:r w:rsidRPr="005B64D9">
        <w:rPr>
          <w:sz w:val="22"/>
          <w:szCs w:val="22"/>
        </w:rPr>
        <w:t xml:space="preserve">] we extracted 35 gene lists for MAIC analysis (28 ranked and 7 unranked), employing 5 experimental techniques </w:t>
      </w:r>
      <w:r>
        <w:rPr>
          <w:sz w:val="22"/>
          <w:szCs w:val="22"/>
        </w:rPr>
        <w:t>(</w:t>
      </w:r>
      <w:r w:rsidRPr="00B822A7">
        <w:rPr>
          <w:sz w:val="22"/>
          <w:szCs w:val="22"/>
          <w:highlight w:val="darkMagenta"/>
        </w:rPr>
        <w:t>Supplementary Table 3</w:t>
      </w:r>
      <w:r>
        <w:rPr>
          <w:sz w:val="22"/>
          <w:szCs w:val="22"/>
        </w:rPr>
        <w:t>)</w:t>
      </w:r>
      <w:r w:rsidRPr="005B64D9">
        <w:rPr>
          <w:sz w:val="22"/>
          <w:szCs w:val="22"/>
        </w:rPr>
        <w:t>. Of these studies, 13 used mice models and 7 used rat models</w:t>
      </w:r>
      <w:r>
        <w:rPr>
          <w:sz w:val="22"/>
          <w:szCs w:val="22"/>
        </w:rPr>
        <w:t xml:space="preserve">. </w:t>
      </w:r>
      <w:r w:rsidRPr="002470AF">
        <w:rPr>
          <w:sz w:val="22"/>
          <w:szCs w:val="22"/>
        </w:rPr>
        <w:t>The study therefore reflects primarily a rodent dataset rather than the broader non</w:t>
      </w:r>
      <w:r w:rsidRPr="002470AF">
        <w:rPr>
          <w:rFonts w:ascii="Cambria Math" w:hAnsi="Cambria Math" w:cs="Cambria Math"/>
          <w:sz w:val="22"/>
          <w:szCs w:val="22"/>
        </w:rPr>
        <w:t>‑</w:t>
      </w:r>
      <w:r w:rsidRPr="002470AF">
        <w:rPr>
          <w:sz w:val="22"/>
          <w:szCs w:val="22"/>
        </w:rPr>
        <w:t>human mammalian dataset originally intended.</w:t>
      </w:r>
      <w:r>
        <w:rPr>
          <w:sz w:val="22"/>
          <w:szCs w:val="22"/>
        </w:rPr>
        <w:t xml:space="preserve"> </w:t>
      </w:r>
      <w:r w:rsidRPr="005B64D9">
        <w:rPr>
          <w:sz w:val="22"/>
          <w:szCs w:val="22"/>
        </w:rPr>
        <w:t xml:space="preserve">The majority (17/20; 85%) </w:t>
      </w:r>
      <w:r>
        <w:rPr>
          <w:sz w:val="22"/>
          <w:szCs w:val="22"/>
        </w:rPr>
        <w:t xml:space="preserve">of studies </w:t>
      </w:r>
      <w:r w:rsidRPr="005B64D9">
        <w:rPr>
          <w:sz w:val="22"/>
          <w:szCs w:val="22"/>
        </w:rPr>
        <w:t xml:space="preserve">modelled BPD by exposing neonatal pups to a </w:t>
      </w:r>
      <w:proofErr w:type="spellStart"/>
      <w:r w:rsidRPr="005B64D9">
        <w:rPr>
          <w:sz w:val="22"/>
          <w:szCs w:val="22"/>
        </w:rPr>
        <w:t>hyperoxic</w:t>
      </w:r>
      <w:proofErr w:type="spellEnd"/>
      <w:r w:rsidRPr="005B64D9">
        <w:rPr>
          <w:sz w:val="22"/>
          <w:szCs w:val="22"/>
        </w:rPr>
        <w:t xml:space="preserve"> environment, though the approaches differed; there was variation in the timeframe of hyperoxia (from 3 days to 14 days), recovery in room air (0 days to </w:t>
      </w:r>
      <w:r w:rsidRPr="005B64D9">
        <w:rPr>
          <w:sz w:val="22"/>
          <w:szCs w:val="22"/>
        </w:rPr>
        <w:lastRenderedPageBreak/>
        <w:t xml:space="preserve">57 days), continuous versus intermittent hyperoxia, and the percent oxygen (70 – 100%) used across the studies. Other methods to model BPD in rodent models included lipopolysaccharide (LPS) treatment (1 study) and induced IUGR through maternal diet (1 study). All but one included study used lung tissue for analyses. </w:t>
      </w:r>
      <w:r>
        <w:rPr>
          <w:sz w:val="22"/>
          <w:szCs w:val="22"/>
        </w:rPr>
        <w:t>MAIC collated</w:t>
      </w:r>
      <w:r w:rsidRPr="005B64D9">
        <w:rPr>
          <w:sz w:val="22"/>
          <w:szCs w:val="22"/>
        </w:rPr>
        <w:t xml:space="preserve"> 7637 genes across all datasets</w:t>
      </w:r>
      <w:r>
        <w:rPr>
          <w:sz w:val="22"/>
          <w:szCs w:val="22"/>
        </w:rPr>
        <w:t xml:space="preserve"> [</w:t>
      </w:r>
      <w:r w:rsidRPr="00B822A7">
        <w:rPr>
          <w:sz w:val="22"/>
          <w:szCs w:val="22"/>
          <w:highlight w:val="red"/>
        </w:rPr>
        <w:t>Figure 3A</w:t>
      </w:r>
      <w:r>
        <w:rPr>
          <w:sz w:val="22"/>
          <w:szCs w:val="22"/>
        </w:rPr>
        <w:t xml:space="preserve">, </w:t>
      </w:r>
      <w:r w:rsidRPr="00B822A7">
        <w:rPr>
          <w:sz w:val="22"/>
          <w:szCs w:val="22"/>
          <w:highlight w:val="darkMagenta"/>
        </w:rPr>
        <w:t>Supplementary table 5</w:t>
      </w:r>
      <w:r>
        <w:rPr>
          <w:sz w:val="22"/>
          <w:szCs w:val="22"/>
        </w:rPr>
        <w:t>] and</w:t>
      </w:r>
      <w:r w:rsidRPr="005B64D9">
        <w:rPr>
          <w:sz w:val="22"/>
          <w:szCs w:val="22"/>
        </w:rPr>
        <w:t xml:space="preserve"> 3 genes were supported by evidence from &gt;=4 experimental techniques (</w:t>
      </w:r>
      <w:r w:rsidRPr="00DA5C8C">
        <w:rPr>
          <w:i/>
          <w:iCs/>
          <w:sz w:val="22"/>
          <w:szCs w:val="22"/>
        </w:rPr>
        <w:t>RAC2</w:t>
      </w:r>
      <w:r w:rsidRPr="005B64D9">
        <w:rPr>
          <w:sz w:val="22"/>
          <w:szCs w:val="22"/>
        </w:rPr>
        <w:t xml:space="preserve">, </w:t>
      </w:r>
      <w:r w:rsidRPr="00DA5C8C">
        <w:rPr>
          <w:i/>
          <w:iCs/>
          <w:sz w:val="22"/>
          <w:szCs w:val="22"/>
        </w:rPr>
        <w:t>CXCR2</w:t>
      </w:r>
      <w:r w:rsidRPr="005B64D9">
        <w:rPr>
          <w:sz w:val="22"/>
          <w:szCs w:val="22"/>
        </w:rPr>
        <w:t xml:space="preserve">, </w:t>
      </w:r>
      <w:r w:rsidRPr="00DA5C8C">
        <w:rPr>
          <w:i/>
          <w:iCs/>
          <w:sz w:val="22"/>
          <w:szCs w:val="22"/>
        </w:rPr>
        <w:t>IL1R2</w:t>
      </w:r>
      <w:r w:rsidRPr="005B64D9">
        <w:rPr>
          <w:sz w:val="22"/>
          <w:szCs w:val="22"/>
        </w:rPr>
        <w:t>).</w:t>
      </w:r>
      <w:r>
        <w:rPr>
          <w:sz w:val="22"/>
          <w:szCs w:val="22"/>
        </w:rPr>
        <w:t xml:space="preserve"> </w:t>
      </w:r>
      <w:r w:rsidRPr="005B64D9">
        <w:rPr>
          <w:sz w:val="22"/>
          <w:szCs w:val="22"/>
        </w:rPr>
        <w:t xml:space="preserve"> One in five genes were supported by more than 1 method (n = 1597, 20.91%), with 141 genes (1.85%) supported by &gt;=3 methods. </w:t>
      </w:r>
      <w:r>
        <w:rPr>
          <w:sz w:val="22"/>
          <w:szCs w:val="22"/>
        </w:rPr>
        <w:t xml:space="preserve"> Immune processes are again represented within the top ten genes (</w:t>
      </w:r>
      <w:r w:rsidRPr="007733E8">
        <w:rPr>
          <w:i/>
          <w:iCs/>
          <w:sz w:val="22"/>
          <w:szCs w:val="22"/>
        </w:rPr>
        <w:t>RAC2</w:t>
      </w:r>
      <w:r>
        <w:rPr>
          <w:sz w:val="22"/>
          <w:szCs w:val="22"/>
        </w:rPr>
        <w:t xml:space="preserve">, </w:t>
      </w:r>
      <w:r w:rsidRPr="007733E8">
        <w:rPr>
          <w:i/>
          <w:iCs/>
          <w:sz w:val="22"/>
          <w:szCs w:val="22"/>
        </w:rPr>
        <w:t>CXCR2</w:t>
      </w:r>
      <w:r>
        <w:rPr>
          <w:sz w:val="22"/>
          <w:szCs w:val="22"/>
        </w:rPr>
        <w:t xml:space="preserve">, </w:t>
      </w:r>
      <w:r w:rsidRPr="007733E8">
        <w:rPr>
          <w:i/>
          <w:iCs/>
          <w:sz w:val="22"/>
          <w:szCs w:val="22"/>
        </w:rPr>
        <w:t>IL1R2</w:t>
      </w:r>
      <w:r>
        <w:rPr>
          <w:sz w:val="22"/>
          <w:szCs w:val="22"/>
        </w:rPr>
        <w:t xml:space="preserve">, </w:t>
      </w:r>
      <w:r w:rsidRPr="007733E8">
        <w:rPr>
          <w:i/>
          <w:iCs/>
          <w:sz w:val="22"/>
          <w:szCs w:val="22"/>
        </w:rPr>
        <w:t>CCDC3</w:t>
      </w:r>
      <w:r>
        <w:rPr>
          <w:sz w:val="22"/>
          <w:szCs w:val="22"/>
        </w:rPr>
        <w:t xml:space="preserve">, </w:t>
      </w:r>
      <w:r w:rsidRPr="007733E8">
        <w:rPr>
          <w:i/>
          <w:iCs/>
          <w:sz w:val="22"/>
          <w:szCs w:val="22"/>
        </w:rPr>
        <w:t>PTGS2</w:t>
      </w:r>
      <w:r>
        <w:rPr>
          <w:sz w:val="22"/>
          <w:szCs w:val="22"/>
        </w:rPr>
        <w:t xml:space="preserve">). Interestingly, </w:t>
      </w:r>
      <w:r w:rsidRPr="007733E8">
        <w:rPr>
          <w:i/>
          <w:iCs/>
          <w:sz w:val="22"/>
          <w:szCs w:val="22"/>
        </w:rPr>
        <w:t>IL1R2</w:t>
      </w:r>
      <w:r>
        <w:rPr>
          <w:sz w:val="22"/>
          <w:szCs w:val="22"/>
        </w:rPr>
        <w:t xml:space="preserve"> is shared between the top 10 lists of both analyses. </w:t>
      </w:r>
      <w:r w:rsidRPr="005B64D9">
        <w:rPr>
          <w:sz w:val="22"/>
          <w:szCs w:val="22"/>
        </w:rPr>
        <w:t>We prioritised 1783 genes for further investigation</w:t>
      </w:r>
      <w:r>
        <w:rPr>
          <w:sz w:val="22"/>
          <w:szCs w:val="22"/>
        </w:rPr>
        <w:t xml:space="preserve"> [</w:t>
      </w:r>
      <w:r w:rsidRPr="00034A3A">
        <w:rPr>
          <w:sz w:val="22"/>
          <w:szCs w:val="22"/>
          <w:highlight w:val="darkMagenta"/>
        </w:rPr>
        <w:t>Figure 3B</w:t>
      </w:r>
      <w:r>
        <w:rPr>
          <w:sz w:val="22"/>
          <w:szCs w:val="22"/>
        </w:rPr>
        <w:t>]</w:t>
      </w:r>
      <w:r w:rsidRPr="005B64D9">
        <w:rPr>
          <w:sz w:val="22"/>
          <w:szCs w:val="22"/>
        </w:rPr>
        <w:t>.</w:t>
      </w:r>
    </w:p>
    <w:p w14:paraId="1176FE4F" w14:textId="77777777" w:rsidR="005D240B" w:rsidRPr="005B64D9" w:rsidRDefault="005D240B" w:rsidP="005D240B">
      <w:pPr>
        <w:spacing w:line="480" w:lineRule="auto"/>
        <w:jc w:val="both"/>
        <w:rPr>
          <w:b/>
          <w:bCs/>
          <w:sz w:val="22"/>
          <w:szCs w:val="22"/>
        </w:rPr>
      </w:pPr>
    </w:p>
    <w:p w14:paraId="1D06CD55" w14:textId="77777777" w:rsidR="005D240B" w:rsidRPr="005B64D9" w:rsidRDefault="005D240B" w:rsidP="005D240B">
      <w:pPr>
        <w:spacing w:line="480" w:lineRule="auto"/>
        <w:rPr>
          <w:i/>
          <w:iCs/>
          <w:sz w:val="22"/>
          <w:szCs w:val="22"/>
        </w:rPr>
      </w:pPr>
      <w:r w:rsidRPr="005B64D9">
        <w:rPr>
          <w:i/>
          <w:iCs/>
          <w:sz w:val="22"/>
          <w:szCs w:val="22"/>
        </w:rPr>
        <w:t>Rodent functional enrichment</w:t>
      </w:r>
    </w:p>
    <w:p w14:paraId="28FFE4F0" w14:textId="619E1BEA" w:rsidR="005D240B" w:rsidRPr="005B64D9" w:rsidRDefault="005D240B" w:rsidP="005D240B">
      <w:pPr>
        <w:spacing w:line="480" w:lineRule="auto"/>
        <w:jc w:val="both"/>
        <w:rPr>
          <w:sz w:val="22"/>
          <w:szCs w:val="22"/>
        </w:rPr>
      </w:pPr>
      <w:r w:rsidRPr="005B64D9">
        <w:rPr>
          <w:sz w:val="22"/>
          <w:szCs w:val="22"/>
        </w:rPr>
        <w:t>Gene ontology ORA revealed a significant overrepresentation of pathways related to myeloid cells and development of muscle tissue and extracellular matrix organisation</w:t>
      </w:r>
      <w:r w:rsidR="009B65CF">
        <w:rPr>
          <w:sz w:val="22"/>
          <w:szCs w:val="22"/>
        </w:rPr>
        <w:t xml:space="preserve"> </w:t>
      </w:r>
      <w:r w:rsidRPr="005B64D9">
        <w:rPr>
          <w:sz w:val="22"/>
          <w:szCs w:val="22"/>
        </w:rPr>
        <w:t>[</w:t>
      </w:r>
      <w:r w:rsidRPr="00034A3A">
        <w:rPr>
          <w:sz w:val="22"/>
          <w:szCs w:val="22"/>
          <w:highlight w:val="darkMagenta"/>
        </w:rPr>
        <w:t>Figure 3C</w:t>
      </w:r>
      <w:r w:rsidRPr="005B64D9">
        <w:rPr>
          <w:sz w:val="22"/>
          <w:szCs w:val="22"/>
        </w:rPr>
        <w:t xml:space="preserve">]. Regulation of T cell activation is also observed though is less prominent than seen in the human results. </w:t>
      </w:r>
      <w:r w:rsidR="000C33C9">
        <w:rPr>
          <w:sz w:val="22"/>
          <w:szCs w:val="22"/>
        </w:rPr>
        <w:t>We</w:t>
      </w:r>
      <w:r w:rsidRPr="005B64D9">
        <w:rPr>
          <w:sz w:val="22"/>
          <w:szCs w:val="22"/>
        </w:rPr>
        <w:t xml:space="preserve"> created a protein-protein interaction (PPI) network. MCL clustering identified </w:t>
      </w:r>
      <w:r>
        <w:rPr>
          <w:sz w:val="22"/>
          <w:szCs w:val="22"/>
        </w:rPr>
        <w:t>55</w:t>
      </w:r>
      <w:r w:rsidRPr="005B64D9">
        <w:rPr>
          <w:sz w:val="22"/>
          <w:szCs w:val="22"/>
        </w:rPr>
        <w:t xml:space="preserve"> clusters with &gt;=5 members</w:t>
      </w:r>
      <w:r w:rsidR="00A55110">
        <w:rPr>
          <w:sz w:val="22"/>
          <w:szCs w:val="22"/>
        </w:rPr>
        <w:t xml:space="preserve"> [</w:t>
      </w:r>
      <w:r w:rsidR="00A55110" w:rsidRPr="00CF1C78">
        <w:rPr>
          <w:sz w:val="22"/>
          <w:szCs w:val="22"/>
          <w:highlight w:val="darkMagenta"/>
        </w:rPr>
        <w:t>Suppl</w:t>
      </w:r>
      <w:r w:rsidR="00CF1C78" w:rsidRPr="00CF1C78">
        <w:rPr>
          <w:sz w:val="22"/>
          <w:szCs w:val="22"/>
          <w:highlight w:val="darkMagenta"/>
        </w:rPr>
        <w:t>e</w:t>
      </w:r>
      <w:r w:rsidR="00A55110" w:rsidRPr="00CF1C78">
        <w:rPr>
          <w:sz w:val="22"/>
          <w:szCs w:val="22"/>
          <w:highlight w:val="darkMagenta"/>
        </w:rPr>
        <w:t>mentary Figure</w:t>
      </w:r>
      <w:r w:rsidR="00A55110">
        <w:rPr>
          <w:sz w:val="22"/>
          <w:szCs w:val="22"/>
        </w:rPr>
        <w:t>]</w:t>
      </w:r>
      <w:r w:rsidRPr="005B64D9">
        <w:rPr>
          <w:sz w:val="22"/>
          <w:szCs w:val="22"/>
        </w:rPr>
        <w:t xml:space="preserve">. The 21 largest clusters contained &gt;=10 members. Among these, we found programs associated with the adaptive immune response and mitosis. We used the PPI network to identify 13 hub genes, </w:t>
      </w:r>
      <w:r w:rsidR="00A55110">
        <w:rPr>
          <w:sz w:val="22"/>
          <w:szCs w:val="22"/>
        </w:rPr>
        <w:t>including FC gamma receptors [</w:t>
      </w:r>
      <w:r w:rsidR="00A55110" w:rsidRPr="00A55110">
        <w:rPr>
          <w:i/>
          <w:iCs/>
          <w:sz w:val="22"/>
          <w:szCs w:val="22"/>
        </w:rPr>
        <w:t>FCGR1A, FCGR2A, FCGR2B</w:t>
      </w:r>
      <w:r w:rsidR="00A55110">
        <w:rPr>
          <w:sz w:val="22"/>
          <w:szCs w:val="22"/>
        </w:rPr>
        <w:t>] and lymphocyte markers [</w:t>
      </w:r>
      <w:r w:rsidR="00A55110" w:rsidRPr="00CF1C78">
        <w:rPr>
          <w:i/>
          <w:iCs/>
          <w:sz w:val="22"/>
          <w:szCs w:val="22"/>
        </w:rPr>
        <w:t>CD3E, CD2</w:t>
      </w:r>
      <w:r w:rsidR="00A55110">
        <w:rPr>
          <w:sz w:val="22"/>
          <w:szCs w:val="22"/>
        </w:rPr>
        <w:t xml:space="preserve">], </w:t>
      </w:r>
      <w:r w:rsidRPr="005B64D9">
        <w:rPr>
          <w:sz w:val="22"/>
          <w:szCs w:val="22"/>
        </w:rPr>
        <w:t>suggested as being central to the wider network</w:t>
      </w:r>
      <w:r>
        <w:rPr>
          <w:sz w:val="22"/>
          <w:szCs w:val="22"/>
        </w:rPr>
        <w:t xml:space="preserve"> [</w:t>
      </w:r>
      <w:r w:rsidRPr="00D3572D">
        <w:rPr>
          <w:i/>
          <w:iCs/>
          <w:sz w:val="22"/>
          <w:szCs w:val="22"/>
          <w:highlight w:val="darkMagenta"/>
        </w:rPr>
        <w:t>Figure 3D</w:t>
      </w:r>
      <w:r>
        <w:rPr>
          <w:sz w:val="22"/>
          <w:szCs w:val="22"/>
        </w:rPr>
        <w:t>]</w:t>
      </w:r>
      <w:r w:rsidRPr="005B64D9">
        <w:rPr>
          <w:sz w:val="22"/>
          <w:szCs w:val="22"/>
        </w:rPr>
        <w:t>.</w:t>
      </w:r>
    </w:p>
    <w:p w14:paraId="7BFE815B" w14:textId="77777777" w:rsidR="005D240B" w:rsidRPr="005B64D9" w:rsidRDefault="005D240B" w:rsidP="005D240B">
      <w:pPr>
        <w:spacing w:line="480" w:lineRule="auto"/>
        <w:jc w:val="both"/>
        <w:rPr>
          <w:sz w:val="22"/>
          <w:szCs w:val="22"/>
        </w:rPr>
      </w:pPr>
    </w:p>
    <w:p w14:paraId="6DB58CC5" w14:textId="77777777" w:rsidR="005D240B" w:rsidRPr="005B64D9" w:rsidRDefault="005D240B" w:rsidP="005D240B">
      <w:pPr>
        <w:spacing w:line="480" w:lineRule="auto"/>
        <w:jc w:val="both"/>
        <w:rPr>
          <w:i/>
          <w:iCs/>
          <w:sz w:val="22"/>
          <w:szCs w:val="22"/>
        </w:rPr>
      </w:pPr>
      <w:r>
        <w:rPr>
          <w:i/>
          <w:iCs/>
          <w:sz w:val="22"/>
          <w:szCs w:val="22"/>
        </w:rPr>
        <w:t>Comparison</w:t>
      </w:r>
      <w:r w:rsidRPr="005B64D9">
        <w:rPr>
          <w:i/>
          <w:iCs/>
          <w:sz w:val="22"/>
          <w:szCs w:val="22"/>
        </w:rPr>
        <w:t xml:space="preserve"> of human and rodent datasets</w:t>
      </w:r>
    </w:p>
    <w:p w14:paraId="68E66690" w14:textId="0BB71AC9" w:rsidR="005D240B" w:rsidRDefault="005D240B" w:rsidP="005D240B">
      <w:pPr>
        <w:spacing w:line="480" w:lineRule="auto"/>
        <w:rPr>
          <w:sz w:val="22"/>
          <w:szCs w:val="22"/>
        </w:rPr>
      </w:pPr>
      <w:r w:rsidRPr="005B64D9">
        <w:rPr>
          <w:sz w:val="22"/>
          <w:szCs w:val="22"/>
        </w:rPr>
        <w:t>Ontology ORA showed that while the adaptive immune signal observed</w:t>
      </w:r>
      <w:r>
        <w:rPr>
          <w:sz w:val="22"/>
          <w:szCs w:val="22"/>
        </w:rPr>
        <w:t xml:space="preserve"> in humans</w:t>
      </w:r>
      <w:r w:rsidRPr="005B64D9">
        <w:rPr>
          <w:sz w:val="22"/>
          <w:szCs w:val="22"/>
        </w:rPr>
        <w:t xml:space="preserve"> above was seen in the rodent dataset, the rodent dataset also highlights the role of the extracellular matrix and wound healing [</w:t>
      </w:r>
      <w:r w:rsidRPr="008C6988">
        <w:rPr>
          <w:sz w:val="22"/>
          <w:szCs w:val="22"/>
          <w:highlight w:val="darkMagenta"/>
        </w:rPr>
        <w:t xml:space="preserve">Figure </w:t>
      </w:r>
      <w:r w:rsidRPr="00D3572D">
        <w:rPr>
          <w:sz w:val="22"/>
          <w:szCs w:val="22"/>
          <w:highlight w:val="darkMagenta"/>
        </w:rPr>
        <w:t>4A</w:t>
      </w:r>
      <w:r w:rsidRPr="005B64D9">
        <w:rPr>
          <w:sz w:val="22"/>
          <w:szCs w:val="22"/>
        </w:rPr>
        <w:t>].</w:t>
      </w:r>
      <w:r>
        <w:rPr>
          <w:sz w:val="22"/>
          <w:szCs w:val="22"/>
        </w:rPr>
        <w:t xml:space="preserve"> </w:t>
      </w:r>
      <w:r w:rsidRPr="005B64D9">
        <w:rPr>
          <w:sz w:val="22"/>
          <w:szCs w:val="22"/>
        </w:rPr>
        <w:t xml:space="preserve">The gross overlap between the two parallel MAIC analyses </w:t>
      </w:r>
      <w:r w:rsidRPr="005B64D9">
        <w:rPr>
          <w:sz w:val="22"/>
          <w:szCs w:val="22"/>
        </w:rPr>
        <w:lastRenderedPageBreak/>
        <w:t>carried out in this study was not shown to be significant by hypergeometric test (p&gt;0.5). However, focusing on the prioritised genes from both datasets</w:t>
      </w:r>
      <w:r w:rsidR="00E715A3">
        <w:rPr>
          <w:sz w:val="22"/>
          <w:szCs w:val="22"/>
        </w:rPr>
        <w:t xml:space="preserve"> </w:t>
      </w:r>
      <w:r w:rsidRPr="005B64D9">
        <w:rPr>
          <w:sz w:val="22"/>
          <w:szCs w:val="22"/>
        </w:rPr>
        <w:t>indicated the overlap</w:t>
      </w:r>
      <w:r>
        <w:rPr>
          <w:sz w:val="22"/>
          <w:szCs w:val="22"/>
        </w:rPr>
        <w:t xml:space="preserve"> of 163 genes [</w:t>
      </w:r>
      <w:r w:rsidRPr="008C6988">
        <w:rPr>
          <w:sz w:val="22"/>
          <w:szCs w:val="22"/>
          <w:highlight w:val="darkMagenta"/>
        </w:rPr>
        <w:t xml:space="preserve">Figure </w:t>
      </w:r>
      <w:r w:rsidRPr="00D3572D">
        <w:rPr>
          <w:sz w:val="22"/>
          <w:szCs w:val="22"/>
          <w:highlight w:val="darkMagenta"/>
        </w:rPr>
        <w:t>4B</w:t>
      </w:r>
      <w:r>
        <w:rPr>
          <w:sz w:val="22"/>
          <w:szCs w:val="22"/>
        </w:rPr>
        <w:t>]</w:t>
      </w:r>
      <w:r w:rsidRPr="005B64D9">
        <w:rPr>
          <w:sz w:val="22"/>
          <w:szCs w:val="22"/>
        </w:rPr>
        <w:t xml:space="preserve"> was significant [</w:t>
      </w:r>
      <w:r w:rsidRPr="00034A3A">
        <w:rPr>
          <w:sz w:val="22"/>
          <w:szCs w:val="22"/>
          <w:highlight w:val="darkMagenta"/>
        </w:rPr>
        <w:t>Supplementary Table 6</w:t>
      </w:r>
      <w:r w:rsidRPr="005B64D9">
        <w:rPr>
          <w:sz w:val="22"/>
          <w:szCs w:val="22"/>
        </w:rPr>
        <w:t>]</w:t>
      </w:r>
      <w:commentRangeStart w:id="2"/>
      <w:r>
        <w:rPr>
          <w:sz w:val="22"/>
          <w:szCs w:val="22"/>
        </w:rPr>
        <w:t>.</w:t>
      </w:r>
      <w:commentRangeEnd w:id="2"/>
      <w:r w:rsidR="00053511">
        <w:rPr>
          <w:rStyle w:val="CommentReference"/>
        </w:rPr>
        <w:commentReference w:id="2"/>
      </w:r>
      <w:r>
        <w:rPr>
          <w:sz w:val="22"/>
          <w:szCs w:val="22"/>
        </w:rPr>
        <w:t xml:space="preserve"> </w:t>
      </w:r>
      <w:r w:rsidR="00E715A3">
        <w:rPr>
          <w:sz w:val="22"/>
          <w:szCs w:val="22"/>
        </w:rPr>
        <w:t>The</w:t>
      </w:r>
      <w:r w:rsidR="00E715A3" w:rsidRPr="0077789B">
        <w:rPr>
          <w:sz w:val="22"/>
          <w:szCs w:val="22"/>
        </w:rPr>
        <w:t xml:space="preserve"> similarity between ranked lists</w:t>
      </w:r>
      <w:r w:rsidR="00E715A3">
        <w:rPr>
          <w:sz w:val="22"/>
          <w:szCs w:val="22"/>
        </w:rPr>
        <w:t xml:space="preserve"> occurred predominantly</w:t>
      </w:r>
      <w:r w:rsidR="00E715A3" w:rsidRPr="005B64D9">
        <w:rPr>
          <w:sz w:val="22"/>
          <w:szCs w:val="22"/>
        </w:rPr>
        <w:t xml:space="preserve"> </w:t>
      </w:r>
      <w:r w:rsidR="00E715A3">
        <w:rPr>
          <w:sz w:val="22"/>
          <w:szCs w:val="22"/>
        </w:rPr>
        <w:t>toward the top of the prioritised lists. [</w:t>
      </w:r>
      <w:r w:rsidR="00E715A3" w:rsidRPr="00E715A3">
        <w:rPr>
          <w:sz w:val="22"/>
          <w:szCs w:val="22"/>
          <w:highlight w:val="darkMagenta"/>
        </w:rPr>
        <w:t>Figure 4C</w:t>
      </w:r>
      <w:r w:rsidR="00E715A3">
        <w:rPr>
          <w:sz w:val="22"/>
          <w:szCs w:val="22"/>
        </w:rPr>
        <w:t xml:space="preserve">] </w:t>
      </w:r>
    </w:p>
    <w:p w14:paraId="503977BA" w14:textId="6CA39553" w:rsidR="00097860" w:rsidRDefault="00097860" w:rsidP="00097860">
      <w:pPr>
        <w:spacing w:line="480" w:lineRule="auto"/>
        <w:rPr>
          <w:sz w:val="22"/>
          <w:szCs w:val="22"/>
        </w:rPr>
      </w:pPr>
      <w:r>
        <w:rPr>
          <w:sz w:val="22"/>
          <w:szCs w:val="22"/>
        </w:rPr>
        <w:t>Focusing on the overlapping genes, a</w:t>
      </w:r>
      <w:r w:rsidRPr="00C2707E">
        <w:rPr>
          <w:sz w:val="22"/>
          <w:szCs w:val="22"/>
        </w:rPr>
        <w:t xml:space="preserve"> PPI network consisting of </w:t>
      </w:r>
      <w:r>
        <w:rPr>
          <w:sz w:val="22"/>
          <w:szCs w:val="22"/>
        </w:rPr>
        <w:t>2</w:t>
      </w:r>
      <w:r w:rsidRPr="00C2707E">
        <w:rPr>
          <w:sz w:val="22"/>
          <w:szCs w:val="22"/>
        </w:rPr>
        <w:t xml:space="preserve"> genes</w:t>
      </w:r>
      <w:r>
        <w:rPr>
          <w:sz w:val="22"/>
          <w:szCs w:val="22"/>
        </w:rPr>
        <w:t xml:space="preserve"> is revealed. The B cell marker </w:t>
      </w:r>
      <w:r w:rsidRPr="0025365D">
        <w:rPr>
          <w:i/>
          <w:iCs/>
          <w:sz w:val="22"/>
          <w:szCs w:val="22"/>
        </w:rPr>
        <w:t xml:space="preserve">CD27 </w:t>
      </w:r>
      <w:r>
        <w:rPr>
          <w:sz w:val="22"/>
          <w:szCs w:val="22"/>
        </w:rPr>
        <w:t xml:space="preserve">which is thought to be required for maintenance of T cell immunity </w:t>
      </w:r>
      <w:r>
        <w:rPr>
          <w:sz w:val="22"/>
          <w:szCs w:val="22"/>
        </w:rPr>
        <w:fldChar w:fldCharType="begin"/>
      </w:r>
      <w:r>
        <w:rPr>
          <w:sz w:val="22"/>
          <w:szCs w:val="22"/>
        </w:rPr>
        <w:instrText xml:space="preserve"> ADDIN ZOTERO_ITEM CSL_CITATION {"citationID":"NPiAEnWM","properties":{"formattedCitation":"(Hendriks et al., 2000)","plainCitation":"(Hendriks et al., 2000)","noteIndex":0},"citationItems":[{"id":2495,"uris":["http://zotero.org/users/14418362/items/TD833W6I"],"itemData":{"id":2495,"type":"article-journal","container-title":"Nature Immunology","DOI":"10.1038/80877","ISSN":"1529-2908, 1529-2916","issue":"5","journalAbbreviation":"Nat Immunol","language":"en","license":"http://www.springer.com/tdm","page":"433-440","source":"DOI.org (Crossref)","title":"CD27 is required for generation and long-term maintenance of T cell immunity","URL":"https://www.nature.com/articles/ni1100_433","volume":"1","author":[{"family":"Hendriks","given":"Jenny"},{"family":"Gravestein","given":"Loes A."},{"family":"Tesselaar","given":"Kiki"},{"family":"Van Lier","given":"René A. W."},{"family":"Schumacher","given":"Ton N. M."},{"family":"Borst","given":"Jannie"}],"accessed":{"date-parts":[["2025",9,4]]},"issued":{"date-parts":[["2000",11]]}}}],"schema":"https://github.com/citation-style-language/schema/raw/master/csl-citation.json"} </w:instrText>
      </w:r>
      <w:r>
        <w:rPr>
          <w:sz w:val="22"/>
          <w:szCs w:val="22"/>
        </w:rPr>
        <w:fldChar w:fldCharType="separate"/>
      </w:r>
      <w:r>
        <w:rPr>
          <w:noProof/>
          <w:sz w:val="22"/>
          <w:szCs w:val="22"/>
        </w:rPr>
        <w:t>(Hendriks et al., 2000)</w:t>
      </w:r>
      <w:r>
        <w:rPr>
          <w:sz w:val="22"/>
          <w:szCs w:val="22"/>
        </w:rPr>
        <w:fldChar w:fldCharType="end"/>
      </w:r>
      <w:r>
        <w:rPr>
          <w:sz w:val="22"/>
          <w:szCs w:val="22"/>
        </w:rPr>
        <w:t xml:space="preserve"> and the stimulatory T cell receptor </w:t>
      </w:r>
      <w:r w:rsidRPr="0025365D">
        <w:rPr>
          <w:i/>
          <w:iCs/>
          <w:sz w:val="22"/>
          <w:szCs w:val="22"/>
        </w:rPr>
        <w:t>ICOS</w:t>
      </w:r>
      <w:r>
        <w:rPr>
          <w:sz w:val="22"/>
          <w:szCs w:val="22"/>
        </w:rPr>
        <w:t xml:space="preserve">. </w:t>
      </w:r>
    </w:p>
    <w:p w14:paraId="112B3BB2" w14:textId="47B2FE4D" w:rsidR="007C3ADC" w:rsidRDefault="007C3ADC" w:rsidP="005D240B">
      <w:pPr>
        <w:spacing w:line="480" w:lineRule="auto"/>
        <w:rPr>
          <w:sz w:val="22"/>
          <w:szCs w:val="22"/>
        </w:rPr>
      </w:pPr>
    </w:p>
    <w:p w14:paraId="7C6C0E41" w14:textId="77777777" w:rsidR="001B5DBE" w:rsidRDefault="001B5DBE" w:rsidP="005D240B">
      <w:pPr>
        <w:spacing w:line="480" w:lineRule="auto"/>
        <w:rPr>
          <w:sz w:val="22"/>
          <w:szCs w:val="22"/>
        </w:rPr>
      </w:pPr>
    </w:p>
    <w:p w14:paraId="69F98C09" w14:textId="77777777" w:rsidR="005D240B" w:rsidRPr="005B64D9" w:rsidRDefault="005D240B" w:rsidP="005D240B">
      <w:pPr>
        <w:spacing w:line="480" w:lineRule="auto"/>
        <w:rPr>
          <w:sz w:val="22"/>
          <w:szCs w:val="22"/>
        </w:rPr>
      </w:pPr>
    </w:p>
    <w:p w14:paraId="257E1A6D" w14:textId="77777777" w:rsidR="005D240B" w:rsidRPr="005B64D9" w:rsidRDefault="005D240B" w:rsidP="005D240B">
      <w:pPr>
        <w:spacing w:line="480" w:lineRule="auto"/>
        <w:rPr>
          <w:b/>
          <w:bCs/>
          <w:sz w:val="22"/>
          <w:szCs w:val="22"/>
        </w:rPr>
      </w:pPr>
      <w:r w:rsidRPr="005B64D9">
        <w:rPr>
          <w:sz w:val="22"/>
          <w:szCs w:val="22"/>
        </w:rPr>
        <w:br w:type="column"/>
      </w:r>
      <w:r w:rsidRPr="005B64D9">
        <w:rPr>
          <w:b/>
          <w:bCs/>
          <w:sz w:val="22"/>
          <w:szCs w:val="22"/>
        </w:rPr>
        <w:lastRenderedPageBreak/>
        <w:t>Discussion</w:t>
      </w:r>
    </w:p>
    <w:p w14:paraId="71C88350" w14:textId="50726DB6" w:rsidR="005D240B" w:rsidRDefault="005D240B" w:rsidP="005D240B">
      <w:pPr>
        <w:spacing w:line="480" w:lineRule="auto"/>
        <w:rPr>
          <w:sz w:val="22"/>
          <w:szCs w:val="22"/>
        </w:rPr>
      </w:pPr>
      <w:r w:rsidRPr="000E0505">
        <w:rPr>
          <w:sz w:val="22"/>
          <w:szCs w:val="22"/>
        </w:rPr>
        <w:t>The clinical and biological heterogeneity of BPD presents challenges for identifying the molecular processes that drive progression of the disease. To address this, we applied a</w:t>
      </w:r>
      <w:r>
        <w:rPr>
          <w:sz w:val="22"/>
          <w:szCs w:val="22"/>
        </w:rPr>
        <w:t xml:space="preserve"> validated</w:t>
      </w:r>
      <w:r w:rsidRPr="000E0505">
        <w:rPr>
          <w:i/>
          <w:iCs/>
          <w:sz w:val="22"/>
          <w:szCs w:val="22"/>
        </w:rPr>
        <w:t xml:space="preserve"> in </w:t>
      </w:r>
      <w:r w:rsidRPr="005A5A49">
        <w:rPr>
          <w:i/>
          <w:iCs/>
          <w:sz w:val="22"/>
          <w:szCs w:val="22"/>
        </w:rPr>
        <w:t xml:space="preserve">silico </w:t>
      </w:r>
      <w:r w:rsidRPr="005A5A49">
        <w:rPr>
          <w:sz w:val="22"/>
          <w:szCs w:val="22"/>
        </w:rPr>
        <w:t xml:space="preserve">approach to systematically integrate and prioritise existing genome-scale BPD datasets from both human and rodent studies.  </w:t>
      </w:r>
      <w:r w:rsidR="006030CD">
        <w:rPr>
          <w:sz w:val="22"/>
          <w:szCs w:val="22"/>
        </w:rPr>
        <w:t>Further to this, we</w:t>
      </w:r>
      <w:r w:rsidRPr="005A5A49">
        <w:rPr>
          <w:sz w:val="22"/>
          <w:szCs w:val="22"/>
        </w:rPr>
        <w:t xml:space="preserve"> compared our</w:t>
      </w:r>
      <w:r w:rsidR="006030CD">
        <w:rPr>
          <w:sz w:val="22"/>
          <w:szCs w:val="22"/>
        </w:rPr>
        <w:t xml:space="preserve"> human BPD MAIC results</w:t>
      </w:r>
      <w:r w:rsidRPr="005A5A49">
        <w:rPr>
          <w:sz w:val="22"/>
          <w:szCs w:val="22"/>
        </w:rPr>
        <w:t xml:space="preserve"> to</w:t>
      </w:r>
      <w:r w:rsidR="00F76418">
        <w:rPr>
          <w:sz w:val="22"/>
          <w:szCs w:val="22"/>
        </w:rPr>
        <w:t xml:space="preserve"> </w:t>
      </w:r>
      <w:r w:rsidRPr="005A5A49">
        <w:rPr>
          <w:sz w:val="22"/>
          <w:szCs w:val="22"/>
        </w:rPr>
        <w:t xml:space="preserve">previously generated similar output for ARDS generated within our lab. </w:t>
      </w:r>
    </w:p>
    <w:p w14:paraId="66C7A733" w14:textId="2EE1156A" w:rsidR="005400FE" w:rsidRDefault="001E7CF0" w:rsidP="00456715">
      <w:pPr>
        <w:spacing w:line="480" w:lineRule="auto"/>
        <w:rPr>
          <w:sz w:val="22"/>
          <w:szCs w:val="22"/>
        </w:rPr>
      </w:pPr>
      <w:r>
        <w:rPr>
          <w:sz w:val="22"/>
          <w:szCs w:val="22"/>
        </w:rPr>
        <w:t xml:space="preserve">Processes associated with lymphocytic cell development and activation are strongly represented throughout our results. Cell-type specific enrichment analysis of genes </w:t>
      </w:r>
      <w:r>
        <w:rPr>
          <w:sz w:val="22"/>
          <w:szCs w:val="22"/>
        </w:rPr>
        <w:fldChar w:fldCharType="begin"/>
      </w:r>
      <w:r>
        <w:rPr>
          <w:sz w:val="22"/>
          <w:szCs w:val="22"/>
        </w:rPr>
        <w:instrText xml:space="preserve"> ADDIN ZOTERO_ITEM CSL_CITATION {"citationID":"qycrGrlJ","properties":{"formattedCitation":"(Dai et al., 2022)","plainCitation":"(Dai et al., 2022)","noteIndex":0},"citationItems":[{"id":2494,"uris":["http://zotero.org/users/14418362/items/UR9I3N8T"],"itemData":{"id":2494,"type":"article-journal","abstract":"Abstract\n            Human complex traits and common diseases show tissue- and cell-type- specificity. Recently, single-cell RNA sequencing (scRNA-seq) technology has successfully depicted cellular heterogeneity in human tissue, providing an unprecedented opportunity to understand the context-specific expression of complex trait-associated genes in human tissue-cell types (TCs). Here, we present the first web-based application to quickly assess the cell-type-specificity of genes, named Web-based Cell-type Specific Enrichment Analysis of Genes (WebCSEA, available at https://bioinfo.uth.edu/webcsea/). Specifically, we curated a total of 111 scRNA-seq panels of human tissues and 1,355 TCs from 61 different general tissues across 11 human organ systems. We adapted our previous decoding tissue-specificity (deTS) algorithm to measure the enrichment for each tissue-cell type (TC). To overcome the potential bias from the number of signature genes between different TCs, we further developed a permutation-based method that accurately estimates the TC-specificity of a given inquiry gene list. WebCSEA also provides an interactive heatmap that displays the cell-type specificity across 1355 human TCs, and other interactive and static visualizations of cell-type specificity by human organ system, developmental stage, and top-ranked tissues and cell types. In short, WebCSEA is a one-click application that provides a comprehensive exploration of the TC-specificity of genes among human major TC map.","container-title":"Nucleic Acids Research","DOI":"10.1093/nar/gkac392","ISSN":"0305-1048, 1362-4962","issue":"W1","language":"en","license":"https://creativecommons.org/licenses/by/4.0/","page":"W782-W790","source":"DOI.org (Crossref)","title":"WebCSEA: web-based cell-type-specific enrichment analysis of genes","title-short":"WebCSEA","URL":"https://academic.oup.com/nar/article/50/W1/W782/6591520","volume":"50","author":[{"family":"Dai","given":"Yulin"},{"family":"Hu","given":"Ruifeng"},{"family":"Liu","given":"Andi"},{"family":"Cho","given":"Kyung Serk"},{"family":"Manuel","given":"Astrid Marilyn"},{"family":"Li","given":"Xiaoyang"},{"family":"Dong","given":"Xianjun"},{"family":"Jia","given":"Peilin"},{"family":"Zhao","given":"Zhongming"}],"accessed":{"date-parts":[["2025",9,2]]},"issued":{"date-parts":[["2022",7,5]]}}}],"schema":"https://github.com/citation-style-language/schema/raw/master/csl-citation.json"} </w:instrText>
      </w:r>
      <w:r>
        <w:rPr>
          <w:sz w:val="22"/>
          <w:szCs w:val="22"/>
        </w:rPr>
        <w:fldChar w:fldCharType="separate"/>
      </w:r>
      <w:r>
        <w:rPr>
          <w:noProof/>
          <w:sz w:val="22"/>
          <w:szCs w:val="22"/>
        </w:rPr>
        <w:t>(Dai et al., 2022)</w:t>
      </w:r>
      <w:r>
        <w:rPr>
          <w:sz w:val="22"/>
          <w:szCs w:val="22"/>
        </w:rPr>
        <w:fldChar w:fldCharType="end"/>
      </w:r>
      <w:r>
        <w:rPr>
          <w:sz w:val="22"/>
          <w:szCs w:val="22"/>
        </w:rPr>
        <w:t xml:space="preserve"> in our prioritised human dataset (supplementary figure 5) reinforce this</w:t>
      </w:r>
      <w:r w:rsidR="00D47C81">
        <w:rPr>
          <w:sz w:val="22"/>
          <w:szCs w:val="22"/>
        </w:rPr>
        <w:t>, as B-cells, NK cells and T-cells are the most over-represented cell types observed</w:t>
      </w:r>
      <w:r>
        <w:rPr>
          <w:sz w:val="22"/>
          <w:szCs w:val="22"/>
        </w:rPr>
        <w:t>.</w:t>
      </w:r>
      <w:r w:rsidR="00D47C81">
        <w:rPr>
          <w:sz w:val="22"/>
          <w:szCs w:val="22"/>
        </w:rPr>
        <w:t xml:space="preserve"> </w:t>
      </w:r>
      <w:r>
        <w:rPr>
          <w:sz w:val="22"/>
          <w:szCs w:val="22"/>
        </w:rPr>
        <w:t xml:space="preserve"> </w:t>
      </w:r>
      <w:r w:rsidR="00C817ED" w:rsidRPr="005A5A49">
        <w:rPr>
          <w:rFonts w:cs="Calibri"/>
          <w:color w:val="000000" w:themeColor="text1"/>
          <w:sz w:val="22"/>
          <w:szCs w:val="22"/>
        </w:rPr>
        <w:t xml:space="preserve">Our findings prioritise specific elements of the </w:t>
      </w:r>
      <w:r w:rsidR="00C817ED">
        <w:rPr>
          <w:rFonts w:cs="Calibri"/>
          <w:color w:val="000000" w:themeColor="text1"/>
          <w:sz w:val="22"/>
          <w:szCs w:val="22"/>
        </w:rPr>
        <w:t>T cell</w:t>
      </w:r>
      <w:r w:rsidR="00C817ED" w:rsidRPr="005A5A49">
        <w:rPr>
          <w:rFonts w:cs="Calibri"/>
          <w:color w:val="000000" w:themeColor="text1"/>
          <w:sz w:val="22"/>
          <w:szCs w:val="22"/>
        </w:rPr>
        <w:t xml:space="preserve"> immune response</w:t>
      </w:r>
      <w:r w:rsidR="00C817ED">
        <w:rPr>
          <w:rFonts w:cs="Calibri"/>
          <w:color w:val="000000" w:themeColor="text1"/>
          <w:sz w:val="22"/>
          <w:szCs w:val="22"/>
        </w:rPr>
        <w:t>, in</w:t>
      </w:r>
      <w:r w:rsidR="00C817ED" w:rsidRPr="005A5A49">
        <w:rPr>
          <w:rFonts w:cs="Calibri"/>
          <w:color w:val="000000" w:themeColor="text1"/>
          <w:sz w:val="22"/>
          <w:szCs w:val="22"/>
        </w:rPr>
        <w:t xml:space="preserve"> particular development and adhesion.</w:t>
      </w:r>
      <w:r w:rsidR="00C817ED">
        <w:rPr>
          <w:rFonts w:cs="Calibri"/>
          <w:color w:val="000000" w:themeColor="text1"/>
          <w:sz w:val="22"/>
          <w:szCs w:val="22"/>
        </w:rPr>
        <w:t xml:space="preserve"> This is not without foundation within the literature.  A recent study of potential transcriptomic endotypes in BPD focused on the </w:t>
      </w:r>
      <w:r w:rsidR="00C817ED" w:rsidRPr="00AB2D4D">
        <w:rPr>
          <w:rFonts w:cs="Calibri"/>
          <w:color w:val="000000" w:themeColor="text1"/>
          <w:sz w:val="22"/>
          <w:szCs w:val="22"/>
        </w:rPr>
        <w:t>Pietrzyk</w:t>
      </w:r>
      <w:r w:rsidR="00C817ED">
        <w:rPr>
          <w:rFonts w:cs="Calibri"/>
          <w:color w:val="000000" w:themeColor="text1"/>
          <w:sz w:val="22"/>
          <w:szCs w:val="22"/>
        </w:rPr>
        <w:t xml:space="preserve"> dataset included in our analysis.</w:t>
      </w:r>
      <w:r w:rsidR="00C817ED" w:rsidRPr="00EA1A53">
        <w:rPr>
          <w:rFonts w:cs="Calibri"/>
          <w:color w:val="000000" w:themeColor="text1"/>
          <w:sz w:val="22"/>
          <w:szCs w:val="22"/>
        </w:rPr>
        <w:fldChar w:fldCharType="begin"/>
      </w:r>
      <w:r w:rsidR="00C817ED" w:rsidRPr="00EA1A53">
        <w:rPr>
          <w:rFonts w:cs="Calibri"/>
          <w:color w:val="000000" w:themeColor="text1"/>
          <w:sz w:val="22"/>
          <w:szCs w:val="22"/>
        </w:rPr>
        <w:instrText xml:space="preserve"> ADDIN ZOTERO_ITEM CSL_CITATION {"citationID":"m8civNmW","properties":{"formattedCitation":"(Moreira et al., 2023; Pietrzyk et al., 2013)","plainCitation":"(Moreira et al., 2023; Pietrzyk et al., 2013)","noteIndex":0},"citationItems":[{"id":1738,"uris":["http://zotero.org/users/14418362/items/4FM3ID98"],"itemData":{"id":1738,"type":"article-journal","abstract":"IMPACT: Bronchopulmonary dysplasia has multiple definitions that are currently based on phenotypic characteristics. Using an unsupervised machine learning approach, we created BPD subclasses (e.g., endotypes) by clustering whole microarray data. T helper 17 cell differentiation was the most significant pathway differentiating the BPD endotypes., INTRODUCTION: Bronchopulmonary dysplasia (BPD) is the most common complication of extreme prematurity. Discovery of BPD endotypes in an unbiased format, derived from the peripheral blood transcriptome, may uncover patterns underpinning this complex lung disease., METHODS: An unsupervised agglomerative hierarchical clustering approach applied to genome-wide expression of profiling from 62 children at day of life five was used to identify BPD endotypes. To identify which genes were differentially expressed across the BPD endotypes, we formulated a linear model based on least-squares minimization with empirical Bayes statistics., RESULTS: Four BPD endotypes (A, B,C,D) were identified using 7,319 differentially expressed genes. Across BPD endotypes, 5,850 genes had a p value &lt; 0.05 after multiple comparison testing. Endotype A consisted of neonates with a higher gestational age and birthweight. Endotypes B-D included neonates between 25 and 26 weeks and a birthweight range of 640 to 940 g. Endotype D appeared to have a protective role against BPD compared to Endotypes B and C (36% vs. 62% vs. 60%, respectively). The most significant pathway focused on T helper 17 cell differentiation., CONCLUSION: Bioinformatic analyses can help identify BPD endotypes that associate with clinical definitions of BPD. Copyright © 2023. The Author(s).","archive":"Ovid MEDLINE(R) &lt;2023 to 2024&gt;","container-title":"Respiratory research","DOI":"10.1186/s12931-023-02596-y","ISSN":"1465-9921","issue":"1","title":"Leveraging transcriptomics to develop bronchopulmonary dysplasia endotypes: a concept paper.","URL":"http://ovidsp.ovid.com/ovidweb.cgi?T=JS&amp;PAGE=reference&amp;D=med24&amp;NEWS=N&amp;AN=37968635","volume":"24","author":[{"family":"Moreira","given":"Alvaro G"},{"family":"Arora","given":"Tanima"},{"family":"Arya","given":"Shreyas"},{"family":"Winter","given":"Caitlyn"},{"family":"Valadie","given":"Charles T"},{"family":"Kwinta","given":"Przemko"}],"issued":{"date-parts":[["2023"]]}}},{"id":1723,"uris":["http://zotero.org/users/14418362/items/4P4GWIER"],"itemData":{"id":1723,"type":"article-journal","abstract":"RATIONALE: Bronchopulmonary dysplasia is one of the most serious complications observed in premature infants. Thanks to microarray technique, expression of nearly all human genes can be reliably evaluated., OBJECTIVE: To compare whole genome expression in the first month of life in groups of infants with and without bronchopulmonary dysplasia., METHODS: 111 newborns were included in the study. The mean birth weight was 1029 g (SD:290), and the mean gestational age was 27.8 weeks (SD:2.5). Blood samples were drawn from the study participants on the 5th, 14th and 28th day of life. The mRNA samples were evaluated for gene expression with the use of GeneChip R Human Gene 1.0 ST microarrays. The infants were divided into two groups: bronchopulmonary dysplasia (n=68) and control (n=43)., RESULTS: Overall 2086 genes were differentially expressed on the day 5, only 324 on the day 14 and 3498 on the day 28. Based on pathway enrichment analysis we found that the cell cycle pathway was up-regulated in the bronchopulmonary dysplasia group. The activation of this pathway does not seem to be related with the maturity of the infant. Four pathways related to inflammatory response were continuously on the 5(th), 14(th) and 28(th) day of life down-regulated in the bronchopulmonary dysplasia group. However, the expression of genes depended on both factors: immaturity and disease severity. The most significantly down-regulated pathway was the T cell receptor signaling pathway., CONCLUSION: The results of the whole genome expression study revealed alteration of the expression of nearly 10% of the genome in bronchopulmonary dysplasia patients.","archive":"Ovid MEDLINE(R) &lt;2013&gt;","container-title":"PloS one","DOI":"10.1371/journal.pone.0078585","ISSN":"1932-6203","issue":"10","title":"Gene expression profiling in preterm infants: new aspects of bronchopulmonary dysplasia development.","URL":"http://ovidsp.ovid.com/ovidweb.cgi?T=JS&amp;PAGE=reference&amp;D=med10&amp;NEWS=N&amp;AN=24194948","volume":"8","author":[{"family":"Pietrzyk","given":"Jacek J"},{"family":"Kwinta","given":"Przemko"},{"family":"Wollen","given":"Embjorg J"},{"family":"Bik-Multanowski","given":"Miroslaw"},{"family":"Madetko-Talowska","given":"Anna"},{"family":"Gunther","given":"Clara-Cecilie"},{"family":"Jagla","given":"Mateusz"},{"family":"Tomasik","given":"Tomasz"},{"family":"Saugstad","given":"Ola D"}],"issued":{"date-parts":[["2013"]]}}}],"schema":"https://github.com/citation-style-language/schema/raw/master/csl-citation.json"} </w:instrText>
      </w:r>
      <w:r w:rsidR="00C817ED" w:rsidRPr="00EA1A53">
        <w:rPr>
          <w:rFonts w:cs="Calibri"/>
          <w:color w:val="000000" w:themeColor="text1"/>
          <w:sz w:val="22"/>
          <w:szCs w:val="22"/>
        </w:rPr>
        <w:fldChar w:fldCharType="separate"/>
      </w:r>
      <w:r w:rsidR="00C817ED" w:rsidRPr="00EA1A53">
        <w:rPr>
          <w:rFonts w:cs="Calibri"/>
          <w:noProof/>
          <w:color w:val="000000" w:themeColor="text1"/>
          <w:sz w:val="22"/>
          <w:szCs w:val="22"/>
        </w:rPr>
        <w:t>(Moreira et al., 2023; Pietrzyk et al., 2013)</w:t>
      </w:r>
      <w:r w:rsidR="00C817ED" w:rsidRPr="00EA1A53">
        <w:rPr>
          <w:rFonts w:cs="Calibri"/>
          <w:color w:val="000000" w:themeColor="text1"/>
          <w:sz w:val="22"/>
          <w:szCs w:val="22"/>
        </w:rPr>
        <w:fldChar w:fldCharType="end"/>
      </w:r>
      <w:r w:rsidR="00C817ED" w:rsidRPr="00EA1A53">
        <w:rPr>
          <w:rFonts w:cs="Calibri"/>
          <w:color w:val="000000" w:themeColor="text1"/>
          <w:sz w:val="22"/>
          <w:szCs w:val="22"/>
        </w:rPr>
        <w:t xml:space="preserve"> and identified 4 potential endotypes underlying BPD progression. T helper 17 (Th17) differentiation </w:t>
      </w:r>
      <w:r w:rsidR="00C817ED" w:rsidRPr="00EA1A53">
        <w:rPr>
          <w:sz w:val="22"/>
          <w:szCs w:val="22"/>
        </w:rPr>
        <w:t>emerged as the most significant pathway distinguishing the BPD endotypes.</w:t>
      </w:r>
      <w:r w:rsidR="00C817ED">
        <w:rPr>
          <w:rFonts w:cs="Calibri"/>
          <w:color w:val="000000" w:themeColor="text1"/>
          <w:sz w:val="22"/>
          <w:szCs w:val="22"/>
        </w:rPr>
        <w:t xml:space="preserve">  </w:t>
      </w:r>
      <w:r w:rsidR="00C817ED">
        <w:rPr>
          <w:sz w:val="22"/>
          <w:szCs w:val="22"/>
        </w:rPr>
        <w:t>CD4+ T-cells were shown to be reduced in infants who develop BPD.</w:t>
      </w:r>
      <w:r w:rsidR="00C817ED">
        <w:rPr>
          <w:sz w:val="22"/>
          <w:szCs w:val="22"/>
        </w:rPr>
        <w:fldChar w:fldCharType="begin"/>
      </w:r>
      <w:r w:rsidR="00C817ED">
        <w:rPr>
          <w:sz w:val="22"/>
          <w:szCs w:val="22"/>
        </w:rPr>
        <w:instrText xml:space="preserve"> ADDIN ZOTERO_ITEM CSL_CITATION {"citationID":"xkktLkc9","properties":{"formattedCitation":"(\\uc0\\u8216{}Lymphocyte Subpopulations in Bronchopulmonary Dysplasia\\uc0\\u8217{}, 2003)","plainCitation":"(‘Lymphocyte Subpopulations in Bronchopulmonary Dysplasia’, 2003)","noteIndex":0},"citationItems":[{"id":2504,"uris":["http://zotero.org/users/14418362/items/BGIG42DF"],"itemData":{"id":2504,"type":"article-journal","container-title":"American Journal of Perinatology","DOI":"10.1055/s-2003-45387","ISSN":"0735-1631, 1098-8785","issue":"8","journalAbbreviation":"Am J Perinatol","language":"en","page":"465-476","source":"DOI.org (Crossref)","title":"Lymphocyte Subpopulations in Bronchopulmonary Dysplasia","URL":"http://www.thieme-connect.de/DOI/DOI?10.1055/s-2003-45387","volume":"20","accessed":{"date-parts":[["2025",9,8]]},"issued":{"date-parts":[["2003"]]}}}],"schema":"https://github.com/citation-style-language/schema/raw/master/csl-citation.json"} </w:instrText>
      </w:r>
      <w:r w:rsidR="00C817ED">
        <w:rPr>
          <w:sz w:val="22"/>
          <w:szCs w:val="22"/>
        </w:rPr>
        <w:fldChar w:fldCharType="separate"/>
      </w:r>
      <w:r w:rsidR="00C817ED" w:rsidRPr="00C817ED">
        <w:rPr>
          <w:rFonts w:ascii="Aptos" w:cs="Times New Roman"/>
          <w:sz w:val="22"/>
        </w:rPr>
        <w:t>(‘Lymphocyte Subpopulations in Bronchopulmonary Dysplasia’, 2003)</w:t>
      </w:r>
      <w:r w:rsidR="00C817ED">
        <w:rPr>
          <w:sz w:val="22"/>
          <w:szCs w:val="22"/>
        </w:rPr>
        <w:fldChar w:fldCharType="end"/>
      </w:r>
      <w:r w:rsidR="00C817ED">
        <w:rPr>
          <w:sz w:val="22"/>
          <w:szCs w:val="22"/>
        </w:rPr>
        <w:t xml:space="preserve">  While, a lower CD4/CD8 ratio</w:t>
      </w:r>
      <w:r w:rsidR="00C817ED" w:rsidRPr="005A5A49">
        <w:rPr>
          <w:sz w:val="22"/>
          <w:szCs w:val="22"/>
        </w:rPr>
        <w:t xml:space="preserve"> </w:t>
      </w:r>
      <w:r w:rsidR="00C817ED">
        <w:rPr>
          <w:sz w:val="22"/>
          <w:szCs w:val="22"/>
        </w:rPr>
        <w:t>has been observed in adults with a history of BPD.</w:t>
      </w:r>
      <w:r w:rsidR="00C817ED">
        <w:rPr>
          <w:sz w:val="22"/>
          <w:szCs w:val="22"/>
        </w:rPr>
        <w:fldChar w:fldCharType="begin"/>
      </w:r>
      <w:r w:rsidR="00C817ED">
        <w:rPr>
          <w:sz w:val="22"/>
          <w:szCs w:val="22"/>
        </w:rPr>
        <w:instrText xml:space="preserve"> ADDIN ZOTERO_ITEM CSL_CITATION {"citationID":"PD1cnCT2","properties":{"formattedCitation":"(Um-Bergstr\\uc0\\u246{}m et al., 2022)","plainCitation":"(Um-Bergström et al., 2022)","noteIndex":0},"citationItems":[{"id":2271,"uris":["http://zotero.org/users/14418362/items/EGCZQ2BF"],"itemData":{"id":2271,"type":"article-journal","abstract":"Objectives To characterise the distribution of airway T-cell subsets in adults with a history of BPD.\nMethods Young adults with former BPD (n=22; median age 19.6 years), age-matched adults born preterm (n=22), patients with allergic asthma born at term (n=22) and healthy control subjects born at term (n=24) underwent bronchoalveolar lavage (BAL). T-cell subsets in BAL were analysed using flow cytometry.\nResults The total number of cells and the differential cell counts in BAL were similar among the study groups. The percentage of CD3+CD8+ T-cells was higher ( p=0.005) and the proportion of CD3+CD4+ Tcells was reduced ( p=0.01) in the BPD group, resulting in a lower CD4/CD8 ratio ( p=0.007) compared to the healthy controls (median 2.2 versus 5.3). In BPD and preterm-born study subjects, both CD3+CD4+ Tcells (rs=0.38, p=0.03) and CD4/CD8 ratio (rs=0.44, p=0.01) correlated positively with forced expiratory volume in 1 s (FEV1). Furthermore, CD3+CD8+ T-cells were negatively correlated with both FEV1 and FEV1/forced vital capacity (rs= −0.44, p=0.09 and rs= −0.41, p=0.01, respectively).\nConclusions Young adults with former BPD have a T-cell subset pattern in the airways resembling features of COPD. Our findings are compatible with the hypothesis that CD3+CD8+ T-cells are involved in mechanisms behind chronic airway obstruction in these patients.","container-title":"European Respiratory Journal","DOI":"10.1183/13993003.02531-2021","ISSN":"0903-1936, 1399-3003","issue":"3","journalAbbreviation":"Eur Respir J","language":"en","page":"2102531","source":"DOI.org (Crossref)","title":"Increased cytotoxic T-cells in the airways of adults with former bronchopulmonary dysplasia","URL":"http://publications.ersnet.org/lookup/doi/10.1183/13993003.02531-2021","volume":"60","author":[{"family":"Um-Bergström","given":"Petra"},{"family":"Pourbazargan","given":"Melvin"},{"family":"Brundin","given":"Bettina"},{"family":"Ström","given":"Marika"},{"family":"Ezerskyte","given":"Monika"},{"family":"Gao","given":"Jing"},{"family":"Berggren Broström","given":"Eva"},{"family":"Melén","given":"Erik"},{"family":"Wheelock","given":"Åsa M."},{"family":"Lindén","given":"Anders"},{"family":"Sköld","given":"C. Magnus"}],"accessed":{"date-parts":[["2025",2,21]]},"issued":{"date-parts":[["2022",9]]}}}],"schema":"https://github.com/citation-style-language/schema/raw/master/csl-citation.json"} </w:instrText>
      </w:r>
      <w:r w:rsidR="00C817ED">
        <w:rPr>
          <w:sz w:val="22"/>
          <w:szCs w:val="22"/>
        </w:rPr>
        <w:fldChar w:fldCharType="separate"/>
      </w:r>
      <w:r w:rsidR="00C817ED" w:rsidRPr="005D240B">
        <w:rPr>
          <w:rFonts w:ascii="Aptos" w:cs="Times New Roman"/>
          <w:sz w:val="22"/>
        </w:rPr>
        <w:t>(Um-Bergström et al., 2022)</w:t>
      </w:r>
      <w:r w:rsidR="00C817ED">
        <w:rPr>
          <w:sz w:val="22"/>
          <w:szCs w:val="22"/>
        </w:rPr>
        <w:fldChar w:fldCharType="end"/>
      </w:r>
      <w:r w:rsidR="00C817ED">
        <w:rPr>
          <w:sz w:val="22"/>
          <w:szCs w:val="22"/>
        </w:rPr>
        <w:t xml:space="preserve"> These taken together suggest a central role for </w:t>
      </w:r>
      <w:proofErr w:type="spellStart"/>
      <w:r w:rsidR="00C817ED">
        <w:rPr>
          <w:sz w:val="22"/>
          <w:szCs w:val="22"/>
        </w:rPr>
        <w:t>lympohoid</w:t>
      </w:r>
      <w:proofErr w:type="spellEnd"/>
      <w:r w:rsidR="00C817ED">
        <w:rPr>
          <w:sz w:val="22"/>
          <w:szCs w:val="22"/>
        </w:rPr>
        <w:t xml:space="preserve"> cells in the progression of BPD, though do not </w:t>
      </w:r>
      <w:proofErr w:type="spellStart"/>
      <w:r w:rsidR="00C817ED">
        <w:rPr>
          <w:sz w:val="22"/>
          <w:szCs w:val="22"/>
        </w:rPr>
        <w:t>calarify</w:t>
      </w:r>
      <w:proofErr w:type="spellEnd"/>
      <w:r w:rsidR="00C817ED">
        <w:rPr>
          <w:sz w:val="22"/>
          <w:szCs w:val="22"/>
        </w:rPr>
        <w:t xml:space="preserve"> the potential role that B cells may play. </w:t>
      </w:r>
    </w:p>
    <w:p w14:paraId="4CD0BDE6" w14:textId="6160907B" w:rsidR="005400FE" w:rsidRDefault="00C817ED" w:rsidP="00D47C81">
      <w:pPr>
        <w:spacing w:line="480" w:lineRule="auto"/>
        <w:rPr>
          <w:sz w:val="22"/>
          <w:szCs w:val="22"/>
        </w:rPr>
      </w:pPr>
      <w:r>
        <w:rPr>
          <w:sz w:val="22"/>
          <w:szCs w:val="22"/>
        </w:rPr>
        <w:t>Some evidence for the role of B-cells is that t</w:t>
      </w:r>
      <w:r w:rsidR="00083898">
        <w:rPr>
          <w:sz w:val="22"/>
          <w:szCs w:val="22"/>
        </w:rPr>
        <w:t xml:space="preserve">he top hit </w:t>
      </w:r>
      <w:r w:rsidR="00D47C81">
        <w:rPr>
          <w:sz w:val="22"/>
          <w:szCs w:val="22"/>
        </w:rPr>
        <w:t>in the</w:t>
      </w:r>
      <w:r w:rsidR="00083898">
        <w:rPr>
          <w:sz w:val="22"/>
          <w:szCs w:val="22"/>
        </w:rPr>
        <w:t xml:space="preserve"> human</w:t>
      </w:r>
      <w:r w:rsidR="00D47C81">
        <w:rPr>
          <w:sz w:val="22"/>
          <w:szCs w:val="22"/>
        </w:rPr>
        <w:t xml:space="preserve"> dataset </w:t>
      </w:r>
      <w:r w:rsidR="00083898">
        <w:rPr>
          <w:sz w:val="22"/>
          <w:szCs w:val="22"/>
        </w:rPr>
        <w:t>is Ras guanyl-releasing protein 3, RASGRP3, a</w:t>
      </w:r>
      <w:r w:rsidR="00456715">
        <w:rPr>
          <w:sz w:val="22"/>
          <w:szCs w:val="22"/>
        </w:rPr>
        <w:t xml:space="preserve"> guanyl nucleotide exchange factor. This gene acts downstream of the B-Cell Receptor to activate RAS and RAP1,</w:t>
      </w:r>
      <w:r w:rsidR="00456715">
        <w:rPr>
          <w:sz w:val="22"/>
          <w:szCs w:val="22"/>
        </w:rPr>
        <w:fldChar w:fldCharType="begin"/>
      </w:r>
      <w:r w:rsidR="00456715">
        <w:rPr>
          <w:sz w:val="22"/>
          <w:szCs w:val="22"/>
        </w:rPr>
        <w:instrText xml:space="preserve"> ADDIN ZOTERO_ITEM CSL_CITATION {"citationID":"GzEPn1bW","properties":{"formattedCitation":"(Rebhun et al., 2000)","plainCitation":"(Rebhun et al., 2000)","noteIndex":0},"citationItems":[{"id":2498,"uris":["http://zotero.org/users/14418362/items/7E3X9VWE"],"itemData":{"id":2498,"type":"article-journal","container-title":"Journal of Biological Chemistry","DOI":"10.1074/jbc.M005327200","ISSN":"00219258","issue":"45","journalAbbreviation":"Journal of Biological Chemistry","language":"en","license":"https://www.elsevier.com/tdm/userlicense/1.0/","page":"34901-34908","source":"DOI.org (Crossref)","title":"Identification of Guanine Nucleotide Exchange Factors (GEFs) for the Rap1 GTPase","URL":"https://linkinghub.elsevier.com/retrieve/pii/S0021925820887808","volume":"275","author":[{"family":"Rebhun","given":"John F."},{"family":"Castro","given":"Ariel F."},{"family":"Quilliam","given":"Lawrence A."}],"accessed":{"date-parts":[["2025",9,8]]},"issued":{"date-parts":[["2000",11]]}}}],"schema":"https://github.com/citation-style-language/schema/raw/master/csl-citation.json"} </w:instrText>
      </w:r>
      <w:r w:rsidR="00456715">
        <w:rPr>
          <w:sz w:val="22"/>
          <w:szCs w:val="22"/>
        </w:rPr>
        <w:fldChar w:fldCharType="separate"/>
      </w:r>
      <w:r w:rsidR="00456715">
        <w:rPr>
          <w:noProof/>
          <w:sz w:val="22"/>
          <w:szCs w:val="22"/>
        </w:rPr>
        <w:t>(Rebhun et al., 2000)</w:t>
      </w:r>
      <w:r w:rsidR="00456715">
        <w:rPr>
          <w:sz w:val="22"/>
          <w:szCs w:val="22"/>
        </w:rPr>
        <w:fldChar w:fldCharType="end"/>
      </w:r>
      <w:r w:rsidR="00456715">
        <w:rPr>
          <w:sz w:val="22"/>
          <w:szCs w:val="22"/>
        </w:rPr>
        <w:t xml:space="preserve"> playing an analogous role to its family member RASGRP1 (rank = 75) which enables positive selection of thymocytes and activation of T cells. </w:t>
      </w:r>
      <w:r w:rsidR="00456715">
        <w:rPr>
          <w:sz w:val="22"/>
          <w:szCs w:val="22"/>
        </w:rPr>
        <w:fldChar w:fldCharType="begin"/>
      </w:r>
      <w:r w:rsidR="00456715">
        <w:rPr>
          <w:sz w:val="22"/>
          <w:szCs w:val="22"/>
        </w:rPr>
        <w:instrText xml:space="preserve"> ADDIN ZOTERO_ITEM CSL_CITATION {"citationID":"IaKaBSx5","properties":{"formattedCitation":"(Fuller et al., 2012)","plainCitation":"(Fuller et al., 2012)","noteIndex":0},"citationItems":[{"id":2496,"uris":["http://zotero.org/users/14418362/items/LTJUA7IP"],"itemData":{"id":2496,"type":"article-journal","container-title":"PLoS ONE","DOI":"10.1371/journal.pone.0038796","ISSN":"1932-6203","issue":"6","journalAbbreviation":"PLoS ONE","language":"en","page":"e38796","source":"DOI.org (Crossref)","title":"Regulation of RasGRP1 Function in T Cell Development and Activation by Its Unique Tail Domain","URL":"https://dx.plos.org/10.1371/journal.pone.0038796","volume":"7","author":[{"family":"Fuller","given":"Deirdre M."},{"family":"Zhu","given":"Minghua"},{"family":"Song","given":"Xiaohua"},{"family":"Ou-Yang","given":"Chih-wen"},{"family":"Sullivan","given":"Sarah A."},{"family":"Stone","given":"James C."},{"family":"Zhang","given":"Weiguo"}],"editor":[{"family":"Boussiotis","given":"Vassiliki A."}],"accessed":{"date-parts":[["2025",9,8]]},"issued":{"date-parts":[["2012",6,12]]}}}],"schema":"https://github.com/citation-style-language/schema/raw/master/csl-citation.json"} </w:instrText>
      </w:r>
      <w:r w:rsidR="00456715">
        <w:rPr>
          <w:sz w:val="22"/>
          <w:szCs w:val="22"/>
        </w:rPr>
        <w:fldChar w:fldCharType="separate"/>
      </w:r>
      <w:r w:rsidR="00456715">
        <w:rPr>
          <w:noProof/>
          <w:sz w:val="22"/>
          <w:szCs w:val="22"/>
        </w:rPr>
        <w:t>(Fuller et al., 2012)</w:t>
      </w:r>
      <w:r w:rsidR="00456715">
        <w:rPr>
          <w:sz w:val="22"/>
          <w:szCs w:val="22"/>
        </w:rPr>
        <w:fldChar w:fldCharType="end"/>
      </w:r>
      <w:r w:rsidR="00D47C81">
        <w:rPr>
          <w:sz w:val="22"/>
          <w:szCs w:val="22"/>
        </w:rPr>
        <w:t xml:space="preserve"> </w:t>
      </w:r>
    </w:p>
    <w:p w14:paraId="0CBE6806" w14:textId="77777777" w:rsidR="00C817ED" w:rsidRDefault="00C817ED" w:rsidP="00D47C81">
      <w:pPr>
        <w:spacing w:line="480" w:lineRule="auto"/>
        <w:rPr>
          <w:sz w:val="22"/>
          <w:szCs w:val="22"/>
        </w:rPr>
      </w:pPr>
    </w:p>
    <w:p w14:paraId="33A382F5" w14:textId="6149E579" w:rsidR="007816AD" w:rsidRDefault="007816AD" w:rsidP="005D240B">
      <w:pPr>
        <w:spacing w:line="480" w:lineRule="auto"/>
        <w:rPr>
          <w:sz w:val="22"/>
          <w:szCs w:val="22"/>
        </w:rPr>
      </w:pPr>
      <w:r>
        <w:rPr>
          <w:sz w:val="22"/>
          <w:szCs w:val="22"/>
        </w:rPr>
        <w:lastRenderedPageBreak/>
        <w:t>ARDS results</w:t>
      </w:r>
    </w:p>
    <w:p w14:paraId="7681286D" w14:textId="7BF404BC" w:rsidR="00D76E64" w:rsidRDefault="00D76E64" w:rsidP="00D76E64">
      <w:pPr>
        <w:spacing w:line="480" w:lineRule="auto"/>
        <w:ind w:left="720"/>
        <w:rPr>
          <w:sz w:val="22"/>
          <w:szCs w:val="22"/>
        </w:rPr>
      </w:pPr>
      <w:r>
        <w:rPr>
          <w:sz w:val="22"/>
          <w:szCs w:val="22"/>
        </w:rPr>
        <w:t>IL8 signalling</w:t>
      </w:r>
    </w:p>
    <w:p w14:paraId="160DD46B" w14:textId="6860D770" w:rsidR="00D76E64" w:rsidRDefault="00D76E64" w:rsidP="00D76E64">
      <w:pPr>
        <w:spacing w:line="480" w:lineRule="auto"/>
        <w:ind w:left="720"/>
        <w:rPr>
          <w:sz w:val="22"/>
          <w:szCs w:val="22"/>
        </w:rPr>
      </w:pPr>
      <w:r>
        <w:rPr>
          <w:sz w:val="22"/>
          <w:szCs w:val="22"/>
        </w:rPr>
        <w:t>Lymphocytes</w:t>
      </w:r>
    </w:p>
    <w:p w14:paraId="2E1426A7" w14:textId="494BFFAD" w:rsidR="007816AD" w:rsidRDefault="00B67F7B" w:rsidP="007C3ADC">
      <w:pPr>
        <w:spacing w:line="480" w:lineRule="auto"/>
        <w:ind w:left="720"/>
        <w:rPr>
          <w:sz w:val="22"/>
          <w:szCs w:val="22"/>
        </w:rPr>
      </w:pPr>
      <w:r>
        <w:rPr>
          <w:sz w:val="22"/>
          <w:szCs w:val="22"/>
        </w:rPr>
        <w:t>We don’t see the cholesterol pathways.</w:t>
      </w:r>
    </w:p>
    <w:p w14:paraId="135568CB" w14:textId="2B6696A3" w:rsidR="001E5E56" w:rsidRDefault="001E5E56" w:rsidP="001E5E56">
      <w:pPr>
        <w:spacing w:line="480" w:lineRule="auto"/>
        <w:jc w:val="both"/>
        <w:rPr>
          <w:sz w:val="22"/>
          <w:szCs w:val="22"/>
        </w:rPr>
      </w:pPr>
      <w:r w:rsidRPr="001E5E56">
        <w:rPr>
          <w:sz w:val="22"/>
          <w:szCs w:val="22"/>
        </w:rPr>
        <w:t>Comparison of the Human and Rodent MAIC Results</w:t>
      </w:r>
    </w:p>
    <w:p w14:paraId="46B7BA33" w14:textId="77777777" w:rsidR="001E5E56" w:rsidRDefault="001E5E56" w:rsidP="001E5E56">
      <w:pPr>
        <w:spacing w:line="480" w:lineRule="auto"/>
        <w:jc w:val="both"/>
        <w:rPr>
          <w:sz w:val="22"/>
          <w:szCs w:val="22"/>
        </w:rPr>
      </w:pPr>
    </w:p>
    <w:p w14:paraId="78B1EA85" w14:textId="32A8DDE5" w:rsidR="001E5E56" w:rsidRPr="001E5E56" w:rsidRDefault="001E5E56" w:rsidP="001E5E56">
      <w:pPr>
        <w:spacing w:line="480" w:lineRule="auto"/>
        <w:jc w:val="both"/>
        <w:rPr>
          <w:sz w:val="22"/>
          <w:szCs w:val="22"/>
        </w:rPr>
      </w:pPr>
      <w:r w:rsidRPr="001E5E56">
        <w:rPr>
          <w:sz w:val="22"/>
          <w:szCs w:val="22"/>
        </w:rPr>
        <w:t>The primary goal of carrying out parallel MAIC analyses between human and rodent BPD studies was to differentiate species-specific responses to injury, from core conserved disease mechanisms.</w:t>
      </w:r>
    </w:p>
    <w:p w14:paraId="5C7ED9BD" w14:textId="77777777" w:rsidR="001E5E56" w:rsidRPr="001E5E56" w:rsidRDefault="001E5E56" w:rsidP="001E5E56">
      <w:pPr>
        <w:spacing w:line="480" w:lineRule="auto"/>
        <w:jc w:val="both"/>
        <w:rPr>
          <w:sz w:val="22"/>
          <w:szCs w:val="22"/>
        </w:rPr>
      </w:pPr>
    </w:p>
    <w:p w14:paraId="09741762" w14:textId="77777777" w:rsidR="001E5E56" w:rsidRPr="001E5E56" w:rsidRDefault="001E5E56" w:rsidP="001E5E56">
      <w:pPr>
        <w:spacing w:line="480" w:lineRule="auto"/>
        <w:jc w:val="both"/>
        <w:rPr>
          <w:sz w:val="22"/>
          <w:szCs w:val="22"/>
        </w:rPr>
      </w:pPr>
      <w:r w:rsidRPr="001E5E56">
        <w:rPr>
          <w:sz w:val="22"/>
          <w:szCs w:val="22"/>
        </w:rPr>
        <w:t xml:space="preserve">The most notable divergence in the results from this is the functional profile of the respective datasets. While the human data strongly emphasised the role of the adaptive immune system, the rodent analysis showed a more pronounced focus on pathways associated with extracellular matrix (ECM) remodelling, and wound healing (Figure 4A). This difference is likely multifactorial, but largely attributable to the sample source bias inherent in the existing literature. Over half of the human studies used circulating blood samples (52.4%), which is ideal for capturing systemic immune and biomarker signals. Conversely, </w:t>
      </w:r>
      <w:proofErr w:type="gramStart"/>
      <w:r w:rsidRPr="001E5E56">
        <w:rPr>
          <w:sz w:val="22"/>
          <w:szCs w:val="22"/>
        </w:rPr>
        <w:t>the majority of</w:t>
      </w:r>
      <w:proofErr w:type="gramEnd"/>
      <w:r w:rsidRPr="001E5E56">
        <w:rPr>
          <w:sz w:val="22"/>
          <w:szCs w:val="22"/>
        </w:rPr>
        <w:t xml:space="preserve"> the rodent studies (19/20) used whole lung tissue, directly capturing the local pathology and the extensive tissue remodelling inherent to the structural component of BPD. Gene regulation and expression are highly context and tissue specific. Consequently, these differences in sample type likely contributed significantly to the divergent gene signatures observed between the two analyses.</w:t>
      </w:r>
    </w:p>
    <w:p w14:paraId="45B1B769" w14:textId="77777777" w:rsidR="001E5E56" w:rsidRPr="001E5E56" w:rsidRDefault="001E5E56" w:rsidP="001E5E56">
      <w:pPr>
        <w:spacing w:line="480" w:lineRule="auto"/>
        <w:jc w:val="both"/>
        <w:rPr>
          <w:sz w:val="22"/>
          <w:szCs w:val="22"/>
        </w:rPr>
      </w:pPr>
    </w:p>
    <w:p w14:paraId="4DD60272" w14:textId="77777777" w:rsidR="001E5E56" w:rsidRPr="001E5E56" w:rsidRDefault="001E5E56" w:rsidP="001E5E56">
      <w:pPr>
        <w:spacing w:line="480" w:lineRule="auto"/>
        <w:jc w:val="both"/>
        <w:rPr>
          <w:sz w:val="22"/>
          <w:szCs w:val="22"/>
        </w:rPr>
      </w:pPr>
      <w:r w:rsidRPr="001E5E56">
        <w:rPr>
          <w:sz w:val="22"/>
          <w:szCs w:val="22"/>
        </w:rPr>
        <w:t xml:space="preserve">The differential immune signal (myeloid-cell-related immunity in rodents versus lymphoid-cell-related immunity in humans) may represent a genuine biological difference between the species or models. Myeloid cells are the primary effectors of the innate immune system, which is responsible for the immediate inflammatory response to insults like oxidative and physical lung </w:t>
      </w:r>
      <w:r w:rsidRPr="001E5E56">
        <w:rPr>
          <w:sz w:val="22"/>
          <w:szCs w:val="22"/>
        </w:rPr>
        <w:lastRenderedPageBreak/>
        <w:t>injury. Conversely, lymphoid cells drive the slower developing, highly specific adaptive immune system. Rodent models primarily capture the acute, innate driven injury phase of BPD. The human disease, with its prolonged course, involves a broader and more protracted inflammatory process where the adaptive immune system plays a more influential, and potentially damaging role.</w:t>
      </w:r>
    </w:p>
    <w:p w14:paraId="2628BE4F" w14:textId="77777777" w:rsidR="001E5E56" w:rsidRPr="001E5E56" w:rsidRDefault="001E5E56" w:rsidP="001E5E56">
      <w:pPr>
        <w:spacing w:line="480" w:lineRule="auto"/>
        <w:jc w:val="both"/>
        <w:rPr>
          <w:sz w:val="22"/>
          <w:szCs w:val="22"/>
        </w:rPr>
      </w:pPr>
    </w:p>
    <w:p w14:paraId="687FA92F" w14:textId="081AB3D4" w:rsidR="001E5E56" w:rsidRDefault="001E5E56" w:rsidP="001E5E56">
      <w:pPr>
        <w:spacing w:line="480" w:lineRule="auto"/>
        <w:jc w:val="both"/>
        <w:rPr>
          <w:sz w:val="22"/>
          <w:szCs w:val="22"/>
        </w:rPr>
      </w:pPr>
      <w:r w:rsidRPr="001E5E56">
        <w:rPr>
          <w:sz w:val="22"/>
          <w:szCs w:val="22"/>
        </w:rPr>
        <w:t xml:space="preserve">Despite the difference in their systemic and local pathologies, the significant overlap between the prioritised human and rodent lists (163 genes) points towards a conserved set of critical mechanisms. This convergence is most clearly demonstrated by the shared presence of Interleukin-1 Receptor Type 2 (IL1R2) in the top ranked genes of the human (rank = 3) and rodent (rank = 3) datasets. This finding anchors the disease in the context of the perinatal hypoxic-inflammatory environment. </w:t>
      </w:r>
      <w:r>
        <w:rPr>
          <w:sz w:val="22"/>
          <w:szCs w:val="22"/>
        </w:rPr>
        <w:t>IL1R2 is upregulated in acute hypoxia.</w:t>
      </w:r>
      <w:r>
        <w:rPr>
          <w:sz w:val="22"/>
          <w:szCs w:val="22"/>
        </w:rPr>
        <w:fldChar w:fldCharType="begin"/>
      </w:r>
      <w:r>
        <w:rPr>
          <w:sz w:val="22"/>
          <w:szCs w:val="22"/>
        </w:rPr>
        <w:instrText xml:space="preserve"> ADDIN ZOTERO_ITEM CSL_CITATION {"citationID":"8Cr45T4i","properties":{"formattedCitation":"(Johnson et al., 2007)","plainCitation":"(Johnson et al., 2007)","noteIndex":0},"citationItems":[{"id":2453,"uris":["http://zotero.org/users/14418362/items/BBNNCKGM"],"itemData":{"id":2453,"type":"article-journal","abstract":"Acute hypoxia is experienced in an array of ailments and conditions, including asthma, chronic obstructive pulmonary disease, heart failure, sleep apnea, acute hypotension, and blast lung injury. Classically, infection activates the neuroimmune system, causing loss of interest in the social environment. We report that the non-infectious stimulus acute hypoxia triggers neuroimmune system activation (NSA), causing loss of interest in the social environment, and that recovery from hypoxia-induced NSA is impaired in a mouse model of type 2 diabetes. Importantly, recovery from the behavioral consequences of hypoxia-induced NSA was nearly ablated in MyD88 (myeloid differentiation factor 88) knock-out mice and in mice intracerebroventricularly administered the caspase-1 inhibitor ac-YVAD-CMK (ac-Tyr-Val-Asp-2,6-dimethylbenzoyloxymethylketone). Diabetic mice had prolonged recovery from NSA that could be halved by administration of subcutaneous interleukin-1 (IL-1) receptor antagonist (RA). These results show that acute hypoxia activates the IL-1beta arm of the neuroimmune system, which diabetes exacerbates and treatment with IL-1RA ameliorates.","container-title":"The Journal of Neuroscience: The Official Journal of the Society for Neuroscience","DOI":"10.1523/JNEUROSCI.4560-06.2007","ISSN":"1529-2401","issue":"5","journalAbbreviation":"J Neurosci","language":"eng","note":"PMID: 17267571\nPMCID: PMC6673177","page":"1161-1166","source":"PubMed","title":"Acute hypoxia activates the neuroimmune system, which diabetes exacerbates","volume":"27","author":[{"family":"Johnson","given":"Daniel R."},{"family":"O'Connor","given":"Jason C."},{"family":"Hartman","given":"Matthew E."},{"family":"Tapping","given":"Richard I."},{"family":"Freund","given":"Gregory G."}],"issued":{"date-parts":[["2007",1,31]]}}}],"schema":"https://github.com/citation-style-language/schema/raw/master/csl-citation.json"} </w:instrText>
      </w:r>
      <w:r>
        <w:rPr>
          <w:sz w:val="22"/>
          <w:szCs w:val="22"/>
        </w:rPr>
        <w:fldChar w:fldCharType="separate"/>
      </w:r>
      <w:r>
        <w:rPr>
          <w:noProof/>
          <w:sz w:val="22"/>
          <w:szCs w:val="22"/>
        </w:rPr>
        <w:t>(Johnson et al., 2007)</w:t>
      </w:r>
      <w:r>
        <w:rPr>
          <w:sz w:val="22"/>
          <w:szCs w:val="22"/>
        </w:rPr>
        <w:fldChar w:fldCharType="end"/>
      </w:r>
      <w:r>
        <w:rPr>
          <w:sz w:val="22"/>
          <w:szCs w:val="22"/>
        </w:rPr>
        <w:t xml:space="preserve">  and </w:t>
      </w:r>
      <w:r w:rsidRPr="006030CD">
        <w:rPr>
          <w:sz w:val="22"/>
          <w:szCs w:val="22"/>
        </w:rPr>
        <w:t xml:space="preserve">functions as a decoy receptor, acting as a crucial endogenous brake on the potent pro-inflammatory signalling cascade initiated by Interleukin-1 (IL-1) </w:t>
      </w:r>
      <w:r>
        <w:rPr>
          <w:sz w:val="22"/>
          <w:szCs w:val="22"/>
        </w:rPr>
        <w:fldChar w:fldCharType="begin"/>
      </w:r>
      <w:r>
        <w:rPr>
          <w:sz w:val="22"/>
          <w:szCs w:val="22"/>
        </w:rPr>
        <w:instrText xml:space="preserve"> ADDIN ZOTERO_ITEM CSL_CITATION {"citationID":"LXWmnGnp","properties":{"formattedCitation":"(Peters et al., 2013)","plainCitation":"(Peters et al., 2013)","noteIndex":0},"citationItems":[{"id":2488,"uris":["http://zotero.org/users/14418362/items/TSD7RPJ5"],"itemData":{"id":2488,"type":"article-journal","abstract":"The cytokine IL-1 is critical to the pathogenesis of a variety of human conditions and diseases. Unlike most other cytokines, IL-1 is counterbalanced by two endogenous inhibitors. The functional significance of IL-1 receptor antagonist (IL-1RA) is well documented due to the clinical utilization of the recombinant human IL-1RA analog, anakinra. In contrast, much less is known about the type 2 IL-1 receptor (IL-1R2), which acts as a decoy receptor for IL-1. While IL-1R2 is structurally similar to the type 1 IL-1 receptor (IL-1R1) responsible for IL-1 signal transduction, its truncated cytoplasmic domain and lack of Toll-IL-1 receptor (TIR) region renders IL-1R2 incapable of transmembrane signaling. IL-1R2 competes with IL-1R1 for ligands and for the IL-1R1 co-receptor, IL-1 receptor accessory protein (IL-1RAP). Additionally, IL-1R2 exists in both a membrane bound and soluble form (sIL-1R2) that has biological properties similar to both a decoy receptor and a binding protein. Thus far, IL-1R2 has been implicated in arthritis, endometriosis, organ transplantation, sepsis/sickness behavior, diabetes, atherosclerosis, autoimmune inner ear disease (AIED), Alzheimer's disease and ulcerative colitis. In this review, we will detail the functional properties of IL-1R2 and examine its role in human disease.","container-title":"Brain, Behavior, and Immunity","DOI":"10.1016/j.bbi.2012.11.006","ISSN":"1090-2139","journalAbbreviation":"Brain Behav Immun","language":"eng","note":"PMID: 23195532\nPMCID: PMC3610842","page":"1-8","source":"PubMed","title":"IL-1 receptor 2 (IL-1R2) and its role in immune regulation","volume":"32","author":[{"family":"Peters","given":"Vanessa A."},{"family":"Joesting","given":"Jennifer J."},{"family":"Freund","given":"Gregory G."}],"issued":{"date-parts":[["2013",8]]}}}],"schema":"https://github.com/citation-style-language/schema/raw/master/csl-citation.json"} </w:instrText>
      </w:r>
      <w:r>
        <w:rPr>
          <w:sz w:val="22"/>
          <w:szCs w:val="22"/>
        </w:rPr>
        <w:fldChar w:fldCharType="separate"/>
      </w:r>
      <w:r>
        <w:rPr>
          <w:noProof/>
          <w:sz w:val="22"/>
          <w:szCs w:val="22"/>
        </w:rPr>
        <w:t>(Peters et al., 2013)</w:t>
      </w:r>
      <w:r>
        <w:rPr>
          <w:sz w:val="22"/>
          <w:szCs w:val="22"/>
        </w:rPr>
        <w:fldChar w:fldCharType="end"/>
      </w:r>
      <w:r w:rsidRPr="006030CD">
        <w:rPr>
          <w:sz w:val="22"/>
          <w:szCs w:val="22"/>
        </w:rPr>
        <w:t>. The preterm lung is uniquely vulnerable to hypoxia, which can trigger a dangerous, self-amplifying cycle of injury and inflammation</w:t>
      </w:r>
      <w:r>
        <w:rPr>
          <w:sz w:val="22"/>
          <w:szCs w:val="22"/>
        </w:rPr>
        <w:t>.</w:t>
      </w:r>
      <w:r w:rsidRPr="001E7CF0">
        <w:rPr>
          <w:sz w:val="22"/>
          <w:szCs w:val="22"/>
        </w:rPr>
        <w:fldChar w:fldCharType="begin"/>
      </w:r>
      <w:r w:rsidRPr="001E7CF0">
        <w:rPr>
          <w:sz w:val="22"/>
          <w:szCs w:val="22"/>
        </w:rPr>
        <w:instrText xml:space="preserve"> ADDIN ZOTERO_ITEM CSL_CITATION {"citationID":"oNmHuXWk","properties":{"formattedCitation":"(Eltzschig &amp; Carmeliet, 2011)","plainCitation":"(Eltzschig &amp; Carmeliet, 2011)","noteIndex":0},"citationItems":[{"id":2491,"uris":["http://zotero.org/users/14418362/items/C37FAQ8G"],"itemData":{"id":2491,"type":"article-journal","container-title":"The New England Journal of Medicine","DOI":"10.1056/NEJMra0910283","ISSN":"1533-4406","issue":"7","journalAbbreviation":"N Engl J Med","language":"eng","note":"PMID: 21323543\nPMCID: PMC3930928","page":"656-665","source":"PubMed","title":"Hypoxia and inflammation","volume":"364","author":[{"family":"Eltzschig","given":"Holger K."},{"family":"Carmeliet","given":"Peter"}],"issued":{"date-parts":[["2011",2,17]]}}}],"schema":"https://github.com/citation-style-language/schema/raw/master/csl-citation.json"} </w:instrText>
      </w:r>
      <w:r w:rsidRPr="001E7CF0">
        <w:rPr>
          <w:sz w:val="22"/>
          <w:szCs w:val="22"/>
        </w:rPr>
        <w:fldChar w:fldCharType="separate"/>
      </w:r>
      <w:r w:rsidRPr="001E7CF0">
        <w:rPr>
          <w:noProof/>
          <w:sz w:val="22"/>
          <w:szCs w:val="22"/>
        </w:rPr>
        <w:t>(Eltzschig &amp; Carmeliet, 2011)</w:t>
      </w:r>
      <w:r w:rsidRPr="001E7CF0">
        <w:rPr>
          <w:sz w:val="22"/>
          <w:szCs w:val="22"/>
        </w:rPr>
        <w:fldChar w:fldCharType="end"/>
      </w:r>
      <w:r w:rsidRPr="001E7CF0">
        <w:rPr>
          <w:sz w:val="22"/>
          <w:szCs w:val="22"/>
        </w:rPr>
        <w:t xml:space="preserve"> IL</w:t>
      </w:r>
      <w:r>
        <w:rPr>
          <w:sz w:val="22"/>
          <w:szCs w:val="22"/>
        </w:rPr>
        <w:t>-</w:t>
      </w:r>
      <w:r w:rsidRPr="001E7CF0">
        <w:rPr>
          <w:sz w:val="22"/>
          <w:szCs w:val="22"/>
        </w:rPr>
        <w:t>1 antagonism has been shown to confer protection in rodent models of BPD (Bui et al., 2019; Nold et al., 2013), suggesting that IL1R2 may exert a protective role as an anti-inflammatory ‘brake’ protein.</w:t>
      </w:r>
      <w:r w:rsidRPr="006030CD">
        <w:rPr>
          <w:sz w:val="22"/>
          <w:szCs w:val="22"/>
        </w:rPr>
        <w:t xml:space="preserve"> </w:t>
      </w:r>
      <w:r>
        <w:rPr>
          <w:sz w:val="22"/>
          <w:szCs w:val="22"/>
        </w:rPr>
        <w:t>I</w:t>
      </w:r>
      <w:r w:rsidRPr="006030CD">
        <w:rPr>
          <w:sz w:val="22"/>
          <w:szCs w:val="22"/>
        </w:rPr>
        <w:t xml:space="preserve">nsufficient </w:t>
      </w:r>
      <w:r>
        <w:rPr>
          <w:sz w:val="22"/>
          <w:szCs w:val="22"/>
        </w:rPr>
        <w:t xml:space="preserve">upregulation of this gene </w:t>
      </w:r>
      <w:r w:rsidRPr="006030CD">
        <w:rPr>
          <w:sz w:val="22"/>
          <w:szCs w:val="22"/>
        </w:rPr>
        <w:t>would leave the preterm lung defenceless against unchecked IL-1-driven inflammation, leading to the severe and progressive lung damage that defines BPD.</w:t>
      </w:r>
    </w:p>
    <w:p w14:paraId="42DE8B1C" w14:textId="77777777" w:rsidR="001E5E56" w:rsidRPr="001E5E56" w:rsidRDefault="001E5E56" w:rsidP="001E5E56">
      <w:pPr>
        <w:spacing w:line="480" w:lineRule="auto"/>
        <w:jc w:val="both"/>
        <w:rPr>
          <w:sz w:val="22"/>
          <w:szCs w:val="22"/>
        </w:rPr>
      </w:pPr>
    </w:p>
    <w:p w14:paraId="08D02D5A" w14:textId="048A5ADA" w:rsidR="005D240B" w:rsidRDefault="001E5E56" w:rsidP="001E5E56">
      <w:pPr>
        <w:spacing w:line="480" w:lineRule="auto"/>
        <w:jc w:val="both"/>
        <w:rPr>
          <w:sz w:val="22"/>
          <w:szCs w:val="22"/>
        </w:rPr>
      </w:pPr>
      <w:r w:rsidRPr="001E5E56">
        <w:rPr>
          <w:sz w:val="22"/>
          <w:szCs w:val="22"/>
        </w:rPr>
        <w:t xml:space="preserve">This study is based on the published literature and is intended to capture the current state of genome-wide BPD research. It is subject to several limitations. Firstly, blood is among the least invasive and most practical biological samples to collect in the NICU setting. As detailed above, this difference in sample source for human and rodent data represents a primary limitation on direct comparability and interpretation of tissue-specific pathology. Secondly, due to </w:t>
      </w:r>
      <w:r w:rsidRPr="001E5E56">
        <w:rPr>
          <w:sz w:val="22"/>
          <w:szCs w:val="22"/>
        </w:rPr>
        <w:lastRenderedPageBreak/>
        <w:t xml:space="preserve">experimental methodologies, the rodent models of BPD included in this analysis may not accurately reflect the human disease </w:t>
      </w:r>
      <w:proofErr w:type="gramStart"/>
      <w:r w:rsidRPr="001E5E56">
        <w:rPr>
          <w:sz w:val="22"/>
          <w:szCs w:val="22"/>
        </w:rPr>
        <w:t>as a whole but</w:t>
      </w:r>
      <w:proofErr w:type="gramEnd"/>
      <w:r w:rsidRPr="001E5E56">
        <w:rPr>
          <w:sz w:val="22"/>
          <w:szCs w:val="22"/>
        </w:rPr>
        <w:t xml:space="preserve"> summarise the effects of hypoxia induced during disease. Thirdly, due to key developmental differences - such as timing of alveolarisation and immune system maturation – the results may not be directly comparable between species. It is difficult to determine if some uncommon, enriched pathways reflect rodent-specific responses to experimental injury rather than universally conserved disease mechanisms. Finally, MAIC does not accommodate direction of effect.</w:t>
      </w:r>
    </w:p>
    <w:p w14:paraId="1F9BF696" w14:textId="77777777" w:rsidR="001E5E56" w:rsidRPr="005A5A49" w:rsidRDefault="001E5E56" w:rsidP="001E5E56">
      <w:pPr>
        <w:spacing w:line="480" w:lineRule="auto"/>
        <w:jc w:val="both"/>
        <w:rPr>
          <w:sz w:val="22"/>
          <w:szCs w:val="22"/>
        </w:rPr>
      </w:pPr>
    </w:p>
    <w:p w14:paraId="3568826E" w14:textId="77777777" w:rsidR="005D240B" w:rsidRPr="005A5A49" w:rsidRDefault="005D240B" w:rsidP="005D240B">
      <w:pPr>
        <w:spacing w:line="480" w:lineRule="auto"/>
        <w:jc w:val="both"/>
        <w:rPr>
          <w:rFonts w:cs="Calibri"/>
          <w:color w:val="000000" w:themeColor="text1"/>
          <w:sz w:val="22"/>
          <w:szCs w:val="22"/>
        </w:rPr>
      </w:pPr>
      <w:r w:rsidRPr="005A5A49">
        <w:rPr>
          <w:rFonts w:cs="Calibri"/>
          <w:color w:val="000000" w:themeColor="text1"/>
          <w:sz w:val="22"/>
          <w:szCs w:val="22"/>
        </w:rPr>
        <w:t xml:space="preserve">In conclusion, ... </w:t>
      </w:r>
    </w:p>
    <w:p w14:paraId="05607A4D" w14:textId="77777777" w:rsidR="005D240B" w:rsidRPr="005A5A49" w:rsidRDefault="005D240B" w:rsidP="005D240B">
      <w:pPr>
        <w:spacing w:line="480" w:lineRule="auto"/>
        <w:jc w:val="both"/>
        <w:rPr>
          <w:sz w:val="22"/>
          <w:szCs w:val="22"/>
        </w:rPr>
      </w:pPr>
    </w:p>
    <w:p w14:paraId="61408242" w14:textId="77777777" w:rsidR="005D240B" w:rsidRPr="005A5A49" w:rsidRDefault="005D240B" w:rsidP="005D240B">
      <w:pPr>
        <w:spacing w:line="480" w:lineRule="auto"/>
        <w:rPr>
          <w:b/>
          <w:bCs/>
          <w:sz w:val="22"/>
          <w:szCs w:val="22"/>
        </w:rPr>
      </w:pPr>
    </w:p>
    <w:p w14:paraId="02D21737" w14:textId="77777777" w:rsidR="005D240B" w:rsidRPr="005B64D9" w:rsidRDefault="005D240B" w:rsidP="005D240B">
      <w:pPr>
        <w:spacing w:line="480" w:lineRule="auto"/>
        <w:jc w:val="both"/>
        <w:rPr>
          <w:b/>
          <w:bCs/>
          <w:sz w:val="22"/>
          <w:szCs w:val="22"/>
        </w:rPr>
      </w:pPr>
      <w:r w:rsidRPr="005A5A49">
        <w:rPr>
          <w:b/>
          <w:bCs/>
          <w:sz w:val="22"/>
          <w:szCs w:val="22"/>
        </w:rPr>
        <w:br w:type="column"/>
      </w:r>
      <w:r w:rsidRPr="005B64D9">
        <w:rPr>
          <w:b/>
          <w:bCs/>
          <w:sz w:val="22"/>
          <w:szCs w:val="22"/>
        </w:rPr>
        <w:lastRenderedPageBreak/>
        <w:t>Methods</w:t>
      </w:r>
    </w:p>
    <w:p w14:paraId="50D14869" w14:textId="77777777" w:rsidR="005D240B" w:rsidRPr="005B64D9" w:rsidRDefault="005D240B" w:rsidP="005D240B">
      <w:pPr>
        <w:spacing w:line="480" w:lineRule="auto"/>
        <w:jc w:val="both"/>
        <w:rPr>
          <w:b/>
          <w:bCs/>
          <w:sz w:val="22"/>
          <w:szCs w:val="22"/>
        </w:rPr>
      </w:pPr>
    </w:p>
    <w:p w14:paraId="07D3BD2A" w14:textId="77777777" w:rsidR="005D240B" w:rsidRPr="00327009" w:rsidRDefault="005D240B" w:rsidP="005D240B">
      <w:pPr>
        <w:spacing w:line="480" w:lineRule="auto"/>
        <w:jc w:val="both"/>
        <w:rPr>
          <w:b/>
          <w:bCs/>
          <w:i/>
          <w:iCs/>
          <w:sz w:val="22"/>
          <w:szCs w:val="22"/>
        </w:rPr>
      </w:pPr>
      <w:r w:rsidRPr="00327009">
        <w:rPr>
          <w:b/>
          <w:bCs/>
          <w:i/>
          <w:iCs/>
          <w:sz w:val="22"/>
          <w:szCs w:val="22"/>
        </w:rPr>
        <w:t>Systematic review</w:t>
      </w:r>
    </w:p>
    <w:p w14:paraId="610CB6A5" w14:textId="77777777" w:rsidR="005D240B" w:rsidRPr="005B64D9" w:rsidRDefault="005D240B" w:rsidP="005D240B">
      <w:pPr>
        <w:spacing w:line="480" w:lineRule="auto"/>
        <w:jc w:val="both"/>
        <w:rPr>
          <w:sz w:val="22"/>
          <w:szCs w:val="22"/>
        </w:rPr>
      </w:pPr>
      <w:r w:rsidRPr="005B64D9">
        <w:rPr>
          <w:sz w:val="22"/>
          <w:szCs w:val="22"/>
        </w:rPr>
        <w:t xml:space="preserve">The systematic review and meta-analysis protocol was registered with the International Prospective Register of Systematic Reviews (PROSPERO; CRD42022306270, </w:t>
      </w:r>
      <w:r w:rsidRPr="005B64D9">
        <w:rPr>
          <w:rFonts w:cs="Arial"/>
          <w:color w:val="212529"/>
          <w:sz w:val="22"/>
          <w:szCs w:val="22"/>
          <w:shd w:val="clear" w:color="auto" w:fill="F7F7F7"/>
        </w:rPr>
        <w:t>CRD42024550229</w:t>
      </w:r>
      <w:r w:rsidRPr="005B64D9">
        <w:rPr>
          <w:sz w:val="22"/>
          <w:szCs w:val="22"/>
        </w:rPr>
        <w:t>). The review is reported in compliance with the Preferred Reporting Items for Systematic Reviews and Meta-Analyses (PRISMA) guidelines.</w:t>
      </w:r>
      <w:r w:rsidRPr="005B64D9">
        <w:rPr>
          <w:sz w:val="22"/>
          <w:szCs w:val="22"/>
        </w:rPr>
        <w:fldChar w:fldCharType="begin"/>
      </w:r>
      <w:r>
        <w:rPr>
          <w:sz w:val="22"/>
          <w:szCs w:val="22"/>
        </w:rPr>
        <w:instrText xml:space="preserve"> ADDIN ZOTERO_ITEM CSL_CITATION {"citationID":"UjS9MYCn","properties":{"formattedCitation":"(Page et al., 2021)","plainCitation":"(Page et al., 2021)","noteIndex":0},"citationItems":[{"id":2432,"uris":["http://zotero.org/users/14418362/items/UQYLMRCU"],"itemData":{"id":2432,"type":"article-journal","container-title":"BMJ","DOI":"10.1136/bmj.n71","ISSN":"1756-1833","journalAbbreviation":"BMJ","language":"en","page":"n71","source":"DOI.org (Crossref)","title":"The PRISMA 2020 statement: an updated guideline for reporting systematic reviews","title-short":"The PRISMA 2020 statement","URL":"https://www.bmj.com/lookup/doi/10.1136/bmj.n71","author":[{"family":"Page","given":"Matthew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A"},{"family":"Whiting","given":"Penny"},{"family":"Moher","given":"David"}],"accessed":{"date-parts":[["2025",8,6]]},"issued":{"date-parts":[["2021",3,29]]}}}],"schema":"https://github.com/citation-style-language/schema/raw/master/csl-citation.json"} </w:instrText>
      </w:r>
      <w:r w:rsidRPr="005B64D9">
        <w:rPr>
          <w:sz w:val="22"/>
          <w:szCs w:val="22"/>
        </w:rPr>
        <w:fldChar w:fldCharType="separate"/>
      </w:r>
      <w:r>
        <w:rPr>
          <w:rFonts w:ascii="Aptos" w:cs="Times New Roman"/>
          <w:sz w:val="22"/>
        </w:rPr>
        <w:t>(Page et al., 2021)</w:t>
      </w:r>
      <w:r w:rsidRPr="005B64D9">
        <w:rPr>
          <w:sz w:val="22"/>
          <w:szCs w:val="22"/>
        </w:rPr>
        <w:fldChar w:fldCharType="end"/>
      </w:r>
    </w:p>
    <w:p w14:paraId="3FC7AF3C" w14:textId="77777777" w:rsidR="005D240B" w:rsidRPr="005B64D9" w:rsidRDefault="005D240B" w:rsidP="005D240B">
      <w:pPr>
        <w:spacing w:line="480" w:lineRule="auto"/>
        <w:jc w:val="both"/>
        <w:rPr>
          <w:i/>
          <w:iCs/>
          <w:sz w:val="22"/>
          <w:szCs w:val="22"/>
        </w:rPr>
      </w:pPr>
    </w:p>
    <w:p w14:paraId="6A9A5BB9" w14:textId="77777777" w:rsidR="005D240B" w:rsidRPr="00327009" w:rsidRDefault="005D240B" w:rsidP="005D240B">
      <w:pPr>
        <w:spacing w:line="480" w:lineRule="auto"/>
        <w:jc w:val="both"/>
        <w:rPr>
          <w:b/>
          <w:bCs/>
          <w:i/>
          <w:iCs/>
          <w:sz w:val="22"/>
          <w:szCs w:val="22"/>
        </w:rPr>
      </w:pPr>
      <w:r w:rsidRPr="00327009">
        <w:rPr>
          <w:b/>
          <w:bCs/>
          <w:i/>
          <w:iCs/>
          <w:sz w:val="22"/>
          <w:szCs w:val="22"/>
        </w:rPr>
        <w:t>Search strategy and selection criteria</w:t>
      </w:r>
    </w:p>
    <w:p w14:paraId="3EBDBA9F" w14:textId="77777777" w:rsidR="005D240B" w:rsidRPr="005B64D9" w:rsidRDefault="005D240B" w:rsidP="005D240B">
      <w:pPr>
        <w:spacing w:line="480" w:lineRule="auto"/>
        <w:jc w:val="both"/>
        <w:rPr>
          <w:sz w:val="22"/>
          <w:szCs w:val="22"/>
        </w:rPr>
      </w:pPr>
      <w:r w:rsidRPr="005B64D9">
        <w:rPr>
          <w:sz w:val="22"/>
          <w:szCs w:val="22"/>
        </w:rPr>
        <w:t xml:space="preserve">A detailed description of our search strategy and eligibility criteria is provided in the Supplementary Methods. Briefly, we searched MEDLINE, Embase without language restrictions on 24/05/2024. We included human genome-wide studies reporting associations between genes, transcripts, or proteins. For human studies we accepted any contemporaneous BPD definition. For rodent studies, definitions of BPD study groups were accepted as </w:t>
      </w:r>
      <w:proofErr w:type="spellStart"/>
      <w:r w:rsidRPr="005B64D9">
        <w:rPr>
          <w:sz w:val="22"/>
          <w:szCs w:val="22"/>
        </w:rPr>
        <w:t>hyperoxic</w:t>
      </w:r>
      <w:proofErr w:type="spellEnd"/>
      <w:r w:rsidRPr="005B64D9">
        <w:rPr>
          <w:sz w:val="22"/>
          <w:szCs w:val="22"/>
        </w:rPr>
        <w:t xml:space="preserve"> exposure and induced low birth weight. We excluded candidate in vivo or in vitro studies (&lt; 50 genes/proteins), candidate gene associations, and studies with &lt;5 patients per arm. Following deduplication, titles were initially screened using </w:t>
      </w:r>
      <w:proofErr w:type="spellStart"/>
      <w:r w:rsidRPr="005B64D9">
        <w:rPr>
          <w:sz w:val="22"/>
          <w:szCs w:val="22"/>
        </w:rPr>
        <w:t>Screenatron</w:t>
      </w:r>
      <w:proofErr w:type="spellEnd"/>
      <w:r w:rsidRPr="005B64D9">
        <w:rPr>
          <w:sz w:val="22"/>
          <w:szCs w:val="22"/>
        </w:rPr>
        <w:t>.</w:t>
      </w:r>
      <w:r w:rsidRPr="005B64D9">
        <w:rPr>
          <w:sz w:val="22"/>
          <w:szCs w:val="22"/>
        </w:rPr>
        <w:fldChar w:fldCharType="begin"/>
      </w:r>
      <w:r>
        <w:rPr>
          <w:sz w:val="22"/>
          <w:szCs w:val="22"/>
        </w:rPr>
        <w:instrText xml:space="preserve"> ADDIN ZOTERO_ITEM CSL_CITATION {"citationID":"9WLeeDPb","properties":{"formattedCitation":"(Clark et al., 2020)","plainCitation":"(Clark et al., 2020)","noteIndex":0},"citationItems":[{"id":2434,"uris":["http://zotero.org/users/14418362/items/M47TXJKF"],"itemData":{"id":2434,"type":"article-journal","container-title":"Journal of Clinical Epidemiology","DOI":"10.1016/j.jclinepi.2020.01.008","ISSN":"08954356","journalAbbreviation":"Journal of Clinical Epidemiology","language":"en","page":"81-90","source":"DOI.org (Crossref)","title":"A full systematic review was completed in 2 weeks using automation tools: a case study","title-short":"A full systematic review was completed in 2 weeks using automation tools","URL":"https://linkinghub.elsevier.com/retrieve/pii/S089543561930719X","volume":"121","author":[{"family":"Clark","given":"Justin"},{"family":"Glasziou","given":"Paul"},{"family":"Del Mar","given":"Chris"},{"family":"Bannach-Brown","given":"Alexandra"},{"family":"Stehlik","given":"Paulina"},{"family":"Scott","given":"Anna Mae"}],"accessed":{"date-parts":[["2025",8,6]]},"issued":{"date-parts":[["2020",5]]}}}],"schema":"https://github.com/citation-style-language/schema/raw/master/csl-citation.json"} </w:instrText>
      </w:r>
      <w:r w:rsidRPr="005B64D9">
        <w:rPr>
          <w:sz w:val="22"/>
          <w:szCs w:val="22"/>
        </w:rPr>
        <w:fldChar w:fldCharType="separate"/>
      </w:r>
      <w:r>
        <w:rPr>
          <w:rFonts w:ascii="Aptos" w:cs="Times New Roman"/>
          <w:sz w:val="22"/>
        </w:rPr>
        <w:t>(Clark et al., 2020)</w:t>
      </w:r>
      <w:r w:rsidRPr="005B64D9">
        <w:rPr>
          <w:sz w:val="22"/>
          <w:szCs w:val="22"/>
        </w:rPr>
        <w:fldChar w:fldCharType="end"/>
      </w:r>
      <w:r w:rsidRPr="005B64D9">
        <w:rPr>
          <w:sz w:val="22"/>
          <w:szCs w:val="22"/>
        </w:rPr>
        <w:t xml:space="preserve"> </w:t>
      </w:r>
    </w:p>
    <w:p w14:paraId="0FAD4D9E" w14:textId="77777777" w:rsidR="005D240B" w:rsidRPr="005B64D9" w:rsidRDefault="005D240B" w:rsidP="005D240B">
      <w:pPr>
        <w:spacing w:line="480" w:lineRule="auto"/>
        <w:jc w:val="both"/>
        <w:rPr>
          <w:sz w:val="22"/>
          <w:szCs w:val="22"/>
        </w:rPr>
      </w:pPr>
    </w:p>
    <w:p w14:paraId="06875070" w14:textId="77777777" w:rsidR="005D240B" w:rsidRPr="005B64D9" w:rsidRDefault="005D240B" w:rsidP="005D240B">
      <w:pPr>
        <w:spacing w:line="480" w:lineRule="auto"/>
        <w:jc w:val="both"/>
        <w:rPr>
          <w:sz w:val="22"/>
          <w:szCs w:val="22"/>
        </w:rPr>
      </w:pPr>
      <w:r w:rsidRPr="005B64D9">
        <w:rPr>
          <w:sz w:val="22"/>
          <w:szCs w:val="22"/>
        </w:rPr>
        <w:t>Abstracts were then screened against eligibility criteria, this included organising the studies into separate collections of human and animal studies, with an independent author resolving inconsistencies. Full texts were retrieved and analysed for inclusion before extraction of gene lists for inclusion in MAIC. Input lists were processed as previously described.</w:t>
      </w:r>
      <w:r w:rsidRPr="005B64D9">
        <w:rPr>
          <w:sz w:val="22"/>
          <w:szCs w:val="22"/>
        </w:rPr>
        <w:fldChar w:fldCharType="begin"/>
      </w:r>
      <w:r>
        <w:rPr>
          <w:sz w:val="22"/>
          <w:szCs w:val="22"/>
        </w:rPr>
        <w:instrText xml:space="preserve"> ADDIN ZOTERO_ITEM CSL_CITATION {"citationID":"fx9aLOge","properties":{"formattedCitation":"(Li et al., 2020; Millar et al., 2024; Parkinson et al., 2020)","plainCitation":"(Li et al., 2020; Millar et al., 2024; Parkinson et al., 2020)","noteIndex":0},"citationItems":[{"id":2377,"uris":["http://zotero.org/users/14418362/items/WBGNVTKH"],"itemData":{"id":2377,"type":"article-journal","abstract":"OR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Kenneth"}],"accessed":{"date-parts":[["2025",2,21]]},"issued":{"date-parts":[["2024",2,14]]}}},{"id":505,"uris":["http://zotero.org/users/14418362/items/7QDLIPI2"],"itemData":{"id":505,"type":"article-journal","abstract":"Abstract\n            \n              Host dependency factors that are required for influenza A virus infection may serve as therapeutic targets as the virus is less likely to bypass them under drug-mediated selection pressure. Previous attempts to identify host factors have produced largely divergent results, with few overlapping hits across different studies. Here, we perform a genome-wide CRISPR/Cas9 screen and devise a new approach, meta-analysis by information content (MAIC) to systematically combine our results with prior evidence for influenza host factors. MAIC out-performs other meta-analysis methods when using our CRISPR screen as validation data. We validate the host factors,\n              WDR7, CCDC115\n              and\n              TMEM199\n              , demonstrating that these genes are essential for viral entry and regulation of V-type ATPase assembly. We also find that\n              CMTR1\n              , a human mRNA cap methyltransferase, is required for efficient viral cap snatching and regulation of a cell autonomous immune response, and provides synergistic protection with the influenza endonuclease inhibitor Xofluza.","container-title":"Nature Communications","DOI":"10.1038/s41467-019-13965-x","ISSN":"2041-1723","issue":"1","journalAbbreviation":"Nat Commun","language":"en","page":"164","source":"DOI.org (Crossref)","title":"Genome-wide CRISPR screen identifies host dependency factors for influenza A virus infection","URL":"https://www.nature.com/articles/s41467-019-13965-x","volume":"11","author":[{"family":"Li","given":"Bo"},{"family":"Clohisey","given":"Sara M."},{"family":"Chia","given":"Bing Shao"},{"family":"Wang","given":"Bo"},{"family":"Cui","given":"Ang"},{"family":"Eisenhaure","given":"Thomas"},{"family":"Schweitzer","given":"Lawrence D."},{"family":"Hoover","given":"Paul"},{"family":"Parkinson","given":"Nicholas J."},{"family":"Nachshon","given":"Aharon"},{"family":"Smith","given":"Nikki"},{"family":"Regan","given":"Tim"},{"family":"Farr","given":"David"},{"family":"Gutmann","given":"Michael U."},{"family":"Bukhari","given":"Syed Irfan"},{"family":"Law","given":"Andrew"},{"family":"Sangesland","given":"Maya"},{"family":"Gat-Viks","given":"Irit"},{"family":"Digard","given":"Paul"},{"family":"Vasudevan","given":"Shobha"},{"family":"Lingwood","given":"Daniel"},{"family":"Dockrell","given":"David H."},{"family":"Doench","given":"John G."},{"family":"Baillie","given":"J. Kenneth"},{"family":"Hacohen","given":"Nir"}],"accessed":{"date-parts":[["2024",6,3]]},"issued":{"date-parts":[["2020",1,9]]}}}],"schema":"https://github.com/citation-style-language/schema/raw/master/csl-citation.json"} </w:instrText>
      </w:r>
      <w:r w:rsidRPr="005B64D9">
        <w:rPr>
          <w:sz w:val="22"/>
          <w:szCs w:val="22"/>
        </w:rPr>
        <w:fldChar w:fldCharType="separate"/>
      </w:r>
      <w:r>
        <w:rPr>
          <w:rFonts w:ascii="Aptos" w:cs="Times New Roman"/>
          <w:sz w:val="22"/>
        </w:rPr>
        <w:t>(Li et al., 2020; Millar et al., 2024; Parkinson et al., 2020)</w:t>
      </w:r>
      <w:r w:rsidRPr="005B64D9">
        <w:rPr>
          <w:sz w:val="22"/>
          <w:szCs w:val="22"/>
        </w:rPr>
        <w:fldChar w:fldCharType="end"/>
      </w:r>
      <w:r w:rsidRPr="005B64D9">
        <w:rPr>
          <w:sz w:val="22"/>
          <w:szCs w:val="22"/>
        </w:rPr>
        <w:t xml:space="preserve"> Briefly, lists were considered ranked if metrics of statistical significance (p-value) and/or fold change (FC) were reported. These lists were ordered by p-value/false discovery rate (low to high) then, where applicable, by absolute fold change or effect size (high to low). Gene names were converted to HGNC gene symbols (or </w:t>
      </w:r>
      <w:proofErr w:type="spellStart"/>
      <w:r w:rsidRPr="005B64D9">
        <w:rPr>
          <w:sz w:val="22"/>
          <w:szCs w:val="22"/>
        </w:rPr>
        <w:t>Ensembl</w:t>
      </w:r>
      <w:proofErr w:type="spellEnd"/>
      <w:r w:rsidRPr="005B64D9">
        <w:rPr>
          <w:sz w:val="22"/>
          <w:szCs w:val="22"/>
        </w:rPr>
        <w:t>/</w:t>
      </w:r>
      <w:proofErr w:type="spellStart"/>
      <w:r w:rsidRPr="005B64D9">
        <w:rPr>
          <w:sz w:val="22"/>
          <w:szCs w:val="22"/>
        </w:rPr>
        <w:t>Refseq</w:t>
      </w:r>
      <w:proofErr w:type="spellEnd"/>
      <w:r w:rsidRPr="005B64D9">
        <w:rPr>
          <w:sz w:val="22"/>
          <w:szCs w:val="22"/>
        </w:rPr>
        <w:t xml:space="preserve"> </w:t>
      </w:r>
      <w:r w:rsidRPr="005B64D9">
        <w:rPr>
          <w:sz w:val="22"/>
          <w:szCs w:val="22"/>
        </w:rPr>
        <w:lastRenderedPageBreak/>
        <w:t>symbols if no HGNC symbol). Rodent data was mapped to human ortholog symbols using custom scripts to allow for comparison with the human MAIC results.</w:t>
      </w:r>
    </w:p>
    <w:p w14:paraId="10258858" w14:textId="77777777" w:rsidR="005D240B" w:rsidRPr="005B64D9" w:rsidRDefault="005D240B" w:rsidP="005D240B">
      <w:pPr>
        <w:spacing w:line="480" w:lineRule="auto"/>
        <w:jc w:val="both"/>
        <w:rPr>
          <w:sz w:val="22"/>
          <w:szCs w:val="22"/>
        </w:rPr>
      </w:pPr>
    </w:p>
    <w:p w14:paraId="0AEC5F87" w14:textId="77777777" w:rsidR="005D240B" w:rsidRPr="00327009" w:rsidRDefault="005D240B" w:rsidP="005D240B">
      <w:pPr>
        <w:spacing w:line="480" w:lineRule="auto"/>
        <w:jc w:val="both"/>
        <w:rPr>
          <w:b/>
          <w:bCs/>
          <w:i/>
          <w:iCs/>
          <w:sz w:val="22"/>
          <w:szCs w:val="22"/>
        </w:rPr>
      </w:pPr>
      <w:r w:rsidRPr="00327009">
        <w:rPr>
          <w:b/>
          <w:bCs/>
          <w:i/>
          <w:iCs/>
          <w:sz w:val="22"/>
          <w:szCs w:val="22"/>
        </w:rPr>
        <w:t>MAIC</w:t>
      </w:r>
    </w:p>
    <w:p w14:paraId="2919836E" w14:textId="77777777" w:rsidR="005D240B" w:rsidRPr="005B64D9" w:rsidRDefault="005D240B" w:rsidP="005D240B">
      <w:pPr>
        <w:spacing w:line="480" w:lineRule="auto"/>
        <w:jc w:val="both"/>
        <w:rPr>
          <w:sz w:val="22"/>
          <w:szCs w:val="22"/>
        </w:rPr>
      </w:pPr>
      <w:r w:rsidRPr="005B64D9">
        <w:rPr>
          <w:sz w:val="22"/>
          <w:szCs w:val="22"/>
        </w:rPr>
        <w:t>The MAIC algorithm has previously been described in detail.</w:t>
      </w:r>
      <w:r w:rsidRPr="005B64D9">
        <w:rPr>
          <w:sz w:val="22"/>
          <w:szCs w:val="22"/>
        </w:rPr>
        <w:fldChar w:fldCharType="begin"/>
      </w:r>
      <w:r>
        <w:rPr>
          <w:sz w:val="22"/>
          <w:szCs w:val="22"/>
        </w:rPr>
        <w:instrText xml:space="preserve"> ADDIN ZOTERO_ITEM CSL_CITATION {"citationID":"nqlEemm5","properties":{"formattedCitation":"(Li et al., 2020; Millar et al., 2024; Parkinson et al., 2020; The GenOMICC Investigators et al., 2021; B. Wang et al., 2022)","plainCitation":"(Li et al., 2020; Millar et al., 2024; Parkinson et al., 2020; The GenOMICC Investigators et al., 2021; B. Wang et al., 2022)","noteIndex":0},"citationItems":[{"id":540,"uris":["http://zotero.org/users/14418362/items/2GA2N3ZL"],"itemData":{"id":540,"type":"article-journal","container-title":"Nature","DOI":"10.1038/s41586-020-03065-y","ISSN":"0028-0836, 1476-4687","issue":"7848","journalAbbreviation":"Nature","language":"en","page":"92-98","source":"DOI.org (Crossref)","title":"Genetic mechanisms of critical illness in COVID-19","URL":"https://www.nature.com/articles/s41586-020-03065-y","volume":"591","author":[{"literal":"The GenOMICC Investigators"},{"literal":"The ISARIC4C Investigators"},{"literal":"The COVID-19 Human Genetics Initiative"},{"literal":"23andMe Investigators"},{"literal":"BRACOVID Investigators"},{"literal":"Gen-COVID Investigators"},{"family":"Pairo-Castineira","given":"Erola"},{"family":"Clohisey","given":"Sara"},{"family":"Klaric","given":"Lucija"},{"family":"Bretherick","given":"Andrew D."},{"family":"Rawlik","given":"Konrad"},{"family":"Pasko","given":"Dorota"},{"family":"Walker","given":"Susan"},{"family":"Parkinson","given":"Nick"},{"family":"Fourman","given":"Max Head"},{"family":"Russell","given":"Clark D."},{"family":"Furniss","given":"James"},{"family":"Richmond","given":"Anne"},{"family":"Gountouna","given":"Elvina"},{"family":"Wrobel","given":"Nicola"},{"family":"Harrison","given":"David"},{"family":"Wang","given":"Bo"},{"family":"Wu","given":"Yang"},{"family":"Meynert","given":"Alison"},{"family":"Griffiths","given":"Fiona"},{"family":"Oosthuyzen","given":"Wilna"},{"family":"Kousathanas","given":"Athanasios"},{"family":"Moutsianas","given":"Loukas"},{"family":"Yang","given":"Zhijian"},{"family":"Zhai","given":"Ranran"},{"family":"Zheng","given":"Chenqing"},{"family":"Grimes","given":"Graeme"},{"family":"Beale","given":"Rupert"},{"family":"Millar","given":"Jonathan"},{"family":"Shih","given":"Barbara"},{"family":"Keating","given":"Sean"},{"family":"Zechner","given":"Marie"},{"family":"Haley","given":"Chris"},{"family":"Porteous","given":"David J."},{"family":"Hayward","given":"Caroline"},{"family":"Yang","given":"Jian"},{"family":"Knight","given":"Julian"},{"family":"Summers","given":"Charlotte"},{"family":"Shankar-Hari","given":"Manu"},{"family":"Klenerman","given":"Paul"},{"family":"Turtle","given":"Lance"},{"family":"Ho","given":"Antonia"},{"family":"Moore","given":"Shona C."},{"family":"Hinds","given":"Charles"},{"family":"Horby","given":"Peter"},{"family":"Nichol","given":"Alistair"},{"family":"Maslove","given":"David"},{"family":"Ling","given":"Lowell"},{"family":"McAuley","given":"Danny"},{"family":"Montgomery","given":"Hugh"},{"family":"Walsh","given":"Timothy"},{"family":"Pereira","given":"Alexandre C."},{"family":"Renieri","given":"Alessandra"},{"family":"Shen","given":"Xia"},{"family":"Ponting","given":"Chris P."},{"family":"Fawkes","given":"Angie"},{"family":"Tenesa","given":"Albert"},{"family":"Caulfield","given":"Mark"},{"family":"Scott","given":"Richard"},{"family":"Rowan","given":"Kathy"},{"family":"Murphy","given":"Lee"},{"family":"Openshaw","given":"Peter J. M."},{"family":"Semple","given":"Malcolm G."},{"family":"Law","given":"Andrew"},{"family":"Vitart","given":"Veronique"},{"family":"Wilson","given":"James F."},{"family":"Baillie","given":"J. Kenneth"}],"accessed":{"date-parts":[["2024",6,11]]},"issued":{"date-parts":[["2021",3,4]]}}},{"id":2377,"uris":["http://zotero.org/users/14418362/items/WBGNVTKH"],"itemData":{"id":2377,"type":"article-journal","abstract":"OR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Kenneth"},{"family":"Clohisey","given":"Sara"}],"accessed":{"date-parts":[["2025",3,21]]},"issued":{"date-parts":[["2020",12,18]]}}},{"id":2393,"uris":["http://zotero.org/users/14418362/items/LDUXIVGQ"],"itemData":{"id":2393,"type":"article-journal","abstract":"Motivation: A common experimental output in biomedical science is a list of genes implicated in a given biological process or disease. The gene lists resulting from a group of studies answering the same, or similar, questions can be combined by ranking aggregation methods to ﬁnd a consensus or a more reliable answer. Evaluating a ranking aggregation method on a speciﬁc type of data before using it is required to support the reliability since the property of a dataset can inﬂuence the performance of an algorithm. Such evaluation on gene lists is usually based on a simulated database because of the lack of a known truth for real data. However, simulated datasets tend to be too small compared to experimental data and neglect key features, including heterogeneity of quality, relevance and the inclusion of unranked lists.","container-title":"Bioinformatics","DOI":"10.1093/bioinformatics/btac621","ISSN":"1367-4803, 1367-4811","issue":"21","language":"en","license":"https://creativecommons.org/licenses/by/4.0/","page":"4927-4933","source":"DOI.org (Crossref)","title":"Systematic comparison of ranking aggregation methods for gene lists in experimental results","URL":"https://academic.oup.com/bioinformatics/article/38/21/4927/6696211","volume":"38","author":[{"family":"Wang","given":"Bo"},{"family":"Law","given":"Andy"},{"family":"Regan","given":"Tim"},{"family":"Parkinson","given":"Nicholas"},{"family":"Cole","given":"Joby"},{"family":"Russell","given":"Clark D"},{"family":"Dockrell","given":"David H"},{"family":"Gutmann","given":"Michael U"},{"family":"Baillie","given":"J Kenneth"}],"editor":[{"family":"Lu","given":"Zhiyong"}],"accessed":{"date-parts":[["2025",3,25]]},"issued":{"date-parts":[["2022",10,31]]}}},{"id":2244,"uris":["http://zotero.org/users/14418362/items/WPBH2JSR"],"itemData":{"id":2244,"type":"article","abstract":"Acute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Kenneth"}],"accessed":{"date-parts":[["2025",2,21]]},"issued":{"date-parts":[["2024",2,14]]}}},{"id":505,"uris":["http://zotero.org/users/14418362/items/7QDLIPI2"],"itemData":{"id":505,"type":"article-journal","abstract":"Abstract\n            \n              Host dependency factors that are required for influenza A virus infection may serve as therapeutic targets as the virus is less likely to bypass them under drug-mediated selection pressure. Previous attempts to identify host factors have produced largely divergent results, with few overlapping hits across different studies. Here, we perform a genome-wide CRISPR/Cas9 screen and devise a new approach, meta-analysis by information content (MAIC) to systematically combine our results with prior evidence for influenza host factors. MAIC out-performs other meta-analysis methods when using our CRISPR screen as validation data. We validate the host factors,\n              WDR7, CCDC115\n              and\n              TMEM199\n              , demonstrating that these genes are essential for viral entry and regulation of V-type ATPase assembly. We also find that\n              CMTR1\n              , a human mRNA cap methyltransferase, is required for efficient viral cap snatching and regulation of a cell autonomous immune response, and provides synergistic protection with the influenza endonuclease inhibitor Xofluza.","container-title":"Nature Communications","DOI":"10.1038/s41467-019-13965-x","ISSN":"2041-1723","issue":"1","journalAbbreviation":"Nat Commun","language":"en","page":"164","source":"DOI.org (Crossref)","title":"Genome-wide CRISPR screen identifies host dependency factors for influenza A virus infection","URL":"https://www.nature.com/articles/s41467-019-13965-x","volume":"11","author":[{"family":"Li","given":"Bo"},{"family":"Clohisey","given":"Sara M."},{"family":"Chia","given":"Bing Shao"},{"family":"Wang","given":"Bo"},{"family":"Cui","given":"Ang"},{"family":"Eisenhaure","given":"Thomas"},{"family":"Schweitzer","given":"Lawrence D."},{"family":"Hoover","given":"Paul"},{"family":"Parkinson","given":"Nicholas J."},{"family":"Nachshon","given":"Aharon"},{"family":"Smith","given":"Nikki"},{"family":"Regan","given":"Tim"},{"family":"Farr","given":"David"},{"family":"Gutmann","given":"Michael U."},{"family":"Bukhari","given":"Syed Irfan"},{"family":"Law","given":"Andrew"},{"family":"Sangesland","given":"Maya"},{"family":"Gat-Viks","given":"Irit"},{"family":"Digard","given":"Paul"},{"family":"Vasudevan","given":"Shobha"},{"family":"Lingwood","given":"Daniel"},{"family":"Dockrell","given":"David H."},{"family":"Doench","given":"John G."},{"family":"Baillie","given":"J. Kenneth"},{"family":"Hacohen","given":"Nir"}],"accessed":{"date-parts":[["2024",6,3]]},"issued":{"date-parts":[["2020",1,9]]}}}],"schema":"https://github.com/citation-style-language/schema/raw/master/csl-citation.json"} </w:instrText>
      </w:r>
      <w:r w:rsidRPr="005B64D9">
        <w:rPr>
          <w:sz w:val="22"/>
          <w:szCs w:val="22"/>
        </w:rPr>
        <w:fldChar w:fldCharType="separate"/>
      </w:r>
      <w:r>
        <w:rPr>
          <w:rFonts w:ascii="Aptos" w:cs="Times New Roman"/>
          <w:sz w:val="22"/>
        </w:rPr>
        <w:t>(Li et al., 2020; Millar et al., 2024; Parkinson et al., 2020; The GenOMICC Investigators et al., 2021; B. Wang et al., 2022)</w:t>
      </w:r>
      <w:r w:rsidRPr="005B64D9">
        <w:rPr>
          <w:sz w:val="22"/>
          <w:szCs w:val="22"/>
        </w:rPr>
        <w:fldChar w:fldCharType="end"/>
      </w:r>
      <w:r w:rsidRPr="005B64D9">
        <w:rPr>
          <w:sz w:val="22"/>
          <w:szCs w:val="22"/>
        </w:rPr>
        <w:t xml:space="preserve"> A full description and the source code is available at https://baillielab.net/maic. We implemented </w:t>
      </w:r>
      <w:proofErr w:type="spellStart"/>
      <w:r w:rsidRPr="005B64D9">
        <w:rPr>
          <w:sz w:val="22"/>
          <w:szCs w:val="22"/>
        </w:rPr>
        <w:t>pymaic</w:t>
      </w:r>
      <w:proofErr w:type="spellEnd"/>
      <w:r w:rsidRPr="005B64D9">
        <w:rPr>
          <w:sz w:val="22"/>
          <w:szCs w:val="22"/>
        </w:rPr>
        <w:t xml:space="preserve"> v0.2 in Python v3.</w:t>
      </w:r>
      <w:r>
        <w:rPr>
          <w:sz w:val="22"/>
          <w:szCs w:val="22"/>
        </w:rPr>
        <w:t>9 and used Technique to categorise input lists.</w:t>
      </w:r>
      <w:r w:rsidRPr="005B64D9">
        <w:rPr>
          <w:sz w:val="22"/>
          <w:szCs w:val="22"/>
        </w:rPr>
        <w:t xml:space="preserve"> MAIC combines both ranked and unranked lists, of unknown quality, to build a comprehensive ranked list of entities according to 4 basic assumptions.1. There is a set of true positives (genes implicated in BPD), 2.  A gene is more likely to be a true positive if it appears in datasets from more than one source, 3. A gene is more likely to be a true positive if it appears in datasets with a higher proportion of replicated genes. 4. A gene is more likely to be a true positive if it appears in datasets from multiple methods or modalities.</w:t>
      </w:r>
      <w:r>
        <w:rPr>
          <w:sz w:val="22"/>
          <w:szCs w:val="22"/>
        </w:rPr>
        <w:t xml:space="preserve"> </w:t>
      </w:r>
    </w:p>
    <w:p w14:paraId="52D3CE14" w14:textId="77777777" w:rsidR="005D240B" w:rsidRPr="005B64D9" w:rsidRDefault="005D240B" w:rsidP="005D240B">
      <w:pPr>
        <w:spacing w:line="480" w:lineRule="auto"/>
        <w:jc w:val="both"/>
        <w:rPr>
          <w:sz w:val="22"/>
          <w:szCs w:val="22"/>
        </w:rPr>
      </w:pPr>
    </w:p>
    <w:p w14:paraId="2295BB2C" w14:textId="323E2A89" w:rsidR="005D240B" w:rsidRPr="00327009" w:rsidRDefault="005D240B" w:rsidP="005D240B">
      <w:pPr>
        <w:spacing w:line="480" w:lineRule="auto"/>
        <w:jc w:val="both"/>
        <w:rPr>
          <w:rFonts w:cs="Calibri"/>
          <w:b/>
          <w:bCs/>
          <w:i/>
          <w:iCs/>
          <w:color w:val="000000" w:themeColor="text1"/>
          <w:szCs w:val="22"/>
        </w:rPr>
      </w:pPr>
      <w:r w:rsidRPr="00327009">
        <w:rPr>
          <w:rFonts w:cs="Calibri"/>
          <w:b/>
          <w:bCs/>
          <w:i/>
          <w:iCs/>
          <w:color w:val="000000" w:themeColor="text1"/>
          <w:szCs w:val="22"/>
        </w:rPr>
        <w:t>Functional analyses</w:t>
      </w:r>
      <w:r w:rsidR="001045AD">
        <w:rPr>
          <w:rFonts w:cs="Calibri"/>
          <w:b/>
          <w:bCs/>
          <w:i/>
          <w:iCs/>
          <w:color w:val="000000" w:themeColor="text1"/>
          <w:szCs w:val="22"/>
        </w:rPr>
        <w:t xml:space="preserve"> and tissue expression</w:t>
      </w:r>
    </w:p>
    <w:p w14:paraId="653A3BA8" w14:textId="375B88BC" w:rsidR="005D240B" w:rsidRDefault="005D240B" w:rsidP="005D240B">
      <w:pPr>
        <w:spacing w:line="480" w:lineRule="auto"/>
        <w:jc w:val="both"/>
        <w:rPr>
          <w:sz w:val="22"/>
          <w:szCs w:val="22"/>
        </w:rPr>
      </w:pPr>
      <w:r w:rsidRPr="00327009">
        <w:rPr>
          <w:sz w:val="22"/>
          <w:szCs w:val="22"/>
        </w:rPr>
        <w:t xml:space="preserve">All enrichment and over representation analyses were implemented using </w:t>
      </w:r>
      <w:proofErr w:type="spellStart"/>
      <w:r w:rsidRPr="004957E8">
        <w:rPr>
          <w:rFonts w:ascii="Courier New" w:hAnsi="Courier New" w:cs="Courier New"/>
          <w:sz w:val="22"/>
          <w:szCs w:val="22"/>
        </w:rPr>
        <w:t>clusterProfiler</w:t>
      </w:r>
      <w:proofErr w:type="spellEnd"/>
      <w:r w:rsidRPr="00327009">
        <w:rPr>
          <w:sz w:val="22"/>
          <w:szCs w:val="22"/>
        </w:rPr>
        <w:t xml:space="preserve"> (v4.0)</w:t>
      </w:r>
      <w:r w:rsidRPr="00327009">
        <w:rPr>
          <w:sz w:val="22"/>
          <w:szCs w:val="22"/>
        </w:rPr>
        <w:fldChar w:fldCharType="begin"/>
      </w:r>
      <w:r>
        <w:rPr>
          <w:sz w:val="22"/>
          <w:szCs w:val="22"/>
        </w:rPr>
        <w:instrText xml:space="preserve"> ADDIN ZOTERO_ITEM CSL_CITATION {"citationID":"fSOrMzl3","properties":{"formattedCitation":"(Wu et al., 2021)","plainCitation":"(Wu et al., 2021)","noteIndex":0},"citationItems":[{"id":2436,"uris":["http://zotero.org/users/14418362/items/M6WCLZNJ"],"itemData":{"id":2436,"type":"article-journal","container-title":"The Innovation","DOI":"10.1016/j.xinn.2021.100141","ISSN":"26666758","issue":"3","journalAbbreviation":"The Innovation","language":"en","page":"100141","source":"DOI.org (Crossref)","title":"clusterProfiler 4.0: A universal enrichment tool for interpreting omics data","title-short":"clusterProfiler 4.0","URL":"https://linkinghub.elsevier.com/retrieve/pii/S2666675821000667","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accessed":{"date-parts":[["2025",8,6]]},"issued":{"date-parts":[["2021",8]]}}}],"schema":"https://github.com/citation-style-language/schema/raw/master/csl-citation.json"} </w:instrText>
      </w:r>
      <w:r w:rsidRPr="00327009">
        <w:rPr>
          <w:sz w:val="22"/>
          <w:szCs w:val="22"/>
        </w:rPr>
        <w:fldChar w:fldCharType="separate"/>
      </w:r>
      <w:r>
        <w:rPr>
          <w:rFonts w:ascii="Aptos" w:cs="Times New Roman"/>
          <w:sz w:val="22"/>
        </w:rPr>
        <w:t>(Wu et al., 2021)</w:t>
      </w:r>
      <w:r w:rsidRPr="00327009">
        <w:rPr>
          <w:sz w:val="22"/>
          <w:szCs w:val="22"/>
        </w:rPr>
        <w:fldChar w:fldCharType="end"/>
      </w:r>
      <w:r w:rsidRPr="00327009">
        <w:rPr>
          <w:sz w:val="22"/>
          <w:szCs w:val="22"/>
        </w:rPr>
        <w:t xml:space="preserve"> in R (v4.4.0)</w:t>
      </w:r>
      <w:r>
        <w:rPr>
          <w:sz w:val="22"/>
          <w:szCs w:val="22"/>
        </w:rPr>
        <w:t xml:space="preserve"> and </w:t>
      </w:r>
      <w:r w:rsidRPr="00BF5456">
        <w:rPr>
          <w:rFonts w:ascii="Aptos" w:hAnsi="Aptos"/>
          <w:sz w:val="22"/>
          <w:szCs w:val="22"/>
        </w:rPr>
        <w:t xml:space="preserve">visualised using functions in that package. </w:t>
      </w:r>
      <w:r w:rsidRPr="00BF5456">
        <w:rPr>
          <w:rFonts w:ascii="Aptos" w:hAnsi="Aptos"/>
          <w:sz w:val="22"/>
          <w:szCs w:val="22"/>
          <w:shd w:val="clear" w:color="auto" w:fill="FFFFFF"/>
        </w:rPr>
        <w:t>Redundancy of enriched GO terms</w:t>
      </w:r>
      <w:r w:rsidRPr="00BF5456">
        <w:rPr>
          <w:rFonts w:ascii="Aptos" w:hAnsi="Aptos"/>
          <w:sz w:val="22"/>
          <w:szCs w:val="22"/>
        </w:rPr>
        <w:t xml:space="preserve"> was removed</w:t>
      </w:r>
      <w:r>
        <w:rPr>
          <w:sz w:val="22"/>
          <w:szCs w:val="22"/>
        </w:rPr>
        <w:t xml:space="preserve"> using the </w:t>
      </w:r>
      <w:r w:rsidRPr="00BF5456">
        <w:rPr>
          <w:rFonts w:ascii="Courier New" w:hAnsi="Courier New" w:cs="Courier New"/>
          <w:sz w:val="22"/>
          <w:szCs w:val="22"/>
        </w:rPr>
        <w:t>simplify</w:t>
      </w:r>
      <w:r>
        <w:rPr>
          <w:sz w:val="22"/>
          <w:szCs w:val="22"/>
        </w:rPr>
        <w:t xml:space="preserve"> function. </w:t>
      </w:r>
      <w:r w:rsidRPr="00327009">
        <w:rPr>
          <w:sz w:val="22"/>
          <w:szCs w:val="22"/>
        </w:rPr>
        <w:t>Hypergeometric</w:t>
      </w:r>
      <w:r w:rsidRPr="005B64D9">
        <w:rPr>
          <w:sz w:val="22"/>
          <w:szCs w:val="22"/>
        </w:rPr>
        <w:t xml:space="preserve"> tests were implemented with the </w:t>
      </w:r>
      <w:r w:rsidRPr="00BF5456">
        <w:rPr>
          <w:rFonts w:ascii="Courier New" w:hAnsi="Courier New" w:cs="Courier New"/>
          <w:sz w:val="22"/>
          <w:szCs w:val="22"/>
        </w:rPr>
        <w:t>1-phyper</w:t>
      </w:r>
      <w:r w:rsidRPr="005B64D9">
        <w:rPr>
          <w:i/>
          <w:iCs/>
          <w:sz w:val="22"/>
          <w:szCs w:val="22"/>
        </w:rPr>
        <w:t xml:space="preserve"> </w:t>
      </w:r>
      <w:r w:rsidRPr="005B64D9">
        <w:rPr>
          <w:sz w:val="22"/>
          <w:szCs w:val="22"/>
        </w:rPr>
        <w:t>function in R.</w:t>
      </w:r>
      <w:r>
        <w:rPr>
          <w:sz w:val="22"/>
          <w:szCs w:val="22"/>
        </w:rPr>
        <w:t xml:space="preserve"> Gene overlaps were visualised using </w:t>
      </w:r>
      <w:proofErr w:type="spellStart"/>
      <w:r w:rsidRPr="00BF5456">
        <w:rPr>
          <w:rFonts w:ascii="Courier New" w:hAnsi="Courier New" w:cs="Courier New"/>
          <w:sz w:val="22"/>
          <w:szCs w:val="22"/>
        </w:rPr>
        <w:t>ggvenn</w:t>
      </w:r>
      <w:proofErr w:type="spellEnd"/>
      <w:r>
        <w:rPr>
          <w:sz w:val="22"/>
          <w:szCs w:val="22"/>
        </w:rPr>
        <w:t>.</w:t>
      </w:r>
      <w:r w:rsidR="001045AD">
        <w:rPr>
          <w:sz w:val="22"/>
          <w:szCs w:val="22"/>
        </w:rPr>
        <w:t xml:space="preserve"> </w:t>
      </w:r>
      <w:r w:rsidR="001045AD" w:rsidRPr="001045AD">
        <w:rPr>
          <w:sz w:val="22"/>
          <w:szCs w:val="22"/>
        </w:rPr>
        <w:t>We conducted cell-</w:t>
      </w:r>
      <w:proofErr w:type="gramStart"/>
      <w:r w:rsidR="001045AD" w:rsidRPr="001045AD">
        <w:rPr>
          <w:sz w:val="22"/>
          <w:szCs w:val="22"/>
        </w:rPr>
        <w:t>type  specific</w:t>
      </w:r>
      <w:proofErr w:type="gramEnd"/>
      <w:r w:rsidR="001045AD" w:rsidRPr="001045AD">
        <w:rPr>
          <w:sz w:val="22"/>
          <w:szCs w:val="22"/>
        </w:rPr>
        <w:t xml:space="preserve"> enrichment analysis using </w:t>
      </w:r>
      <w:proofErr w:type="spellStart"/>
      <w:r w:rsidR="001045AD" w:rsidRPr="001045AD">
        <w:rPr>
          <w:sz w:val="22"/>
          <w:szCs w:val="22"/>
        </w:rPr>
        <w:t>WebCSEA</w:t>
      </w:r>
      <w:proofErr w:type="spellEnd"/>
      <w:r w:rsidR="001045AD">
        <w:rPr>
          <w:sz w:val="22"/>
          <w:szCs w:val="22"/>
        </w:rPr>
        <w:fldChar w:fldCharType="begin"/>
      </w:r>
      <w:r w:rsidR="001045AD">
        <w:rPr>
          <w:sz w:val="22"/>
          <w:szCs w:val="22"/>
        </w:rPr>
        <w:instrText xml:space="preserve"> ADDIN ZOTERO_TEMP </w:instrText>
      </w:r>
      <w:r w:rsidR="001045AD">
        <w:rPr>
          <w:sz w:val="22"/>
          <w:szCs w:val="22"/>
        </w:rPr>
        <w:fldChar w:fldCharType="separate"/>
      </w:r>
      <w:r w:rsidR="001045AD">
        <w:rPr>
          <w:noProof/>
          <w:sz w:val="22"/>
          <w:szCs w:val="22"/>
        </w:rPr>
        <w:t>{Dai}</w:t>
      </w:r>
      <w:r w:rsidR="001045AD">
        <w:rPr>
          <w:sz w:val="22"/>
          <w:szCs w:val="22"/>
        </w:rPr>
        <w:fldChar w:fldCharType="end"/>
      </w:r>
      <w:r w:rsidR="001045AD" w:rsidRPr="001045AD">
        <w:rPr>
          <w:sz w:val="22"/>
          <w:szCs w:val="22"/>
        </w:rPr>
        <w:t xml:space="preserve"> and extracted the top 20 general cell types for each query.</w:t>
      </w:r>
    </w:p>
    <w:p w14:paraId="060F9079" w14:textId="77777777" w:rsidR="005D240B" w:rsidRDefault="005D240B" w:rsidP="005D240B">
      <w:pPr>
        <w:spacing w:line="480" w:lineRule="auto"/>
        <w:jc w:val="both"/>
        <w:rPr>
          <w:sz w:val="22"/>
          <w:szCs w:val="22"/>
        </w:rPr>
      </w:pPr>
    </w:p>
    <w:p w14:paraId="1E262FC6" w14:textId="77777777" w:rsidR="005D240B" w:rsidRPr="004957E8" w:rsidRDefault="005D240B" w:rsidP="005D240B">
      <w:pPr>
        <w:spacing w:line="480" w:lineRule="auto"/>
        <w:jc w:val="both"/>
        <w:rPr>
          <w:b/>
          <w:bCs/>
          <w:i/>
          <w:iCs/>
          <w:sz w:val="22"/>
          <w:szCs w:val="22"/>
        </w:rPr>
      </w:pPr>
      <w:r w:rsidRPr="004957E8">
        <w:rPr>
          <w:b/>
          <w:bCs/>
          <w:i/>
          <w:iCs/>
          <w:sz w:val="22"/>
          <w:szCs w:val="22"/>
        </w:rPr>
        <w:t>Protein Interaction Network</w:t>
      </w:r>
    </w:p>
    <w:p w14:paraId="3A039326" w14:textId="137B5C61" w:rsidR="005D240B" w:rsidRPr="005B64D9" w:rsidRDefault="005D240B" w:rsidP="005D240B">
      <w:pPr>
        <w:spacing w:line="480" w:lineRule="auto"/>
        <w:jc w:val="both"/>
        <w:rPr>
          <w:sz w:val="22"/>
          <w:szCs w:val="22"/>
        </w:rPr>
      </w:pPr>
      <w:r w:rsidRPr="005B64D9">
        <w:rPr>
          <w:sz w:val="22"/>
          <w:szCs w:val="22"/>
        </w:rPr>
        <w:t>Prioritised genes were analysed using the online tool STRING (https:// string-db.org)</w:t>
      </w:r>
      <w:r>
        <w:rPr>
          <w:sz w:val="22"/>
          <w:szCs w:val="22"/>
        </w:rPr>
        <w:t xml:space="preserve"> to determine potential protein-protein interactions</w:t>
      </w:r>
      <w:r w:rsidRPr="005B64D9">
        <w:rPr>
          <w:sz w:val="22"/>
          <w:szCs w:val="22"/>
        </w:rPr>
        <w:t>.</w:t>
      </w:r>
      <w:r>
        <w:rPr>
          <w:sz w:val="22"/>
          <w:szCs w:val="22"/>
        </w:rPr>
        <w:t xml:space="preserve"> For humans 919 genes were mapped, for rodents 1726. </w:t>
      </w:r>
      <w:r w:rsidRPr="005B64D9">
        <w:rPr>
          <w:sz w:val="22"/>
          <w:szCs w:val="22"/>
        </w:rPr>
        <w:t xml:space="preserve"> A </w:t>
      </w:r>
      <w:r w:rsidRPr="005B64D9">
        <w:rPr>
          <w:sz w:val="22"/>
          <w:szCs w:val="22"/>
        </w:rPr>
        <w:lastRenderedPageBreak/>
        <w:t>PPI network was constructed using the MCL (Markov Clustering) algorithm, with an inflation parameter of 3</w:t>
      </w:r>
      <w:r>
        <w:rPr>
          <w:sz w:val="22"/>
          <w:szCs w:val="22"/>
        </w:rPr>
        <w:t xml:space="preserve"> and focused on high confidence (interaction score of &gt;= 0.7) interactions</w:t>
      </w:r>
      <w:r w:rsidRPr="005B64D9">
        <w:rPr>
          <w:sz w:val="22"/>
          <w:szCs w:val="22"/>
        </w:rPr>
        <w:t xml:space="preserve">. The network was exported and hub genes subsequently identified using </w:t>
      </w:r>
      <w:proofErr w:type="spellStart"/>
      <w:r w:rsidRPr="005B64D9">
        <w:rPr>
          <w:sz w:val="22"/>
          <w:szCs w:val="22"/>
        </w:rPr>
        <w:t>CytoHubba</w:t>
      </w:r>
      <w:proofErr w:type="spellEnd"/>
      <w:r w:rsidRPr="005B64D9">
        <w:rPr>
          <w:sz w:val="22"/>
          <w:szCs w:val="22"/>
        </w:rPr>
        <w:t xml:space="preserve"> 0.1 implemented in </w:t>
      </w:r>
      <w:proofErr w:type="spellStart"/>
      <w:r w:rsidRPr="005B64D9">
        <w:rPr>
          <w:sz w:val="22"/>
          <w:szCs w:val="22"/>
        </w:rPr>
        <w:t>CytoScape</w:t>
      </w:r>
      <w:proofErr w:type="spellEnd"/>
      <w:r w:rsidRPr="005B64D9">
        <w:rPr>
          <w:sz w:val="22"/>
          <w:szCs w:val="22"/>
        </w:rPr>
        <w:t xml:space="preserve"> 3.10.3. The overlap of the </w:t>
      </w:r>
      <w:r w:rsidRPr="004957E8">
        <w:rPr>
          <w:sz w:val="22"/>
          <w:szCs w:val="22"/>
        </w:rPr>
        <w:t xml:space="preserve">top 100 ranked genes, ranked using </w:t>
      </w:r>
      <w:r>
        <w:rPr>
          <w:sz w:val="22"/>
          <w:szCs w:val="22"/>
        </w:rPr>
        <w:t>5</w:t>
      </w:r>
      <w:r w:rsidRPr="004957E8">
        <w:rPr>
          <w:sz w:val="22"/>
          <w:szCs w:val="22"/>
        </w:rPr>
        <w:t xml:space="preserve"> common algorithms</w:t>
      </w:r>
      <w:r w:rsidRPr="005B64D9">
        <w:rPr>
          <w:sz w:val="22"/>
          <w:szCs w:val="22"/>
        </w:rPr>
        <w:t xml:space="preserve"> (MCC, MNC, Degree, EPC and </w:t>
      </w:r>
      <w:r w:rsidRPr="004957E8">
        <w:rPr>
          <w:sz w:val="22"/>
          <w:szCs w:val="22"/>
        </w:rPr>
        <w:t>DMNC), was</w:t>
      </w:r>
      <w:r w:rsidRPr="005B64D9">
        <w:rPr>
          <w:sz w:val="22"/>
          <w:szCs w:val="22"/>
        </w:rPr>
        <w:t xml:space="preserve"> used to evaluate hub genes</w:t>
      </w:r>
      <w:r>
        <w:rPr>
          <w:sz w:val="22"/>
          <w:szCs w:val="22"/>
        </w:rPr>
        <w:t>, apart from overlaps</w:t>
      </w:r>
      <w:r w:rsidR="009F3C8A">
        <w:rPr>
          <w:sz w:val="22"/>
          <w:szCs w:val="22"/>
        </w:rPr>
        <w:t xml:space="preserve"> between MAIC analyses</w:t>
      </w:r>
      <w:r>
        <w:rPr>
          <w:sz w:val="22"/>
          <w:szCs w:val="22"/>
        </w:rPr>
        <w:t xml:space="preserve"> where </w:t>
      </w:r>
      <w:r w:rsidR="009F3C8A" w:rsidRPr="005B64D9">
        <w:rPr>
          <w:sz w:val="22"/>
          <w:szCs w:val="22"/>
        </w:rPr>
        <w:t xml:space="preserve">the </w:t>
      </w:r>
      <w:r w:rsidR="009F3C8A" w:rsidRPr="004957E8">
        <w:rPr>
          <w:sz w:val="22"/>
          <w:szCs w:val="22"/>
        </w:rPr>
        <w:t>top 10 ranked genes</w:t>
      </w:r>
      <w:r w:rsidR="009F3C8A">
        <w:rPr>
          <w:sz w:val="22"/>
          <w:szCs w:val="22"/>
        </w:rPr>
        <w:t xml:space="preserve"> </w:t>
      </w:r>
      <w:r>
        <w:rPr>
          <w:sz w:val="22"/>
          <w:szCs w:val="22"/>
        </w:rPr>
        <w:t>were used</w:t>
      </w:r>
      <w:r w:rsidRPr="005B64D9">
        <w:rPr>
          <w:sz w:val="22"/>
          <w:szCs w:val="22"/>
        </w:rPr>
        <w:t>.</w:t>
      </w:r>
      <w:r>
        <w:rPr>
          <w:sz w:val="22"/>
          <w:szCs w:val="22"/>
        </w:rPr>
        <w:fldChar w:fldCharType="begin"/>
      </w:r>
      <w:r>
        <w:rPr>
          <w:sz w:val="22"/>
          <w:szCs w:val="22"/>
        </w:rPr>
        <w:instrText xml:space="preserve"> ADDIN ZOTERO_TEMP </w:instrText>
      </w:r>
      <w:r>
        <w:rPr>
          <w:sz w:val="22"/>
          <w:szCs w:val="22"/>
        </w:rPr>
        <w:fldChar w:fldCharType="separate"/>
      </w:r>
      <w:r>
        <w:rPr>
          <w:sz w:val="22"/>
          <w:szCs w:val="22"/>
        </w:rPr>
        <w:fldChar w:fldCharType="end"/>
      </w:r>
      <w:r w:rsidRPr="005B64D9">
        <w:rPr>
          <w:sz w:val="22"/>
          <w:szCs w:val="22"/>
        </w:rPr>
        <w:t xml:space="preserve"> </w:t>
      </w:r>
    </w:p>
    <w:p w14:paraId="3630F8F0" w14:textId="77777777" w:rsidR="005D240B" w:rsidRPr="005B64D9" w:rsidRDefault="005D240B" w:rsidP="005D240B">
      <w:pPr>
        <w:spacing w:line="480" w:lineRule="auto"/>
        <w:jc w:val="both"/>
        <w:rPr>
          <w:sz w:val="22"/>
          <w:szCs w:val="22"/>
        </w:rPr>
      </w:pPr>
    </w:p>
    <w:p w14:paraId="483B6AFA" w14:textId="77777777" w:rsidR="0077789B" w:rsidRPr="0077789B" w:rsidRDefault="0077789B" w:rsidP="0077789B">
      <w:pPr>
        <w:spacing w:line="480" w:lineRule="auto"/>
        <w:jc w:val="both"/>
        <w:rPr>
          <w:b/>
          <w:bCs/>
          <w:sz w:val="22"/>
          <w:szCs w:val="22"/>
        </w:rPr>
      </w:pPr>
      <w:r w:rsidRPr="0077789B">
        <w:rPr>
          <w:b/>
          <w:bCs/>
          <w:sz w:val="22"/>
          <w:szCs w:val="22"/>
        </w:rPr>
        <w:t>Overlap Analysis of Ranked Gene Lists</w:t>
      </w:r>
    </w:p>
    <w:p w14:paraId="0FCAEAC1" w14:textId="2A83D582" w:rsidR="005D240B" w:rsidRPr="005B64D9" w:rsidRDefault="0077789B" w:rsidP="0077789B">
      <w:pPr>
        <w:spacing w:line="480" w:lineRule="auto"/>
        <w:jc w:val="both"/>
        <w:rPr>
          <w:sz w:val="22"/>
          <w:szCs w:val="22"/>
        </w:rPr>
      </w:pPr>
      <w:r w:rsidRPr="0077789B">
        <w:rPr>
          <w:sz w:val="22"/>
          <w:szCs w:val="22"/>
        </w:rPr>
        <w:t>To assess the degree of similarity between ranked lists, we computed the percent overlap at incremental list lengths. Beginning with the top-ranked gene from each list, we iteratively increased the comparison window by one gene until reaching a maximum of n genes. At each step, the proportion of overlapping genes was calculated as the number of shared genes divided by the number of genes included at that step, expressed as a percentage.</w:t>
      </w:r>
    </w:p>
    <w:p w14:paraId="769CA03D" w14:textId="77777777" w:rsidR="005D240B" w:rsidRPr="005B64D9" w:rsidRDefault="005D240B" w:rsidP="005D240B">
      <w:pPr>
        <w:spacing w:line="480" w:lineRule="auto"/>
        <w:jc w:val="both"/>
        <w:rPr>
          <w:sz w:val="22"/>
          <w:szCs w:val="22"/>
        </w:rPr>
      </w:pPr>
    </w:p>
    <w:p w14:paraId="71BC31DA" w14:textId="77777777" w:rsidR="005D240B" w:rsidRPr="005B64D9" w:rsidRDefault="005D240B" w:rsidP="005D240B">
      <w:pPr>
        <w:spacing w:line="480" w:lineRule="auto"/>
        <w:rPr>
          <w:b/>
          <w:bCs/>
          <w:sz w:val="22"/>
          <w:szCs w:val="22"/>
        </w:rPr>
      </w:pPr>
      <w:r w:rsidRPr="005B64D9">
        <w:rPr>
          <w:b/>
          <w:bCs/>
          <w:sz w:val="22"/>
          <w:szCs w:val="22"/>
        </w:rPr>
        <w:br w:type="page"/>
      </w:r>
    </w:p>
    <w:p w14:paraId="5BD17566" w14:textId="77777777" w:rsidR="005D240B" w:rsidRDefault="005D240B" w:rsidP="005D240B">
      <w:pPr>
        <w:spacing w:line="480" w:lineRule="auto"/>
        <w:jc w:val="both"/>
        <w:rPr>
          <w:b/>
          <w:bCs/>
          <w:sz w:val="22"/>
          <w:szCs w:val="22"/>
        </w:rPr>
      </w:pPr>
      <w:r w:rsidRPr="005B64D9">
        <w:rPr>
          <w:b/>
          <w:bCs/>
          <w:sz w:val="22"/>
          <w:szCs w:val="22"/>
        </w:rPr>
        <w:lastRenderedPageBreak/>
        <w:t>References</w:t>
      </w:r>
    </w:p>
    <w:p w14:paraId="43A9E57E" w14:textId="77777777" w:rsidR="005D240B" w:rsidRDefault="005D240B" w:rsidP="005D240B">
      <w:pPr>
        <w:spacing w:line="480" w:lineRule="auto"/>
        <w:jc w:val="both"/>
        <w:rPr>
          <w:b/>
          <w:bCs/>
          <w:sz w:val="22"/>
          <w:szCs w:val="22"/>
        </w:rPr>
      </w:pPr>
    </w:p>
    <w:p w14:paraId="1DF9FC6A" w14:textId="77777777" w:rsidR="00C817ED" w:rsidRPr="00C817ED" w:rsidRDefault="005D240B" w:rsidP="00C817ED">
      <w:pPr>
        <w:pStyle w:val="Bibliography"/>
        <w:rPr>
          <w:rFonts w:ascii="Aptos"/>
          <w:sz w:val="22"/>
        </w:rPr>
      </w:pPr>
      <w:r>
        <w:rPr>
          <w:b/>
          <w:bCs/>
          <w:sz w:val="22"/>
          <w:szCs w:val="22"/>
        </w:rPr>
        <w:fldChar w:fldCharType="begin"/>
      </w:r>
      <w:r>
        <w:rPr>
          <w:b/>
          <w:bCs/>
          <w:sz w:val="22"/>
          <w:szCs w:val="22"/>
        </w:rPr>
        <w:instrText xml:space="preserve"> ADDIN ZOTERO_BIBL {"uncited":[],"omitted":[],"custom":[]} CSL_BIBLIOGRAPHY </w:instrText>
      </w:r>
      <w:r>
        <w:rPr>
          <w:b/>
          <w:bCs/>
          <w:sz w:val="22"/>
          <w:szCs w:val="22"/>
        </w:rPr>
        <w:fldChar w:fldCharType="separate"/>
      </w:r>
      <w:r w:rsidR="00C817ED" w:rsidRPr="00C817ED">
        <w:rPr>
          <w:rFonts w:ascii="Aptos"/>
          <w:sz w:val="22"/>
        </w:rPr>
        <w:t xml:space="preserve">Ambalavanan, N., Cotten, C. M., Page, G. P., Carlo, W. A., Murray, J. C., Bhattacharya, S., Mariani, T. J., Cuna, A. C., Faye-Petersen, O. M., Kelly, D., &amp; Higgins, R. D. (2015). Integrated Genomic Analyses in Bronchopulmonary Dysplasia. </w:t>
      </w:r>
      <w:r w:rsidR="00C817ED" w:rsidRPr="00C817ED">
        <w:rPr>
          <w:rFonts w:ascii="Aptos"/>
          <w:i/>
          <w:iCs/>
          <w:sz w:val="22"/>
        </w:rPr>
        <w:t>The Journal of Pediatrics</w:t>
      </w:r>
      <w:r w:rsidR="00C817ED" w:rsidRPr="00C817ED">
        <w:rPr>
          <w:rFonts w:ascii="Aptos"/>
          <w:sz w:val="22"/>
        </w:rPr>
        <w:t xml:space="preserve">, </w:t>
      </w:r>
      <w:r w:rsidR="00C817ED" w:rsidRPr="00C817ED">
        <w:rPr>
          <w:rFonts w:ascii="Aptos"/>
          <w:i/>
          <w:iCs/>
          <w:sz w:val="22"/>
        </w:rPr>
        <w:t>166</w:t>
      </w:r>
      <w:r w:rsidR="00C817ED" w:rsidRPr="00C817ED">
        <w:rPr>
          <w:rFonts w:ascii="Aptos"/>
          <w:sz w:val="22"/>
        </w:rPr>
        <w:t>(3), 531-537.e13. https://doi.org/10.1016/j.jpeds.2014.09.052</w:t>
      </w:r>
    </w:p>
    <w:p w14:paraId="1A553A43" w14:textId="77777777" w:rsidR="00C817ED" w:rsidRPr="00C817ED" w:rsidRDefault="00C817ED" w:rsidP="00C817ED">
      <w:pPr>
        <w:pStyle w:val="Bibliography"/>
        <w:rPr>
          <w:rFonts w:ascii="Aptos"/>
          <w:sz w:val="22"/>
        </w:rPr>
      </w:pPr>
      <w:r w:rsidRPr="00C817ED">
        <w:rPr>
          <w:rFonts w:ascii="Aptos"/>
          <w:sz w:val="22"/>
        </w:rPr>
        <w:t xml:space="preserve">Bhandari, V., Bizzarro, M. J., Shetty, A., Zhong, X., Page, G. P., Zhang, H., Ment, L. R., Gruen, J. R., &amp; for the Neonatal Genetics Study Group. (2006). Familial and Genetic Susceptibility to Major Neonatal Morbidities in Preterm Twins. </w:t>
      </w:r>
      <w:r w:rsidRPr="00C817ED">
        <w:rPr>
          <w:rFonts w:ascii="Aptos"/>
          <w:i/>
          <w:iCs/>
          <w:sz w:val="22"/>
        </w:rPr>
        <w:t>Pediatrics</w:t>
      </w:r>
      <w:r w:rsidRPr="00C817ED">
        <w:rPr>
          <w:rFonts w:ascii="Aptos"/>
          <w:sz w:val="22"/>
        </w:rPr>
        <w:t xml:space="preserve">, </w:t>
      </w:r>
      <w:r w:rsidRPr="00C817ED">
        <w:rPr>
          <w:rFonts w:ascii="Aptos"/>
          <w:i/>
          <w:iCs/>
          <w:sz w:val="22"/>
        </w:rPr>
        <w:t>117</w:t>
      </w:r>
      <w:r w:rsidRPr="00C817ED">
        <w:rPr>
          <w:rFonts w:ascii="Aptos"/>
          <w:sz w:val="22"/>
        </w:rPr>
        <w:t>(6), 1901–1906. https://doi.org/10.1542/peds.2005-1414</w:t>
      </w:r>
    </w:p>
    <w:p w14:paraId="52A8E851" w14:textId="77777777" w:rsidR="00C817ED" w:rsidRPr="00C817ED" w:rsidRDefault="00C817ED" w:rsidP="00C817ED">
      <w:pPr>
        <w:pStyle w:val="Bibliography"/>
        <w:rPr>
          <w:rFonts w:ascii="Aptos"/>
          <w:sz w:val="22"/>
        </w:rPr>
      </w:pPr>
      <w:r w:rsidRPr="00C817ED">
        <w:rPr>
          <w:rFonts w:ascii="Aptos"/>
          <w:sz w:val="22"/>
        </w:rPr>
        <w:t xml:space="preserve">Clark, J., Glasziou, P., Del Mar, C., Bannach-Brown, A., Stehlik, P., &amp; Scott, A. M. (2020). A full systematic review was completed in 2 weeks using automation tools: A case study. </w:t>
      </w:r>
      <w:r w:rsidRPr="00C817ED">
        <w:rPr>
          <w:rFonts w:ascii="Aptos"/>
          <w:i/>
          <w:iCs/>
          <w:sz w:val="22"/>
        </w:rPr>
        <w:t>Journal of Clinical Epidemiology</w:t>
      </w:r>
      <w:r w:rsidRPr="00C817ED">
        <w:rPr>
          <w:rFonts w:ascii="Aptos"/>
          <w:sz w:val="22"/>
        </w:rPr>
        <w:t xml:space="preserve">, </w:t>
      </w:r>
      <w:r w:rsidRPr="00C817ED">
        <w:rPr>
          <w:rFonts w:ascii="Aptos"/>
          <w:i/>
          <w:iCs/>
          <w:sz w:val="22"/>
        </w:rPr>
        <w:t>121</w:t>
      </w:r>
      <w:r w:rsidRPr="00C817ED">
        <w:rPr>
          <w:rFonts w:ascii="Aptos"/>
          <w:sz w:val="22"/>
        </w:rPr>
        <w:t>, 81–90. https://doi.org/10.1016/j.jclinepi.2020.01.008</w:t>
      </w:r>
    </w:p>
    <w:p w14:paraId="34E54C4F" w14:textId="77777777" w:rsidR="00C817ED" w:rsidRPr="00C817ED" w:rsidRDefault="00C817ED" w:rsidP="00C817ED">
      <w:pPr>
        <w:pStyle w:val="Bibliography"/>
        <w:rPr>
          <w:rFonts w:ascii="Aptos"/>
          <w:sz w:val="22"/>
        </w:rPr>
      </w:pPr>
      <w:r w:rsidRPr="00C817ED">
        <w:rPr>
          <w:rFonts w:ascii="Aptos"/>
          <w:sz w:val="22"/>
        </w:rPr>
        <w:t xml:space="preserve">Dai, Y., Hu, R., Liu, A., Cho, K. S., Manuel, A. M., Li, X., Dong, X., Jia, P., &amp; Zhao, Z. (2022). WebCSEA: Web-based cell-type-specific enrichment analysis of genes. </w:t>
      </w:r>
      <w:r w:rsidRPr="00C817ED">
        <w:rPr>
          <w:rFonts w:ascii="Aptos"/>
          <w:i/>
          <w:iCs/>
          <w:sz w:val="22"/>
        </w:rPr>
        <w:t>Nucleic Acids Research</w:t>
      </w:r>
      <w:r w:rsidRPr="00C817ED">
        <w:rPr>
          <w:rFonts w:ascii="Aptos"/>
          <w:sz w:val="22"/>
        </w:rPr>
        <w:t xml:space="preserve">, </w:t>
      </w:r>
      <w:r w:rsidRPr="00C817ED">
        <w:rPr>
          <w:rFonts w:ascii="Aptos"/>
          <w:i/>
          <w:iCs/>
          <w:sz w:val="22"/>
        </w:rPr>
        <w:t>50</w:t>
      </w:r>
      <w:r w:rsidRPr="00C817ED">
        <w:rPr>
          <w:rFonts w:ascii="Aptos"/>
          <w:sz w:val="22"/>
        </w:rPr>
        <w:t>(W1), W782–W790. https://doi.org/10.1093/nar/gkac392</w:t>
      </w:r>
    </w:p>
    <w:p w14:paraId="5BAD4738" w14:textId="77777777" w:rsidR="00C817ED" w:rsidRPr="00C817ED" w:rsidRDefault="00C817ED" w:rsidP="00C817ED">
      <w:pPr>
        <w:pStyle w:val="Bibliography"/>
        <w:rPr>
          <w:rFonts w:ascii="Aptos"/>
          <w:sz w:val="22"/>
        </w:rPr>
      </w:pPr>
      <w:r w:rsidRPr="00C817ED">
        <w:rPr>
          <w:rFonts w:ascii="Aptos"/>
          <w:sz w:val="22"/>
        </w:rPr>
        <w:t xml:space="preserve">Dassios, T., &amp; Greenough, A. (2021). Long-term sequelae of bronchopulmonary dysplasia. In I. P. Sinha, J. M. Bhatt, A. Cleator, &amp; H. Wallace (Eds), </w:t>
      </w:r>
      <w:r w:rsidRPr="00C817ED">
        <w:rPr>
          <w:rFonts w:ascii="Aptos"/>
          <w:i/>
          <w:iCs/>
          <w:sz w:val="22"/>
        </w:rPr>
        <w:t>Respiratory Diseases of the Newborn Infant</w:t>
      </w:r>
      <w:r w:rsidRPr="00C817ED">
        <w:rPr>
          <w:rFonts w:ascii="Aptos"/>
          <w:sz w:val="22"/>
        </w:rPr>
        <w:t xml:space="preserve"> (pp. 68–78). European Respiratory Society. https://doi.org/10.1183/2312508X.10013720</w:t>
      </w:r>
    </w:p>
    <w:p w14:paraId="219204FD" w14:textId="77777777" w:rsidR="00C817ED" w:rsidRPr="00C817ED" w:rsidRDefault="00C817ED" w:rsidP="00C817ED">
      <w:pPr>
        <w:pStyle w:val="Bibliography"/>
        <w:rPr>
          <w:rFonts w:ascii="Aptos"/>
          <w:sz w:val="22"/>
        </w:rPr>
      </w:pPr>
      <w:r w:rsidRPr="00C817ED">
        <w:rPr>
          <w:rFonts w:ascii="Aptos"/>
          <w:sz w:val="22"/>
        </w:rPr>
        <w:t xml:space="preserve">Eiby, Y. A., Wright, L. L., Kalanjati, V. P., Miller, S. M., Bjorkman, S. T., Keates, H. L., Lumbers, E. R., Colditz, P. B., &amp; Lingwood, B. E. (2013). A Pig Model of the Preterm Neonate: Anthropometric and Physiological Characteristics. </w:t>
      </w:r>
      <w:r w:rsidRPr="00C817ED">
        <w:rPr>
          <w:rFonts w:ascii="Aptos"/>
          <w:i/>
          <w:iCs/>
          <w:sz w:val="22"/>
        </w:rPr>
        <w:t>PLoS ONE</w:t>
      </w:r>
      <w:r w:rsidRPr="00C817ED">
        <w:rPr>
          <w:rFonts w:ascii="Aptos"/>
          <w:sz w:val="22"/>
        </w:rPr>
        <w:t xml:space="preserve">, </w:t>
      </w:r>
      <w:r w:rsidRPr="00C817ED">
        <w:rPr>
          <w:rFonts w:ascii="Aptos"/>
          <w:i/>
          <w:iCs/>
          <w:sz w:val="22"/>
        </w:rPr>
        <w:t>8</w:t>
      </w:r>
      <w:r w:rsidRPr="00C817ED">
        <w:rPr>
          <w:rFonts w:ascii="Aptos"/>
          <w:sz w:val="22"/>
        </w:rPr>
        <w:t>(7), e68763. https://doi.org/10.1371/journal.pone.0068763</w:t>
      </w:r>
    </w:p>
    <w:p w14:paraId="79D628FC" w14:textId="77777777" w:rsidR="00C817ED" w:rsidRPr="00C817ED" w:rsidRDefault="00C817ED" w:rsidP="00C817ED">
      <w:pPr>
        <w:pStyle w:val="Bibliography"/>
        <w:rPr>
          <w:rFonts w:ascii="Aptos"/>
          <w:sz w:val="22"/>
        </w:rPr>
      </w:pPr>
      <w:r w:rsidRPr="00C817ED">
        <w:rPr>
          <w:rFonts w:ascii="Aptos"/>
          <w:sz w:val="22"/>
        </w:rPr>
        <w:lastRenderedPageBreak/>
        <w:t xml:space="preserve">Eltzschig, H. K., &amp; Carmeliet, P. (2011). Hypoxia and inflammation. </w:t>
      </w:r>
      <w:r w:rsidRPr="00C817ED">
        <w:rPr>
          <w:rFonts w:ascii="Aptos"/>
          <w:i/>
          <w:iCs/>
          <w:sz w:val="22"/>
        </w:rPr>
        <w:t>The New England Journal of Medicine</w:t>
      </w:r>
      <w:r w:rsidRPr="00C817ED">
        <w:rPr>
          <w:rFonts w:ascii="Aptos"/>
          <w:sz w:val="22"/>
        </w:rPr>
        <w:t xml:space="preserve">, </w:t>
      </w:r>
      <w:r w:rsidRPr="00C817ED">
        <w:rPr>
          <w:rFonts w:ascii="Aptos"/>
          <w:i/>
          <w:iCs/>
          <w:sz w:val="22"/>
        </w:rPr>
        <w:t>364</w:t>
      </w:r>
      <w:r w:rsidRPr="00C817ED">
        <w:rPr>
          <w:rFonts w:ascii="Aptos"/>
          <w:sz w:val="22"/>
        </w:rPr>
        <w:t>(7), 656–665. https://doi.org/10.1056/NEJMra0910283</w:t>
      </w:r>
    </w:p>
    <w:p w14:paraId="27EF4BE7" w14:textId="77777777" w:rsidR="00C817ED" w:rsidRPr="00C817ED" w:rsidRDefault="00C817ED" w:rsidP="00C817ED">
      <w:pPr>
        <w:pStyle w:val="Bibliography"/>
        <w:rPr>
          <w:rFonts w:ascii="Aptos"/>
          <w:sz w:val="22"/>
        </w:rPr>
      </w:pPr>
      <w:r w:rsidRPr="00C817ED">
        <w:rPr>
          <w:rFonts w:ascii="Aptos"/>
          <w:sz w:val="22"/>
        </w:rPr>
        <w:t xml:space="preserve">Fuller, D. M., Zhu, M., Song, X., Ou-Yang, C., Sullivan, S. A., Stone, J. C., &amp; Zhang, W. (2012). Regulation of RasGRP1 Function in T Cell Development and Activation by Its Unique Tail Domain. </w:t>
      </w:r>
      <w:r w:rsidRPr="00C817ED">
        <w:rPr>
          <w:rFonts w:ascii="Aptos"/>
          <w:i/>
          <w:iCs/>
          <w:sz w:val="22"/>
        </w:rPr>
        <w:t>PLoS ONE</w:t>
      </w:r>
      <w:r w:rsidRPr="00C817ED">
        <w:rPr>
          <w:rFonts w:ascii="Aptos"/>
          <w:sz w:val="22"/>
        </w:rPr>
        <w:t xml:space="preserve">, </w:t>
      </w:r>
      <w:r w:rsidRPr="00C817ED">
        <w:rPr>
          <w:rFonts w:ascii="Aptos"/>
          <w:i/>
          <w:iCs/>
          <w:sz w:val="22"/>
        </w:rPr>
        <w:t>7</w:t>
      </w:r>
      <w:r w:rsidRPr="00C817ED">
        <w:rPr>
          <w:rFonts w:ascii="Aptos"/>
          <w:sz w:val="22"/>
        </w:rPr>
        <w:t>(6), e38796. https://doi.org/10.1371/journal.pone.0038796</w:t>
      </w:r>
    </w:p>
    <w:p w14:paraId="223F963E" w14:textId="77777777" w:rsidR="00C817ED" w:rsidRPr="00C817ED" w:rsidRDefault="00C817ED" w:rsidP="00C817ED">
      <w:pPr>
        <w:pStyle w:val="Bibliography"/>
        <w:rPr>
          <w:rFonts w:ascii="Aptos"/>
          <w:sz w:val="22"/>
        </w:rPr>
      </w:pPr>
      <w:r w:rsidRPr="00C817ED">
        <w:rPr>
          <w:rFonts w:ascii="Aptos"/>
          <w:sz w:val="22"/>
        </w:rPr>
        <w:t xml:space="preserve">Gilfillan, M., Bhandari, A., &amp; Bhandari, V. (2021). Diagnosis and management of bronchopulmonary dysplasia. </w:t>
      </w:r>
      <w:r w:rsidRPr="00C817ED">
        <w:rPr>
          <w:rFonts w:ascii="Aptos"/>
          <w:i/>
          <w:iCs/>
          <w:sz w:val="22"/>
        </w:rPr>
        <w:t>BMJ</w:t>
      </w:r>
      <w:r w:rsidRPr="00C817ED">
        <w:rPr>
          <w:rFonts w:ascii="Aptos"/>
          <w:sz w:val="22"/>
        </w:rPr>
        <w:t>, n1974. https://doi.org/10.1136/bmj.n1974</w:t>
      </w:r>
    </w:p>
    <w:p w14:paraId="7C737A46" w14:textId="77777777" w:rsidR="00C817ED" w:rsidRPr="00C817ED" w:rsidRDefault="00C817ED" w:rsidP="00C817ED">
      <w:pPr>
        <w:pStyle w:val="Bibliography"/>
        <w:rPr>
          <w:rFonts w:ascii="Aptos"/>
          <w:sz w:val="22"/>
        </w:rPr>
      </w:pPr>
      <w:r w:rsidRPr="00C817ED">
        <w:rPr>
          <w:rFonts w:ascii="Aptos"/>
          <w:sz w:val="22"/>
        </w:rPr>
        <w:t xml:space="preserve">Greenough, A. (2000). Measuring respiratory outcome. </w:t>
      </w:r>
      <w:r w:rsidRPr="00C817ED">
        <w:rPr>
          <w:rFonts w:ascii="Aptos"/>
          <w:i/>
          <w:iCs/>
          <w:sz w:val="22"/>
        </w:rPr>
        <w:t>Seminars in Neonatology</w:t>
      </w:r>
      <w:r w:rsidRPr="00C817ED">
        <w:rPr>
          <w:rFonts w:ascii="Aptos"/>
          <w:sz w:val="22"/>
        </w:rPr>
        <w:t xml:space="preserve">, </w:t>
      </w:r>
      <w:r w:rsidRPr="00C817ED">
        <w:rPr>
          <w:rFonts w:ascii="Aptos"/>
          <w:i/>
          <w:iCs/>
          <w:sz w:val="22"/>
        </w:rPr>
        <w:t>5</w:t>
      </w:r>
      <w:r w:rsidRPr="00C817ED">
        <w:rPr>
          <w:rFonts w:ascii="Aptos"/>
          <w:sz w:val="22"/>
        </w:rPr>
        <w:t>(2), 119–126. https://doi.org/10.1053/siny.1999.0006</w:t>
      </w:r>
    </w:p>
    <w:p w14:paraId="7526C0A5" w14:textId="77777777" w:rsidR="00C817ED" w:rsidRPr="00C817ED" w:rsidRDefault="00C817ED" w:rsidP="00C817ED">
      <w:pPr>
        <w:pStyle w:val="Bibliography"/>
        <w:rPr>
          <w:rFonts w:ascii="Aptos"/>
          <w:sz w:val="22"/>
        </w:rPr>
      </w:pPr>
      <w:r w:rsidRPr="00C817ED">
        <w:rPr>
          <w:rFonts w:ascii="Aptos"/>
          <w:sz w:val="22"/>
        </w:rPr>
        <w:t xml:space="preserve">Greenough, A. (2006). Bronchopulmonary dysplasia – Long term follow up. </w:t>
      </w:r>
      <w:r w:rsidRPr="00C817ED">
        <w:rPr>
          <w:rFonts w:ascii="Aptos"/>
          <w:i/>
          <w:iCs/>
          <w:sz w:val="22"/>
        </w:rPr>
        <w:t>Paediatric Respiratory Reviews</w:t>
      </w:r>
      <w:r w:rsidRPr="00C817ED">
        <w:rPr>
          <w:rFonts w:ascii="Aptos"/>
          <w:sz w:val="22"/>
        </w:rPr>
        <w:t xml:space="preserve">, </w:t>
      </w:r>
      <w:r w:rsidRPr="00C817ED">
        <w:rPr>
          <w:rFonts w:ascii="Aptos"/>
          <w:i/>
          <w:iCs/>
          <w:sz w:val="22"/>
        </w:rPr>
        <w:t>7</w:t>
      </w:r>
      <w:r w:rsidRPr="00C817ED">
        <w:rPr>
          <w:rFonts w:ascii="Aptos"/>
          <w:sz w:val="22"/>
        </w:rPr>
        <w:t>, S189–S191. https://doi.org/10.1016/j.prrv.2006.04.206</w:t>
      </w:r>
    </w:p>
    <w:p w14:paraId="6AB96576" w14:textId="77777777" w:rsidR="00C817ED" w:rsidRPr="00C817ED" w:rsidRDefault="00C817ED" w:rsidP="00C817ED">
      <w:pPr>
        <w:pStyle w:val="Bibliography"/>
        <w:rPr>
          <w:rFonts w:ascii="Aptos"/>
          <w:sz w:val="22"/>
        </w:rPr>
      </w:pPr>
      <w:r w:rsidRPr="00C817ED">
        <w:rPr>
          <w:rFonts w:ascii="Aptos"/>
          <w:sz w:val="22"/>
        </w:rPr>
        <w:t xml:space="preserve">Hadchouel, A., Durrmeyer, X., Bouzigon, E., Incitti, R., Huusko, J., Jarreau, P.-H., Lenclen, R., Demenais, F., Franco-Montoya, M.-L., Layouni, I., Patkai, J., Bourbon, J., Hallman, M., Danan, C., &amp; Delacourt, C. (2011). Identification of </w:t>
      </w:r>
      <w:r w:rsidRPr="00C817ED">
        <w:rPr>
          <w:rFonts w:ascii="Aptos"/>
          <w:i/>
          <w:iCs/>
          <w:sz w:val="22"/>
        </w:rPr>
        <w:t>SPOCK2</w:t>
      </w:r>
      <w:r w:rsidRPr="00C817ED">
        <w:rPr>
          <w:rFonts w:ascii="Aptos"/>
          <w:sz w:val="22"/>
        </w:rPr>
        <w:t xml:space="preserve"> As a Susceptibility Gene for Bronchopulmonary Dysplasia. </w:t>
      </w:r>
      <w:r w:rsidRPr="00C817ED">
        <w:rPr>
          <w:rFonts w:ascii="Aptos"/>
          <w:i/>
          <w:iCs/>
          <w:sz w:val="22"/>
        </w:rPr>
        <w:t>American Journal of Respiratory and Critical Care Medicine</w:t>
      </w:r>
      <w:r w:rsidRPr="00C817ED">
        <w:rPr>
          <w:rFonts w:ascii="Aptos"/>
          <w:sz w:val="22"/>
        </w:rPr>
        <w:t xml:space="preserve">, </w:t>
      </w:r>
      <w:r w:rsidRPr="00C817ED">
        <w:rPr>
          <w:rFonts w:ascii="Aptos"/>
          <w:i/>
          <w:iCs/>
          <w:sz w:val="22"/>
        </w:rPr>
        <w:t>184</w:t>
      </w:r>
      <w:r w:rsidRPr="00C817ED">
        <w:rPr>
          <w:rFonts w:ascii="Aptos"/>
          <w:sz w:val="22"/>
        </w:rPr>
        <w:t>(10), 1164–1170. https://doi.org/10.1164/rccm.201103-0548OC</w:t>
      </w:r>
    </w:p>
    <w:p w14:paraId="657652E1" w14:textId="77777777" w:rsidR="00C817ED" w:rsidRPr="00C817ED" w:rsidRDefault="00C817ED" w:rsidP="00C817ED">
      <w:pPr>
        <w:pStyle w:val="Bibliography"/>
        <w:rPr>
          <w:rFonts w:ascii="Aptos"/>
          <w:sz w:val="22"/>
        </w:rPr>
      </w:pPr>
      <w:r w:rsidRPr="00C817ED">
        <w:rPr>
          <w:rFonts w:ascii="Aptos"/>
          <w:sz w:val="22"/>
        </w:rPr>
        <w:t xml:space="preserve">Hurskainen, M., Mizikova, I., Cook, D. P., Andersson, N., Cyr-Depauw, C., Lesage, F., Helle, E., Renesme, L., Jankov, R. P., Heikinheimo, M., Vanderhyden, B. C., &amp; Thebaud, B. (2021). Single cell transcriptomic analysis of murine lung development on hyperoxia-induced damage. </w:t>
      </w:r>
      <w:r w:rsidRPr="00C817ED">
        <w:rPr>
          <w:rFonts w:ascii="Aptos"/>
          <w:i/>
          <w:iCs/>
          <w:sz w:val="22"/>
        </w:rPr>
        <w:t>Nature Communications</w:t>
      </w:r>
      <w:r w:rsidRPr="00C817ED">
        <w:rPr>
          <w:rFonts w:ascii="Aptos"/>
          <w:sz w:val="22"/>
        </w:rPr>
        <w:t xml:space="preserve">, </w:t>
      </w:r>
      <w:r w:rsidRPr="00C817ED">
        <w:rPr>
          <w:rFonts w:ascii="Aptos"/>
          <w:i/>
          <w:iCs/>
          <w:sz w:val="22"/>
        </w:rPr>
        <w:t>12</w:t>
      </w:r>
      <w:r w:rsidRPr="00C817ED">
        <w:rPr>
          <w:rFonts w:ascii="Aptos"/>
          <w:sz w:val="22"/>
        </w:rPr>
        <w:t>(1). Ovid MEDLINE(R) &lt;2021&gt;. https://doi.org/10.1038/s41467-021-21865-2</w:t>
      </w:r>
    </w:p>
    <w:p w14:paraId="07567AFA" w14:textId="77777777" w:rsidR="00C817ED" w:rsidRPr="00C817ED" w:rsidRDefault="00C817ED" w:rsidP="00C817ED">
      <w:pPr>
        <w:pStyle w:val="Bibliography"/>
        <w:rPr>
          <w:rFonts w:ascii="Aptos"/>
          <w:sz w:val="22"/>
        </w:rPr>
      </w:pPr>
      <w:r w:rsidRPr="00C817ED">
        <w:rPr>
          <w:rFonts w:ascii="Aptos"/>
          <w:sz w:val="22"/>
        </w:rPr>
        <w:t xml:space="preserve">Isayama, T., Lee, S. K., Yang, J., Lee, D., Daspal, S., Dunn, M., Shah, P. S., &amp; for the Canadian Neonatal Network and Canadian Neonatal Follow-Up Network Investigators. (2017). Revisiting the Definition of Bronchopulmonary Dysplasia: Effect of Changing Panoply of Respiratory Support for Preterm Neonates. </w:t>
      </w:r>
      <w:r w:rsidRPr="00C817ED">
        <w:rPr>
          <w:rFonts w:ascii="Aptos"/>
          <w:i/>
          <w:iCs/>
          <w:sz w:val="22"/>
        </w:rPr>
        <w:t>JAMA Pediatrics</w:t>
      </w:r>
      <w:r w:rsidRPr="00C817ED">
        <w:rPr>
          <w:rFonts w:ascii="Aptos"/>
          <w:sz w:val="22"/>
        </w:rPr>
        <w:t xml:space="preserve">, </w:t>
      </w:r>
      <w:r w:rsidRPr="00C817ED">
        <w:rPr>
          <w:rFonts w:ascii="Aptos"/>
          <w:i/>
          <w:iCs/>
          <w:sz w:val="22"/>
        </w:rPr>
        <w:t>171</w:t>
      </w:r>
      <w:r w:rsidRPr="00C817ED">
        <w:rPr>
          <w:rFonts w:ascii="Aptos"/>
          <w:sz w:val="22"/>
        </w:rPr>
        <w:t>(3), 271. https://doi.org/10.1001/jamapediatrics.2016.4141</w:t>
      </w:r>
    </w:p>
    <w:p w14:paraId="1BB87841" w14:textId="77777777" w:rsidR="00C817ED" w:rsidRPr="00C817ED" w:rsidRDefault="00C817ED" w:rsidP="00C817ED">
      <w:pPr>
        <w:pStyle w:val="Bibliography"/>
        <w:rPr>
          <w:rFonts w:ascii="Aptos"/>
          <w:sz w:val="22"/>
        </w:rPr>
      </w:pPr>
      <w:r w:rsidRPr="00C817ED">
        <w:rPr>
          <w:rFonts w:ascii="Aptos"/>
          <w:sz w:val="22"/>
        </w:rPr>
        <w:lastRenderedPageBreak/>
        <w:t xml:space="preserve">Jensen, E. A., Dysart, K., Gantz, M. G., McDonald, S., Bamat, N. A., Keszler, M., Kirpalani, H., Laughon, M. M., Poindexter, B. B., Duncan, A. F., Yoder, B. A., Eichenwald, E. C., &amp; DeMauro, S. B. (2019). The Diagnosis of Bronchopulmonary Dysplasia in Very Preterm Infants. An Evidence-based Approach. </w:t>
      </w:r>
      <w:r w:rsidRPr="00C817ED">
        <w:rPr>
          <w:rFonts w:ascii="Aptos"/>
          <w:i/>
          <w:iCs/>
          <w:sz w:val="22"/>
        </w:rPr>
        <w:t>American Journal of Respiratory and Critical Care Medicine</w:t>
      </w:r>
      <w:r w:rsidRPr="00C817ED">
        <w:rPr>
          <w:rFonts w:ascii="Aptos"/>
          <w:sz w:val="22"/>
        </w:rPr>
        <w:t xml:space="preserve">, </w:t>
      </w:r>
      <w:r w:rsidRPr="00C817ED">
        <w:rPr>
          <w:rFonts w:ascii="Aptos"/>
          <w:i/>
          <w:iCs/>
          <w:sz w:val="22"/>
        </w:rPr>
        <w:t>200</w:t>
      </w:r>
      <w:r w:rsidRPr="00C817ED">
        <w:rPr>
          <w:rFonts w:ascii="Aptos"/>
          <w:sz w:val="22"/>
        </w:rPr>
        <w:t>(6), 751–759. https://doi.org/10.1164/rccm.201812-2348OC</w:t>
      </w:r>
    </w:p>
    <w:p w14:paraId="0EEA0845" w14:textId="77777777" w:rsidR="00C817ED" w:rsidRPr="00C817ED" w:rsidRDefault="00C817ED" w:rsidP="00C817ED">
      <w:pPr>
        <w:pStyle w:val="Bibliography"/>
        <w:rPr>
          <w:rFonts w:ascii="Aptos"/>
          <w:sz w:val="22"/>
        </w:rPr>
      </w:pPr>
      <w:r w:rsidRPr="00C817ED">
        <w:rPr>
          <w:rFonts w:ascii="Aptos"/>
          <w:sz w:val="22"/>
        </w:rPr>
        <w:t xml:space="preserve">Johnson, D. R., O’Connor, J. C., Hartman, M. E., Tapping, R. I., &amp; Freund, G. G. (2007). Acute hypoxia activates the neuroimmune system, which diabetes exacerbates. </w:t>
      </w:r>
      <w:r w:rsidRPr="00C817ED">
        <w:rPr>
          <w:rFonts w:ascii="Aptos"/>
          <w:i/>
          <w:iCs/>
          <w:sz w:val="22"/>
        </w:rPr>
        <w:t>The Journal of Neuroscience: The Official Journal of the Society for Neuroscience</w:t>
      </w:r>
      <w:r w:rsidRPr="00C817ED">
        <w:rPr>
          <w:rFonts w:ascii="Aptos"/>
          <w:sz w:val="22"/>
        </w:rPr>
        <w:t xml:space="preserve">, </w:t>
      </w:r>
      <w:r w:rsidRPr="00C817ED">
        <w:rPr>
          <w:rFonts w:ascii="Aptos"/>
          <w:i/>
          <w:iCs/>
          <w:sz w:val="22"/>
        </w:rPr>
        <w:t>27</w:t>
      </w:r>
      <w:r w:rsidRPr="00C817ED">
        <w:rPr>
          <w:rFonts w:ascii="Aptos"/>
          <w:sz w:val="22"/>
        </w:rPr>
        <w:t>(5), 1161–1166. https://doi.org/10.1523/JNEUROSCI.4560-06.2007</w:t>
      </w:r>
    </w:p>
    <w:p w14:paraId="434BEA73" w14:textId="77777777" w:rsidR="00C817ED" w:rsidRPr="00C817ED" w:rsidRDefault="00C817ED" w:rsidP="00C817ED">
      <w:pPr>
        <w:pStyle w:val="Bibliography"/>
        <w:rPr>
          <w:rFonts w:ascii="Aptos"/>
          <w:sz w:val="22"/>
        </w:rPr>
      </w:pPr>
      <w:r w:rsidRPr="00C817ED">
        <w:rPr>
          <w:rFonts w:ascii="Aptos"/>
          <w:sz w:val="22"/>
        </w:rPr>
        <w:t xml:space="preserve">Lavoie, P. M., Pham, C., &amp; Jang, K. L. (2008). Heritability of Bronchopulmonary Dysplasia, Defined According to the Consensus Statement of the National Institutes of Health. </w:t>
      </w:r>
      <w:r w:rsidRPr="00C817ED">
        <w:rPr>
          <w:rFonts w:ascii="Aptos"/>
          <w:i/>
          <w:iCs/>
          <w:sz w:val="22"/>
        </w:rPr>
        <w:t>Pediatrics</w:t>
      </w:r>
      <w:r w:rsidRPr="00C817ED">
        <w:rPr>
          <w:rFonts w:ascii="Aptos"/>
          <w:sz w:val="22"/>
        </w:rPr>
        <w:t xml:space="preserve">, </w:t>
      </w:r>
      <w:r w:rsidRPr="00C817ED">
        <w:rPr>
          <w:rFonts w:ascii="Aptos"/>
          <w:i/>
          <w:iCs/>
          <w:sz w:val="22"/>
        </w:rPr>
        <w:t>122</w:t>
      </w:r>
      <w:r w:rsidRPr="00C817ED">
        <w:rPr>
          <w:rFonts w:ascii="Aptos"/>
          <w:sz w:val="22"/>
        </w:rPr>
        <w:t>(3), 479–485. https://doi.org/10.1542/peds.2007-2313</w:t>
      </w:r>
    </w:p>
    <w:p w14:paraId="526E1E22" w14:textId="77777777" w:rsidR="00C817ED" w:rsidRPr="00C817ED" w:rsidRDefault="00C817ED" w:rsidP="00C817ED">
      <w:pPr>
        <w:pStyle w:val="Bibliography"/>
        <w:rPr>
          <w:rFonts w:ascii="Aptos"/>
          <w:sz w:val="22"/>
        </w:rPr>
      </w:pPr>
      <w:r w:rsidRPr="00C817ED">
        <w:rPr>
          <w:rFonts w:ascii="Aptos"/>
          <w:sz w:val="22"/>
        </w:rPr>
        <w:t xml:space="preserve">Li, B., Clohisey, S. M., Chia, B. S., Wang, B., Cui, A., Eisenhaure, T., Schweitzer, L. D., Hoover, P., Parkinson, N. J., Nachshon, A., Smith, N., Regan, T., Farr, D., Gutmann, M. U., Bukhari, S. I., Law, A., Sangesland, M., Gat-Viks, I., Digard, P., … Hacohen, N. (2020). Genome-wide CRISPR screen identifies host dependency factors for influenza A virus infection. </w:t>
      </w:r>
      <w:r w:rsidRPr="00C817ED">
        <w:rPr>
          <w:rFonts w:ascii="Aptos"/>
          <w:i/>
          <w:iCs/>
          <w:sz w:val="22"/>
        </w:rPr>
        <w:t>Nature Communications</w:t>
      </w:r>
      <w:r w:rsidRPr="00C817ED">
        <w:rPr>
          <w:rFonts w:ascii="Aptos"/>
          <w:sz w:val="22"/>
        </w:rPr>
        <w:t xml:space="preserve">, </w:t>
      </w:r>
      <w:r w:rsidRPr="00C817ED">
        <w:rPr>
          <w:rFonts w:ascii="Aptos"/>
          <w:i/>
          <w:iCs/>
          <w:sz w:val="22"/>
        </w:rPr>
        <w:t>11</w:t>
      </w:r>
      <w:r w:rsidRPr="00C817ED">
        <w:rPr>
          <w:rFonts w:ascii="Aptos"/>
          <w:sz w:val="22"/>
        </w:rPr>
        <w:t>(1), 164. https://doi.org/10.1038/s41467-019-13965-x</w:t>
      </w:r>
    </w:p>
    <w:p w14:paraId="6586EED1" w14:textId="77777777" w:rsidR="00C817ED" w:rsidRPr="00C817ED" w:rsidRDefault="00C817ED" w:rsidP="00C817ED">
      <w:pPr>
        <w:pStyle w:val="Bibliography"/>
        <w:rPr>
          <w:rFonts w:ascii="Aptos"/>
          <w:sz w:val="22"/>
        </w:rPr>
      </w:pPr>
      <w:r w:rsidRPr="00C817ED">
        <w:rPr>
          <w:rFonts w:ascii="Aptos"/>
          <w:sz w:val="22"/>
        </w:rPr>
        <w:t xml:space="preserve">Lymphocyte Subpopulations in Bronchopulmonary Dysplasia. (2003). </w:t>
      </w:r>
      <w:r w:rsidRPr="00C817ED">
        <w:rPr>
          <w:rFonts w:ascii="Aptos"/>
          <w:i/>
          <w:iCs/>
          <w:sz w:val="22"/>
        </w:rPr>
        <w:t>American Journal of Perinatology</w:t>
      </w:r>
      <w:r w:rsidRPr="00C817ED">
        <w:rPr>
          <w:rFonts w:ascii="Aptos"/>
          <w:sz w:val="22"/>
        </w:rPr>
        <w:t xml:space="preserve">, </w:t>
      </w:r>
      <w:r w:rsidRPr="00C817ED">
        <w:rPr>
          <w:rFonts w:ascii="Aptos"/>
          <w:i/>
          <w:iCs/>
          <w:sz w:val="22"/>
        </w:rPr>
        <w:t>20</w:t>
      </w:r>
      <w:r w:rsidRPr="00C817ED">
        <w:rPr>
          <w:rFonts w:ascii="Aptos"/>
          <w:sz w:val="22"/>
        </w:rPr>
        <w:t>(8), 465–476. https://doi.org/10.1055/s-2003-45387</w:t>
      </w:r>
    </w:p>
    <w:p w14:paraId="0484BA6C" w14:textId="77777777" w:rsidR="00C817ED" w:rsidRPr="00C817ED" w:rsidRDefault="00C817ED" w:rsidP="00C817ED">
      <w:pPr>
        <w:pStyle w:val="Bibliography"/>
        <w:rPr>
          <w:rFonts w:ascii="Aptos"/>
          <w:sz w:val="22"/>
        </w:rPr>
      </w:pPr>
      <w:r w:rsidRPr="00C817ED">
        <w:rPr>
          <w:rFonts w:ascii="Aptos"/>
          <w:sz w:val="22"/>
        </w:rPr>
        <w:t xml:space="preserve">Mahlman, M., Karjalainen, M. K., Huusko, J. M., Andersson, S., Kari, M. A., Tammela, O. K. T., Sankilampi, U., Lehtonen, L., Marttila, R. H., Bassler, D., Poets, C. F., Lacaze-Masmonteil, T., Danan, C., Delacourt, C., Palotie, A., Muglia, L. J., Lavoie, P. M., Hadchouel, A., Rämet, M., &amp; Hallman, M. (2017). Genome-wide association study of bronchopulmonary dysplasia: A potential role for variants near the CRP gene. </w:t>
      </w:r>
      <w:r w:rsidRPr="00C817ED">
        <w:rPr>
          <w:rFonts w:ascii="Aptos"/>
          <w:i/>
          <w:iCs/>
          <w:sz w:val="22"/>
        </w:rPr>
        <w:t>Scientific Reports</w:t>
      </w:r>
      <w:r w:rsidRPr="00C817ED">
        <w:rPr>
          <w:rFonts w:ascii="Aptos"/>
          <w:sz w:val="22"/>
        </w:rPr>
        <w:t xml:space="preserve">, </w:t>
      </w:r>
      <w:r w:rsidRPr="00C817ED">
        <w:rPr>
          <w:rFonts w:ascii="Aptos"/>
          <w:i/>
          <w:iCs/>
          <w:sz w:val="22"/>
        </w:rPr>
        <w:t>7</w:t>
      </w:r>
      <w:r w:rsidRPr="00C817ED">
        <w:rPr>
          <w:rFonts w:ascii="Aptos"/>
          <w:sz w:val="22"/>
        </w:rPr>
        <w:t>(1), 9271. https://doi.org/10.1038/s41598-017-08977-w</w:t>
      </w:r>
    </w:p>
    <w:p w14:paraId="72F06353" w14:textId="77777777" w:rsidR="00C817ED" w:rsidRPr="00C817ED" w:rsidRDefault="00C817ED" w:rsidP="00C817ED">
      <w:pPr>
        <w:pStyle w:val="Bibliography"/>
        <w:rPr>
          <w:rFonts w:ascii="Aptos"/>
          <w:sz w:val="22"/>
        </w:rPr>
      </w:pPr>
      <w:r w:rsidRPr="00C817ED">
        <w:rPr>
          <w:rFonts w:ascii="Aptos"/>
          <w:sz w:val="22"/>
        </w:rPr>
        <w:lastRenderedPageBreak/>
        <w:t xml:space="preserve">Millar, J. E., Clohisey-Hendry, S., McMannus, M., Zechner, M., Wang, B., Parkinson, N., Jungnickel, M., Zaki, N. M., Pairo-Castineira, E., Rawlik, K., Rogers, J., Russell, C. D., Bos, L. D., Meyer, N. J., Calfee, C., McAuley, D. F., Shankar-Hari, M., &amp; Baillie, J. K. (2024). </w:t>
      </w:r>
      <w:r w:rsidRPr="00C817ED">
        <w:rPr>
          <w:rFonts w:ascii="Aptos"/>
          <w:i/>
          <w:iCs/>
          <w:sz w:val="22"/>
        </w:rPr>
        <w:t>The genomic landscape of Acute Respiratory Distress Syndrome: A meta-analysis by information content of genome-wide studies of the host response</w:t>
      </w:r>
      <w:r w:rsidRPr="00C817ED">
        <w:rPr>
          <w:rFonts w:ascii="Aptos"/>
          <w:sz w:val="22"/>
        </w:rPr>
        <w:t>. https://doi.org/10.1101/2024.02.13.24301089</w:t>
      </w:r>
    </w:p>
    <w:p w14:paraId="0B1F59CC" w14:textId="77777777" w:rsidR="00C817ED" w:rsidRPr="00C817ED" w:rsidRDefault="00C817ED" w:rsidP="00C817ED">
      <w:pPr>
        <w:pStyle w:val="Bibliography"/>
        <w:rPr>
          <w:rFonts w:ascii="Aptos"/>
          <w:sz w:val="22"/>
        </w:rPr>
      </w:pPr>
      <w:r w:rsidRPr="00C817ED">
        <w:rPr>
          <w:rFonts w:ascii="Aptos"/>
          <w:sz w:val="22"/>
        </w:rPr>
        <w:t xml:space="preserve">Moreira, A. G., Arora, T., Arya, S., Winter, C., Valadie, C. T., &amp; Kwinta, P. (2023). Leveraging transcriptomics to develop bronchopulmonary dysplasia endotypes: A concept paper. </w:t>
      </w:r>
      <w:r w:rsidRPr="00C817ED">
        <w:rPr>
          <w:rFonts w:ascii="Aptos"/>
          <w:i/>
          <w:iCs/>
          <w:sz w:val="22"/>
        </w:rPr>
        <w:t>Respiratory Research</w:t>
      </w:r>
      <w:r w:rsidRPr="00C817ED">
        <w:rPr>
          <w:rFonts w:ascii="Aptos"/>
          <w:sz w:val="22"/>
        </w:rPr>
        <w:t xml:space="preserve">, </w:t>
      </w:r>
      <w:r w:rsidRPr="00C817ED">
        <w:rPr>
          <w:rFonts w:ascii="Aptos"/>
          <w:i/>
          <w:iCs/>
          <w:sz w:val="22"/>
        </w:rPr>
        <w:t>24</w:t>
      </w:r>
      <w:r w:rsidRPr="00C817ED">
        <w:rPr>
          <w:rFonts w:ascii="Aptos"/>
          <w:sz w:val="22"/>
        </w:rPr>
        <w:t>(1). Ovid MEDLINE(R) &lt;2023 to 2024&gt;. https://doi.org/10.1186/s12931-023-02596-y</w:t>
      </w:r>
    </w:p>
    <w:p w14:paraId="4CC4974A" w14:textId="77777777" w:rsidR="00C817ED" w:rsidRPr="00C817ED" w:rsidRDefault="00C817ED" w:rsidP="00C817ED">
      <w:pPr>
        <w:pStyle w:val="Bibliography"/>
        <w:rPr>
          <w:rFonts w:ascii="Aptos"/>
          <w:sz w:val="22"/>
        </w:rPr>
      </w:pPr>
      <w:r w:rsidRPr="00C817ED">
        <w:rPr>
          <w:rFonts w:ascii="Aptos"/>
          <w:i/>
          <w:iCs/>
          <w:sz w:val="22"/>
        </w:rPr>
        <w:t>Neonatal Data Analysis Unit (NDAU). Neonatal Health Intelligence Tool. 2021. Available: Https://www.imperial.ac.uk/neonatal-data-analysis-unit/neonatal-data-analysis-unit/neonatal-data-visualisations/</w:t>
      </w:r>
      <w:r w:rsidRPr="00C817ED">
        <w:rPr>
          <w:rFonts w:ascii="Aptos"/>
          <w:sz w:val="22"/>
        </w:rPr>
        <w:t>. (n.d.).</w:t>
      </w:r>
    </w:p>
    <w:p w14:paraId="2CECC3DB" w14:textId="77777777" w:rsidR="00C817ED" w:rsidRPr="00C817ED" w:rsidRDefault="00C817ED" w:rsidP="00C817ED">
      <w:pPr>
        <w:pStyle w:val="Bibliography"/>
        <w:rPr>
          <w:rFonts w:ascii="Aptos"/>
          <w:sz w:val="22"/>
        </w:rPr>
      </w:pPr>
      <w:r w:rsidRPr="00C817ED">
        <w:rPr>
          <w:rFonts w:ascii="Aptos"/>
          <w:sz w:val="22"/>
        </w:rPr>
        <w:t xml:space="preserve">Page, M. J., McKenzie, J. E., Bossuyt, P. M., Boutron, I., Hoffmann, T. C., Mulrow, C. D., Shamseer, L., Tetzlaff, J. M., Akl, E. A., Brennan, S. E., Chou, R., Glanville, J., Grimshaw, J. M., Hróbjartsson, A., Lalu, M. M., Li, T., Loder, E. W., Mayo-Wilson, E., McDonald, S., … Moher, D. (2021). The PRISMA 2020 statement: An updated guideline for reporting systematic reviews. </w:t>
      </w:r>
      <w:r w:rsidRPr="00C817ED">
        <w:rPr>
          <w:rFonts w:ascii="Aptos"/>
          <w:i/>
          <w:iCs/>
          <w:sz w:val="22"/>
        </w:rPr>
        <w:t>BMJ</w:t>
      </w:r>
      <w:r w:rsidRPr="00C817ED">
        <w:rPr>
          <w:rFonts w:ascii="Aptos"/>
          <w:sz w:val="22"/>
        </w:rPr>
        <w:t>, n71. https://doi.org/10.1136/bmj.n71</w:t>
      </w:r>
    </w:p>
    <w:p w14:paraId="12227776" w14:textId="77777777" w:rsidR="00C817ED" w:rsidRPr="00C817ED" w:rsidRDefault="00C817ED" w:rsidP="00C817ED">
      <w:pPr>
        <w:pStyle w:val="Bibliography"/>
        <w:rPr>
          <w:rFonts w:ascii="Aptos"/>
          <w:sz w:val="22"/>
        </w:rPr>
      </w:pPr>
      <w:r w:rsidRPr="00C817ED">
        <w:rPr>
          <w:rFonts w:ascii="Aptos"/>
          <w:sz w:val="22"/>
        </w:rPr>
        <w:t xml:space="preserve">Parkinson, N., Rodgers, N., Head Fourman, M., Wang, B., Zechner, M., Swets, M. C., Millar, J. E., Law, A., Russell, C. D., Baillie, J. K., &amp; Clohisey, S. (2020). Dynamic data-driven meta-analysis for prioritisation of host genes implicated in COVID-19. </w:t>
      </w:r>
      <w:r w:rsidRPr="00C817ED">
        <w:rPr>
          <w:rFonts w:ascii="Aptos"/>
          <w:i/>
          <w:iCs/>
          <w:sz w:val="22"/>
        </w:rPr>
        <w:t>Scientific Reports</w:t>
      </w:r>
      <w:r w:rsidRPr="00C817ED">
        <w:rPr>
          <w:rFonts w:ascii="Aptos"/>
          <w:sz w:val="22"/>
        </w:rPr>
        <w:t xml:space="preserve">, </w:t>
      </w:r>
      <w:r w:rsidRPr="00C817ED">
        <w:rPr>
          <w:rFonts w:ascii="Aptos"/>
          <w:i/>
          <w:iCs/>
          <w:sz w:val="22"/>
        </w:rPr>
        <w:t>10</w:t>
      </w:r>
      <w:r w:rsidRPr="00C817ED">
        <w:rPr>
          <w:rFonts w:ascii="Aptos"/>
          <w:sz w:val="22"/>
        </w:rPr>
        <w:t>(1), 22303. https://doi.org/10.1038/s41598-020-79033-3</w:t>
      </w:r>
    </w:p>
    <w:p w14:paraId="4F4DA79C" w14:textId="77777777" w:rsidR="00C817ED" w:rsidRPr="00C817ED" w:rsidRDefault="00C817ED" w:rsidP="00C817ED">
      <w:pPr>
        <w:pStyle w:val="Bibliography"/>
        <w:rPr>
          <w:rFonts w:ascii="Aptos"/>
          <w:sz w:val="22"/>
        </w:rPr>
      </w:pPr>
      <w:r w:rsidRPr="00C817ED">
        <w:rPr>
          <w:rFonts w:ascii="Aptos"/>
          <w:sz w:val="22"/>
        </w:rPr>
        <w:t xml:space="preserve">Peters, V. A., Joesting, J. J., &amp; Freund, G. G. (2013). IL-1 receptor 2 (IL-1R2) and its role in immune regulation. </w:t>
      </w:r>
      <w:r w:rsidRPr="00C817ED">
        <w:rPr>
          <w:rFonts w:ascii="Aptos"/>
          <w:i/>
          <w:iCs/>
          <w:sz w:val="22"/>
        </w:rPr>
        <w:t>Brain, Behavior, and Immunity</w:t>
      </w:r>
      <w:r w:rsidRPr="00C817ED">
        <w:rPr>
          <w:rFonts w:ascii="Aptos"/>
          <w:sz w:val="22"/>
        </w:rPr>
        <w:t xml:space="preserve">, </w:t>
      </w:r>
      <w:r w:rsidRPr="00C817ED">
        <w:rPr>
          <w:rFonts w:ascii="Aptos"/>
          <w:i/>
          <w:iCs/>
          <w:sz w:val="22"/>
        </w:rPr>
        <w:t>32</w:t>
      </w:r>
      <w:r w:rsidRPr="00C817ED">
        <w:rPr>
          <w:rFonts w:ascii="Aptos"/>
          <w:sz w:val="22"/>
        </w:rPr>
        <w:t>, 1–8. https://doi.org/10.1016/j.bbi.2012.11.006</w:t>
      </w:r>
    </w:p>
    <w:p w14:paraId="7123D8EC" w14:textId="77777777" w:rsidR="00C817ED" w:rsidRPr="00C817ED" w:rsidRDefault="00C817ED" w:rsidP="00C817ED">
      <w:pPr>
        <w:pStyle w:val="Bibliography"/>
        <w:rPr>
          <w:rFonts w:ascii="Aptos"/>
          <w:sz w:val="22"/>
        </w:rPr>
      </w:pPr>
      <w:r w:rsidRPr="00C817ED">
        <w:rPr>
          <w:rFonts w:ascii="Aptos"/>
          <w:sz w:val="22"/>
        </w:rPr>
        <w:lastRenderedPageBreak/>
        <w:t xml:space="preserve">Pietrzyk, J. J., Kwinta, P., Wollen, E. J., Bik-Multanowski, M., Madetko-Talowska, A., Gunther, C.-C., Jagla, M., Tomasik, T., &amp; Saugstad, O. D. (2013). Gene expression profiling in preterm infants: New aspects of bronchopulmonary dysplasia development. </w:t>
      </w:r>
      <w:r w:rsidRPr="00C817ED">
        <w:rPr>
          <w:rFonts w:ascii="Aptos"/>
          <w:i/>
          <w:iCs/>
          <w:sz w:val="22"/>
        </w:rPr>
        <w:t>PloS One</w:t>
      </w:r>
      <w:r w:rsidRPr="00C817ED">
        <w:rPr>
          <w:rFonts w:ascii="Aptos"/>
          <w:sz w:val="22"/>
        </w:rPr>
        <w:t xml:space="preserve">, </w:t>
      </w:r>
      <w:r w:rsidRPr="00C817ED">
        <w:rPr>
          <w:rFonts w:ascii="Aptos"/>
          <w:i/>
          <w:iCs/>
          <w:sz w:val="22"/>
        </w:rPr>
        <w:t>8</w:t>
      </w:r>
      <w:r w:rsidRPr="00C817ED">
        <w:rPr>
          <w:rFonts w:ascii="Aptos"/>
          <w:sz w:val="22"/>
        </w:rPr>
        <w:t>(10). Ovid MEDLINE(R) &lt;2013&gt;. https://doi.org/10.1371/journal.pone.0078585</w:t>
      </w:r>
    </w:p>
    <w:p w14:paraId="0745B9FE" w14:textId="77777777" w:rsidR="00C817ED" w:rsidRPr="00C817ED" w:rsidRDefault="00C817ED" w:rsidP="00C817ED">
      <w:pPr>
        <w:pStyle w:val="Bibliography"/>
        <w:rPr>
          <w:rFonts w:ascii="Aptos"/>
          <w:sz w:val="22"/>
        </w:rPr>
      </w:pPr>
      <w:r w:rsidRPr="00C817ED">
        <w:rPr>
          <w:rFonts w:ascii="Aptos"/>
          <w:sz w:val="22"/>
        </w:rPr>
        <w:t xml:space="preserve">Rebhun, J. F., Castro, A. F., &amp; Quilliam, L. A. (2000). Identification of Guanine Nucleotide Exchange Factors (GEFs) for the Rap1 GTPase. </w:t>
      </w:r>
      <w:r w:rsidRPr="00C817ED">
        <w:rPr>
          <w:rFonts w:ascii="Aptos"/>
          <w:i/>
          <w:iCs/>
          <w:sz w:val="22"/>
        </w:rPr>
        <w:t>Journal of Biological Chemistry</w:t>
      </w:r>
      <w:r w:rsidRPr="00C817ED">
        <w:rPr>
          <w:rFonts w:ascii="Aptos"/>
          <w:sz w:val="22"/>
        </w:rPr>
        <w:t xml:space="preserve">, </w:t>
      </w:r>
      <w:r w:rsidRPr="00C817ED">
        <w:rPr>
          <w:rFonts w:ascii="Aptos"/>
          <w:i/>
          <w:iCs/>
          <w:sz w:val="22"/>
        </w:rPr>
        <w:t>275</w:t>
      </w:r>
      <w:r w:rsidRPr="00C817ED">
        <w:rPr>
          <w:rFonts w:ascii="Aptos"/>
          <w:sz w:val="22"/>
        </w:rPr>
        <w:t>(45), 34901–34908. https://doi.org/10.1074/jbc.M005327200</w:t>
      </w:r>
    </w:p>
    <w:p w14:paraId="18FCFA40" w14:textId="77777777" w:rsidR="00C817ED" w:rsidRPr="00C817ED" w:rsidRDefault="00C817ED" w:rsidP="00C817ED">
      <w:pPr>
        <w:pStyle w:val="Bibliography"/>
        <w:rPr>
          <w:rFonts w:ascii="Aptos"/>
          <w:sz w:val="22"/>
        </w:rPr>
      </w:pPr>
      <w:r w:rsidRPr="00C817ED">
        <w:rPr>
          <w:rFonts w:ascii="Aptos"/>
          <w:sz w:val="22"/>
        </w:rPr>
        <w:t xml:space="preserve">Rozance, P. J., Seedorf, G. J., Brown, A., Roe, G., O’Meara, M. C., Gien, J., Tang, J.-R., &amp; Abman, S. H. (2011). Intrauterine growth restriction decreases pulmonary alveolar and vessel growth and causes pulmonary artery endothelial cell dysfunction in vitro in fetal sheep. </w:t>
      </w:r>
      <w:r w:rsidRPr="00C817ED">
        <w:rPr>
          <w:rFonts w:ascii="Aptos"/>
          <w:i/>
          <w:iCs/>
          <w:sz w:val="22"/>
        </w:rPr>
        <w:t>American Journal of Physiology-Lung Cellular and Molecular Physiology</w:t>
      </w:r>
      <w:r w:rsidRPr="00C817ED">
        <w:rPr>
          <w:rFonts w:ascii="Aptos"/>
          <w:sz w:val="22"/>
        </w:rPr>
        <w:t xml:space="preserve">, </w:t>
      </w:r>
      <w:r w:rsidRPr="00C817ED">
        <w:rPr>
          <w:rFonts w:ascii="Aptos"/>
          <w:i/>
          <w:iCs/>
          <w:sz w:val="22"/>
        </w:rPr>
        <w:t>301</w:t>
      </w:r>
      <w:r w:rsidRPr="00C817ED">
        <w:rPr>
          <w:rFonts w:ascii="Aptos"/>
          <w:sz w:val="22"/>
        </w:rPr>
        <w:t>(6), L860–L871. https://doi.org/10.1152/ajplung.00197.2011</w:t>
      </w:r>
    </w:p>
    <w:p w14:paraId="3C192CD6" w14:textId="77777777" w:rsidR="00C817ED" w:rsidRPr="00C817ED" w:rsidRDefault="00C817ED" w:rsidP="00C817ED">
      <w:pPr>
        <w:pStyle w:val="Bibliography"/>
        <w:rPr>
          <w:rFonts w:ascii="Aptos"/>
          <w:sz w:val="22"/>
        </w:rPr>
      </w:pPr>
      <w:r w:rsidRPr="00C817ED">
        <w:rPr>
          <w:rFonts w:ascii="Aptos"/>
          <w:sz w:val="22"/>
        </w:rPr>
        <w:t xml:space="preserve">Sun, T., Yu, H.-Y., Yang, M., Song, Y.-F., &amp; Fu, J.-H. (2023). Risk of asthma in preterm infants with bronchopulmonary dysplasia: A systematic review and meta-analysis. </w:t>
      </w:r>
      <w:r w:rsidRPr="00C817ED">
        <w:rPr>
          <w:rFonts w:ascii="Aptos"/>
          <w:i/>
          <w:iCs/>
          <w:sz w:val="22"/>
        </w:rPr>
        <w:t>World Journal of Pediatrics</w:t>
      </w:r>
      <w:r w:rsidRPr="00C817ED">
        <w:rPr>
          <w:rFonts w:ascii="Aptos"/>
          <w:sz w:val="22"/>
        </w:rPr>
        <w:t xml:space="preserve">, </w:t>
      </w:r>
      <w:r w:rsidRPr="00C817ED">
        <w:rPr>
          <w:rFonts w:ascii="Aptos"/>
          <w:i/>
          <w:iCs/>
          <w:sz w:val="22"/>
        </w:rPr>
        <w:t>19</w:t>
      </w:r>
      <w:r w:rsidRPr="00C817ED">
        <w:rPr>
          <w:rFonts w:ascii="Aptos"/>
          <w:sz w:val="22"/>
        </w:rPr>
        <w:t>(6), 549–556. https://doi.org/10.1007/s12519-023-00701-1</w:t>
      </w:r>
    </w:p>
    <w:p w14:paraId="2CD9E170" w14:textId="77777777" w:rsidR="00C817ED" w:rsidRPr="00C817ED" w:rsidRDefault="00C817ED" w:rsidP="00C817ED">
      <w:pPr>
        <w:pStyle w:val="Bibliography"/>
        <w:rPr>
          <w:rFonts w:ascii="Aptos"/>
          <w:sz w:val="22"/>
        </w:rPr>
      </w:pPr>
      <w:r w:rsidRPr="00C817ED">
        <w:rPr>
          <w:rFonts w:ascii="Aptos"/>
          <w:sz w:val="22"/>
        </w:rPr>
        <w:t xml:space="preserve">The GenOMICC Investigators, The ISARIC4C Investigators, The COVID-19 Human Genetics Initiative, 23andMe Investigators, BRACOVID Investigators, Gen-COVID Investigators, Pairo-Castineira, E., Clohisey, S., Klaric, L., Bretherick, A. D., Rawlik, K., Pasko, D., Walker, S., Parkinson, N., Fourman, M. H., Russell, C. D., Furniss, J., Richmond, A., Gountouna, E., … Baillie, J. K. (2021). Genetic mechanisms of critical illness in COVID-19. </w:t>
      </w:r>
      <w:r w:rsidRPr="00C817ED">
        <w:rPr>
          <w:rFonts w:ascii="Aptos"/>
          <w:i/>
          <w:iCs/>
          <w:sz w:val="22"/>
        </w:rPr>
        <w:t>Nature</w:t>
      </w:r>
      <w:r w:rsidRPr="00C817ED">
        <w:rPr>
          <w:rFonts w:ascii="Aptos"/>
          <w:sz w:val="22"/>
        </w:rPr>
        <w:t xml:space="preserve">, </w:t>
      </w:r>
      <w:r w:rsidRPr="00C817ED">
        <w:rPr>
          <w:rFonts w:ascii="Aptos"/>
          <w:i/>
          <w:iCs/>
          <w:sz w:val="22"/>
        </w:rPr>
        <w:t>591</w:t>
      </w:r>
      <w:r w:rsidRPr="00C817ED">
        <w:rPr>
          <w:rFonts w:ascii="Aptos"/>
          <w:sz w:val="22"/>
        </w:rPr>
        <w:t>(7848), 92–98. https://doi.org/10.1038/s41586-020-03065-y</w:t>
      </w:r>
    </w:p>
    <w:p w14:paraId="3DAA5B68" w14:textId="77777777" w:rsidR="00C817ED" w:rsidRPr="00C817ED" w:rsidRDefault="00C817ED" w:rsidP="00C817ED">
      <w:pPr>
        <w:pStyle w:val="Bibliography"/>
        <w:rPr>
          <w:rFonts w:ascii="Aptos"/>
          <w:sz w:val="22"/>
        </w:rPr>
      </w:pPr>
      <w:r w:rsidRPr="00C817ED">
        <w:rPr>
          <w:rFonts w:ascii="Aptos"/>
          <w:sz w:val="22"/>
        </w:rPr>
        <w:t xml:space="preserve">Thébaud, B., Goss, K. N., Laughon, M., Whitsett, J. A., Abman, S. H., Steinhorn, R. H., Aschner, J. L., Davis, P. G., McGrath-Morrow, S. A., Soll, R. F., &amp; Jobe, A. H. (2019). Bronchopulmonary dysplasia. </w:t>
      </w:r>
      <w:r w:rsidRPr="00C817ED">
        <w:rPr>
          <w:rFonts w:ascii="Aptos"/>
          <w:i/>
          <w:iCs/>
          <w:sz w:val="22"/>
        </w:rPr>
        <w:t>Nature Reviews Disease Primers</w:t>
      </w:r>
      <w:r w:rsidRPr="00C817ED">
        <w:rPr>
          <w:rFonts w:ascii="Aptos"/>
          <w:sz w:val="22"/>
        </w:rPr>
        <w:t xml:space="preserve">, </w:t>
      </w:r>
      <w:r w:rsidRPr="00C817ED">
        <w:rPr>
          <w:rFonts w:ascii="Aptos"/>
          <w:i/>
          <w:iCs/>
          <w:sz w:val="22"/>
        </w:rPr>
        <w:t>5</w:t>
      </w:r>
      <w:r w:rsidRPr="00C817ED">
        <w:rPr>
          <w:rFonts w:ascii="Aptos"/>
          <w:sz w:val="22"/>
        </w:rPr>
        <w:t>(1), 78. https://doi.org/10.1038/s41572-019-0127-7</w:t>
      </w:r>
    </w:p>
    <w:p w14:paraId="4B8176D4" w14:textId="77777777" w:rsidR="00C817ED" w:rsidRPr="00C817ED" w:rsidRDefault="00C817ED" w:rsidP="00C817ED">
      <w:pPr>
        <w:pStyle w:val="Bibliography"/>
        <w:rPr>
          <w:rFonts w:ascii="Aptos"/>
          <w:sz w:val="22"/>
        </w:rPr>
      </w:pPr>
      <w:r w:rsidRPr="00C817ED">
        <w:rPr>
          <w:rFonts w:ascii="Aptos"/>
          <w:sz w:val="22"/>
        </w:rPr>
        <w:lastRenderedPageBreak/>
        <w:t xml:space="preserve">Torgerson, D. G., Ballard, P. L., Keller, R. L., Oh, S. S., Huntsman, S., Hu, D., Eng, C., Burchard, E. G., Ballard, R. A., &amp; TOLSURF Study Group. (2018). Ancestry and genetic associations with bronchopulmonary dysplasia in preterm infants. </w:t>
      </w:r>
      <w:r w:rsidRPr="00C817ED">
        <w:rPr>
          <w:rFonts w:ascii="Aptos"/>
          <w:i/>
          <w:iCs/>
          <w:sz w:val="22"/>
        </w:rPr>
        <w:t>American Journal of Physiology-Lung Cellular and Molecular Physiology</w:t>
      </w:r>
      <w:r w:rsidRPr="00C817ED">
        <w:rPr>
          <w:rFonts w:ascii="Aptos"/>
          <w:sz w:val="22"/>
        </w:rPr>
        <w:t xml:space="preserve">, </w:t>
      </w:r>
      <w:r w:rsidRPr="00C817ED">
        <w:rPr>
          <w:rFonts w:ascii="Aptos"/>
          <w:i/>
          <w:iCs/>
          <w:sz w:val="22"/>
        </w:rPr>
        <w:t>315</w:t>
      </w:r>
      <w:r w:rsidRPr="00C817ED">
        <w:rPr>
          <w:rFonts w:ascii="Aptos"/>
          <w:sz w:val="22"/>
        </w:rPr>
        <w:t>(5), L858–L869. https://doi.org/10.1152/ajplung.00073.2018</w:t>
      </w:r>
    </w:p>
    <w:p w14:paraId="40B878E2" w14:textId="77777777" w:rsidR="00C817ED" w:rsidRPr="00C817ED" w:rsidRDefault="00C817ED" w:rsidP="00C817ED">
      <w:pPr>
        <w:pStyle w:val="Bibliography"/>
        <w:rPr>
          <w:rFonts w:ascii="Aptos"/>
          <w:sz w:val="22"/>
        </w:rPr>
      </w:pPr>
      <w:r w:rsidRPr="00C817ED">
        <w:rPr>
          <w:rFonts w:ascii="Aptos"/>
          <w:sz w:val="22"/>
        </w:rPr>
        <w:t xml:space="preserve">Um-Bergström, P., Pourbazargan, M., Brundin, B., Ström, M., Ezerskyte, M., Gao, J., Berggren Broström, E., Melén, E., Wheelock, Å. M., Lindén, A., &amp; Sköld, C. M. (2022). Increased cytotoxic T-cells in the airways of adults with former bronchopulmonary dysplasia. </w:t>
      </w:r>
      <w:r w:rsidRPr="00C817ED">
        <w:rPr>
          <w:rFonts w:ascii="Aptos"/>
          <w:i/>
          <w:iCs/>
          <w:sz w:val="22"/>
        </w:rPr>
        <w:t>European Respiratory Journal</w:t>
      </w:r>
      <w:r w:rsidRPr="00C817ED">
        <w:rPr>
          <w:rFonts w:ascii="Aptos"/>
          <w:sz w:val="22"/>
        </w:rPr>
        <w:t xml:space="preserve">, </w:t>
      </w:r>
      <w:r w:rsidRPr="00C817ED">
        <w:rPr>
          <w:rFonts w:ascii="Aptos"/>
          <w:i/>
          <w:iCs/>
          <w:sz w:val="22"/>
        </w:rPr>
        <w:t>60</w:t>
      </w:r>
      <w:r w:rsidRPr="00C817ED">
        <w:rPr>
          <w:rFonts w:ascii="Aptos"/>
          <w:sz w:val="22"/>
        </w:rPr>
        <w:t>(3), 2102531. https://doi.org/10.1183/13993003.02531-2021</w:t>
      </w:r>
    </w:p>
    <w:p w14:paraId="00025617" w14:textId="77777777" w:rsidR="00C817ED" w:rsidRPr="00C817ED" w:rsidRDefault="00C817ED" w:rsidP="00C817ED">
      <w:pPr>
        <w:pStyle w:val="Bibliography"/>
        <w:rPr>
          <w:rFonts w:ascii="Aptos"/>
          <w:sz w:val="22"/>
        </w:rPr>
      </w:pPr>
      <w:r w:rsidRPr="00C817ED">
        <w:rPr>
          <w:rFonts w:ascii="Aptos"/>
          <w:sz w:val="22"/>
        </w:rPr>
        <w:t xml:space="preserve">Wang, B., Law, A., Regan, T., Parkinson, N., Cole, J., Russell, C. D., Dockrell, D. H., Gutmann, M. U., &amp; Baillie, J. K. (2022). Systematic comparison of ranking aggregation methods for gene lists in experimental results. </w:t>
      </w:r>
      <w:r w:rsidRPr="00C817ED">
        <w:rPr>
          <w:rFonts w:ascii="Aptos"/>
          <w:i/>
          <w:iCs/>
          <w:sz w:val="22"/>
        </w:rPr>
        <w:t>Bioinformatics</w:t>
      </w:r>
      <w:r w:rsidRPr="00C817ED">
        <w:rPr>
          <w:rFonts w:ascii="Aptos"/>
          <w:sz w:val="22"/>
        </w:rPr>
        <w:t xml:space="preserve">, </w:t>
      </w:r>
      <w:r w:rsidRPr="00C817ED">
        <w:rPr>
          <w:rFonts w:ascii="Aptos"/>
          <w:i/>
          <w:iCs/>
          <w:sz w:val="22"/>
        </w:rPr>
        <w:t>38</w:t>
      </w:r>
      <w:r w:rsidRPr="00C817ED">
        <w:rPr>
          <w:rFonts w:ascii="Aptos"/>
          <w:sz w:val="22"/>
        </w:rPr>
        <w:t>(21), 4927–4933. https://doi.org/10.1093/bioinformatics/btac621</w:t>
      </w:r>
    </w:p>
    <w:p w14:paraId="74AD579D" w14:textId="77777777" w:rsidR="00C817ED" w:rsidRPr="00C817ED" w:rsidRDefault="00C817ED" w:rsidP="00C817ED">
      <w:pPr>
        <w:pStyle w:val="Bibliography"/>
        <w:rPr>
          <w:rFonts w:ascii="Aptos"/>
          <w:sz w:val="22"/>
        </w:rPr>
      </w:pPr>
      <w:r w:rsidRPr="00C817ED">
        <w:rPr>
          <w:rFonts w:ascii="Aptos"/>
          <w:sz w:val="22"/>
        </w:rPr>
        <w:t xml:space="preserve">Wang, H., St. Julien, K. R., Stevenson, D. K., Hoffmann, T. J., Witte, J. S., Lazzeroni, L. C., Krasnow, M. A., Quaintance, C. C., Oehlert, J. W., Jelliffe-Pawlowski, L. L., Gould, J. B., Shaw, G. M., &amp; O’Brodovich, H. M. (2013). A Genome-Wide Association Study (GWAS) for Bronchopulmonary Dysplasia. </w:t>
      </w:r>
      <w:r w:rsidRPr="00C817ED">
        <w:rPr>
          <w:rFonts w:ascii="Aptos"/>
          <w:i/>
          <w:iCs/>
          <w:sz w:val="22"/>
        </w:rPr>
        <w:t>Pediatrics</w:t>
      </w:r>
      <w:r w:rsidRPr="00C817ED">
        <w:rPr>
          <w:rFonts w:ascii="Aptos"/>
          <w:sz w:val="22"/>
        </w:rPr>
        <w:t xml:space="preserve">, </w:t>
      </w:r>
      <w:r w:rsidRPr="00C817ED">
        <w:rPr>
          <w:rFonts w:ascii="Aptos"/>
          <w:i/>
          <w:iCs/>
          <w:sz w:val="22"/>
        </w:rPr>
        <w:t>132</w:t>
      </w:r>
      <w:r w:rsidRPr="00C817ED">
        <w:rPr>
          <w:rFonts w:ascii="Aptos"/>
          <w:sz w:val="22"/>
        </w:rPr>
        <w:t>(2), 290–297. https://doi.org/10.1542/peds.2013-0533</w:t>
      </w:r>
    </w:p>
    <w:p w14:paraId="39072922" w14:textId="77777777" w:rsidR="00C817ED" w:rsidRPr="00C817ED" w:rsidRDefault="00C817ED" w:rsidP="00C817ED">
      <w:pPr>
        <w:pStyle w:val="Bibliography"/>
        <w:rPr>
          <w:rFonts w:ascii="Aptos"/>
          <w:sz w:val="22"/>
        </w:rPr>
      </w:pPr>
      <w:r w:rsidRPr="00C817ED">
        <w:rPr>
          <w:rFonts w:ascii="Aptos"/>
          <w:sz w:val="22"/>
        </w:rPr>
        <w:t xml:space="preserve">Wu, T., Hu, E., Xu, S., Chen, M., Guo, P., Dai, Z., Feng, T., Zhou, L., Tang, W., Zhan, L., Fu, X., Liu, S., Bo, X., &amp; Yu, G. (2021). clusterProfiler 4.0: A universal enrichment tool for interpreting omics data. </w:t>
      </w:r>
      <w:r w:rsidRPr="00C817ED">
        <w:rPr>
          <w:rFonts w:ascii="Aptos"/>
          <w:i/>
          <w:iCs/>
          <w:sz w:val="22"/>
        </w:rPr>
        <w:t>The Innovation</w:t>
      </w:r>
      <w:r w:rsidRPr="00C817ED">
        <w:rPr>
          <w:rFonts w:ascii="Aptos"/>
          <w:sz w:val="22"/>
        </w:rPr>
        <w:t xml:space="preserve">, </w:t>
      </w:r>
      <w:r w:rsidRPr="00C817ED">
        <w:rPr>
          <w:rFonts w:ascii="Aptos"/>
          <w:i/>
          <w:iCs/>
          <w:sz w:val="22"/>
        </w:rPr>
        <w:t>2</w:t>
      </w:r>
      <w:r w:rsidRPr="00C817ED">
        <w:rPr>
          <w:rFonts w:ascii="Aptos"/>
          <w:sz w:val="22"/>
        </w:rPr>
        <w:t>(3), 100141. https://doi.org/10.1016/j.xinn.2021.100141</w:t>
      </w:r>
    </w:p>
    <w:p w14:paraId="27B667E2" w14:textId="62C1D1CB" w:rsidR="005D240B" w:rsidRPr="005B64D9" w:rsidRDefault="005D240B" w:rsidP="00C817ED">
      <w:pPr>
        <w:pStyle w:val="Bibliography"/>
        <w:rPr>
          <w:b/>
          <w:bCs/>
          <w:sz w:val="22"/>
          <w:szCs w:val="22"/>
        </w:rPr>
      </w:pPr>
      <w:r>
        <w:rPr>
          <w:b/>
          <w:bCs/>
          <w:sz w:val="22"/>
          <w:szCs w:val="22"/>
        </w:rPr>
        <w:fldChar w:fldCharType="end"/>
      </w:r>
    </w:p>
    <w:p w14:paraId="5A4CAA76" w14:textId="77777777" w:rsidR="005D240B" w:rsidRPr="00B016B7" w:rsidRDefault="005D240B" w:rsidP="005D240B">
      <w:pPr>
        <w:spacing w:line="480" w:lineRule="auto"/>
        <w:jc w:val="both"/>
        <w:rPr>
          <w:rFonts w:cs="Calibri"/>
          <w:b/>
          <w:bCs/>
          <w:color w:val="000000" w:themeColor="text1"/>
          <w:sz w:val="22"/>
          <w:szCs w:val="22"/>
        </w:rPr>
      </w:pPr>
      <w:r w:rsidRPr="005B64D9">
        <w:rPr>
          <w:b/>
          <w:bCs/>
          <w:sz w:val="22"/>
          <w:szCs w:val="22"/>
        </w:rPr>
        <w:br w:type="column"/>
      </w:r>
      <w:r w:rsidRPr="005B64D9">
        <w:rPr>
          <w:rFonts w:cs="Calibri"/>
          <w:b/>
          <w:bCs/>
          <w:color w:val="000000" w:themeColor="text1"/>
          <w:sz w:val="22"/>
          <w:szCs w:val="22"/>
        </w:rPr>
        <w:lastRenderedPageBreak/>
        <w:t>CONFLICT OF INTEREST</w:t>
      </w:r>
    </w:p>
    <w:p w14:paraId="4A34556C"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All authors report no conflicts of interest.</w:t>
      </w:r>
    </w:p>
    <w:p w14:paraId="54BDE0EE" w14:textId="77777777" w:rsidR="005D240B" w:rsidRPr="005B64D9" w:rsidRDefault="005D240B" w:rsidP="005D240B">
      <w:pPr>
        <w:spacing w:line="480" w:lineRule="auto"/>
        <w:jc w:val="both"/>
        <w:rPr>
          <w:rFonts w:cs="Calibri"/>
          <w:color w:val="000000" w:themeColor="text1"/>
          <w:sz w:val="22"/>
          <w:szCs w:val="22"/>
        </w:rPr>
      </w:pPr>
    </w:p>
    <w:p w14:paraId="136AFC5B"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FUNDING</w:t>
      </w:r>
    </w:p>
    <w:p w14:paraId="0A5FE622"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&lt;</w:t>
      </w:r>
      <w:r w:rsidRPr="005B64D9">
        <w:rPr>
          <w:rFonts w:cs="Calibri"/>
          <w:color w:val="000000" w:themeColor="text1"/>
          <w:sz w:val="22"/>
          <w:szCs w:val="22"/>
          <w:highlight w:val="yellow"/>
        </w:rPr>
        <w:t>INSERT</w:t>
      </w:r>
      <w:r w:rsidRPr="005B64D9">
        <w:rPr>
          <w:rFonts w:cs="Calibri"/>
          <w:color w:val="000000" w:themeColor="text1"/>
          <w:sz w:val="22"/>
          <w:szCs w:val="22"/>
        </w:rPr>
        <w:t>&gt;</w:t>
      </w:r>
    </w:p>
    <w:p w14:paraId="1C0C6D3C" w14:textId="77777777" w:rsidR="005D240B" w:rsidRPr="005B64D9" w:rsidRDefault="005D240B" w:rsidP="005D240B">
      <w:pPr>
        <w:spacing w:line="480" w:lineRule="auto"/>
        <w:jc w:val="both"/>
        <w:rPr>
          <w:rFonts w:cs="Calibri"/>
          <w:color w:val="000000" w:themeColor="text1"/>
          <w:sz w:val="22"/>
          <w:szCs w:val="22"/>
        </w:rPr>
      </w:pPr>
    </w:p>
    <w:p w14:paraId="23C76A32" w14:textId="77777777" w:rsidR="005D240B" w:rsidRPr="00B016B7"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DATA AVAILABILITY</w:t>
      </w:r>
    </w:p>
    <w:p w14:paraId="3441BA02"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 xml:space="preserve">The MAIC output is included as supplementary material. All code is available at </w:t>
      </w:r>
      <w:r w:rsidRPr="00B016B7">
        <w:rPr>
          <w:rFonts w:cs="Calibri"/>
          <w:color w:val="000000" w:themeColor="text1"/>
          <w:sz w:val="22"/>
          <w:szCs w:val="22"/>
          <w:highlight w:val="yellow"/>
        </w:rPr>
        <w:t>https://github.com/baillielab/bpd_maic.</w:t>
      </w:r>
    </w:p>
    <w:p w14:paraId="5889C142" w14:textId="77777777" w:rsidR="005D240B" w:rsidRPr="005B64D9" w:rsidRDefault="005D240B" w:rsidP="005D240B">
      <w:pPr>
        <w:spacing w:line="480" w:lineRule="auto"/>
        <w:jc w:val="both"/>
        <w:rPr>
          <w:rFonts w:cs="Calibri"/>
          <w:b/>
          <w:bCs/>
          <w:color w:val="000000" w:themeColor="text1"/>
          <w:sz w:val="22"/>
          <w:szCs w:val="22"/>
        </w:rPr>
      </w:pPr>
    </w:p>
    <w:p w14:paraId="37C7D559" w14:textId="77777777" w:rsidR="005D240B" w:rsidRPr="00B016B7"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CONTRIBUTIONS</w:t>
      </w:r>
    </w:p>
    <w:p w14:paraId="08507F0B"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SCH, JKB and JEM conceived the study. SCH, PK, CH, JAR, NM, AA, NP, EL, MP manually reviewed abstracts for inclusion. SCH, PK, CH and CS curated the data. SCH, PK and CH did the formal analysis. SCH supervised the study. SCH, PK and CH wrote the original draft of the manuscript. All authors reviewed and edited the manuscript. SCH validated the study data. SCH, PK and CH had access to the raw data. The corresponding author had full access to all the data and final responsibility for the decision to submit for publication.</w:t>
      </w:r>
    </w:p>
    <w:p w14:paraId="132675F5" w14:textId="77777777" w:rsidR="005D240B" w:rsidRPr="005B64D9" w:rsidRDefault="005D240B" w:rsidP="005D240B">
      <w:pPr>
        <w:spacing w:line="480" w:lineRule="auto"/>
        <w:jc w:val="both"/>
        <w:rPr>
          <w:sz w:val="22"/>
          <w:szCs w:val="22"/>
        </w:rPr>
      </w:pPr>
    </w:p>
    <w:p w14:paraId="4587EAE1" w14:textId="77777777" w:rsidR="005D240B" w:rsidRPr="005B64D9" w:rsidRDefault="005D240B" w:rsidP="005D240B">
      <w:pPr>
        <w:spacing w:line="480" w:lineRule="auto"/>
        <w:jc w:val="both"/>
        <w:rPr>
          <w:sz w:val="22"/>
          <w:szCs w:val="22"/>
        </w:rPr>
      </w:pPr>
    </w:p>
    <w:p w14:paraId="36B180ED" w14:textId="77777777" w:rsidR="003B2F70" w:rsidRDefault="003B2F70"/>
    <w:sectPr w:rsidR="003B2F70" w:rsidSect="005D240B">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a Clohisey Hendry" w:date="2025-08-06T10:58:00Z" w:initials="SCH">
    <w:p w14:paraId="57117665" w14:textId="77777777" w:rsidR="005D240B" w:rsidRDefault="005D240B" w:rsidP="005D240B">
      <w:r>
        <w:rPr>
          <w:rStyle w:val="CommentReference"/>
        </w:rPr>
        <w:annotationRef/>
      </w:r>
      <w:r>
        <w:rPr>
          <w:sz w:val="20"/>
          <w:szCs w:val="20"/>
        </w:rPr>
        <w:t>Aim for 1200 words</w:t>
      </w:r>
    </w:p>
  </w:comment>
  <w:comment w:id="1" w:author="Sara Clohisey Hendry" w:date="2025-08-06T12:55:00Z" w:initials="SCH">
    <w:p w14:paraId="53F7F3EE" w14:textId="77777777" w:rsidR="005D240B" w:rsidRDefault="005D240B" w:rsidP="005D240B">
      <w:r>
        <w:rPr>
          <w:rStyle w:val="CommentReference"/>
        </w:rPr>
        <w:annotationRef/>
      </w:r>
      <w:r>
        <w:rPr>
          <w:sz w:val="20"/>
          <w:szCs w:val="20"/>
        </w:rPr>
        <w:t>heatmap</w:t>
      </w:r>
    </w:p>
    <w:p w14:paraId="6A55D93C" w14:textId="77777777" w:rsidR="005D240B" w:rsidRDefault="005D240B" w:rsidP="005D240B"/>
  </w:comment>
  <w:comment w:id="2" w:author="Sara Clohisey Hendry" w:date="2025-08-21T15:05:00Z" w:initials="SCH">
    <w:p w14:paraId="04267B29" w14:textId="2AAACA4F" w:rsidR="00053511" w:rsidRDefault="00053511" w:rsidP="00053511">
      <w:r>
        <w:rPr>
          <w:rStyle w:val="CommentReference"/>
        </w:rPr>
        <w:annotationRef/>
      </w:r>
      <w:r>
        <w:rPr>
          <w:sz w:val="20"/>
          <w:szCs w:val="20"/>
        </w:rPr>
        <w:t>It is difficult to determine if some uncommon, enriched pathways reflect rodent-specific responses to experimental injury rather than universally conserved disease mechanisms.</w:t>
      </w:r>
    </w:p>
    <w:p w14:paraId="3B4D4153" w14:textId="77777777" w:rsidR="00053511" w:rsidRDefault="00053511" w:rsidP="0005351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117665" w15:done="0"/>
  <w15:commentEx w15:paraId="6A55D93C" w15:done="0"/>
  <w15:commentEx w15:paraId="3B4D4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488C85" w16cex:dateUtc="2025-08-06T09:58:00Z"/>
  <w16cex:commentExtensible w16cex:durableId="515A323F" w16cex:dateUtc="2025-08-06T11:55:00Z"/>
  <w16cex:commentExtensible w16cex:durableId="4C3D618E" w16cex:dateUtc="2025-08-21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117665" w16cid:durableId="15488C85"/>
  <w16cid:commentId w16cid:paraId="6A55D93C" w16cid:durableId="515A323F"/>
  <w16cid:commentId w16cid:paraId="3B4D4153" w16cid:durableId="4C3D61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518EF"/>
    <w:multiLevelType w:val="hybridMultilevel"/>
    <w:tmpl w:val="632E5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9232E1E"/>
    <w:multiLevelType w:val="hybridMultilevel"/>
    <w:tmpl w:val="F7D085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96270554">
    <w:abstractNumId w:val="1"/>
  </w:num>
  <w:num w:numId="2" w16cid:durableId="3704992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a Clohisey Hendry">
    <w15:presenceInfo w15:providerId="AD" w15:userId="S::sclohise@ed.ac.uk::1a895948-eaca-4a36-a597-d7fca435bb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0B"/>
    <w:rsid w:val="00053511"/>
    <w:rsid w:val="00083898"/>
    <w:rsid w:val="00097860"/>
    <w:rsid w:val="000B0759"/>
    <w:rsid w:val="000C33C9"/>
    <w:rsid w:val="001045AD"/>
    <w:rsid w:val="001363FD"/>
    <w:rsid w:val="001B5DBE"/>
    <w:rsid w:val="001D6A71"/>
    <w:rsid w:val="001E5E56"/>
    <w:rsid w:val="001E7CF0"/>
    <w:rsid w:val="00317902"/>
    <w:rsid w:val="00326D95"/>
    <w:rsid w:val="003508D3"/>
    <w:rsid w:val="00357B67"/>
    <w:rsid w:val="0036129C"/>
    <w:rsid w:val="003B2F70"/>
    <w:rsid w:val="00456715"/>
    <w:rsid w:val="004F6F62"/>
    <w:rsid w:val="005400FE"/>
    <w:rsid w:val="00545988"/>
    <w:rsid w:val="005508DA"/>
    <w:rsid w:val="00551E31"/>
    <w:rsid w:val="005A680A"/>
    <w:rsid w:val="005D240B"/>
    <w:rsid w:val="006030CD"/>
    <w:rsid w:val="006117F5"/>
    <w:rsid w:val="00642B03"/>
    <w:rsid w:val="00645074"/>
    <w:rsid w:val="0065547A"/>
    <w:rsid w:val="006B6E85"/>
    <w:rsid w:val="00740014"/>
    <w:rsid w:val="00745C0E"/>
    <w:rsid w:val="00756D83"/>
    <w:rsid w:val="0077789B"/>
    <w:rsid w:val="007816AD"/>
    <w:rsid w:val="007C3ADC"/>
    <w:rsid w:val="008506FE"/>
    <w:rsid w:val="009122EE"/>
    <w:rsid w:val="009155AD"/>
    <w:rsid w:val="00955096"/>
    <w:rsid w:val="00971920"/>
    <w:rsid w:val="009775FE"/>
    <w:rsid w:val="009B65CF"/>
    <w:rsid w:val="009F3C8A"/>
    <w:rsid w:val="00A04C89"/>
    <w:rsid w:val="00A14BEC"/>
    <w:rsid w:val="00A55110"/>
    <w:rsid w:val="00AB2D4D"/>
    <w:rsid w:val="00AB7995"/>
    <w:rsid w:val="00AE378A"/>
    <w:rsid w:val="00B67F7B"/>
    <w:rsid w:val="00B82C33"/>
    <w:rsid w:val="00BD33E1"/>
    <w:rsid w:val="00BE6D81"/>
    <w:rsid w:val="00BF2C13"/>
    <w:rsid w:val="00C2707E"/>
    <w:rsid w:val="00C418B1"/>
    <w:rsid w:val="00C817ED"/>
    <w:rsid w:val="00C9039E"/>
    <w:rsid w:val="00CD0A9E"/>
    <w:rsid w:val="00CF1C78"/>
    <w:rsid w:val="00D3572D"/>
    <w:rsid w:val="00D47C81"/>
    <w:rsid w:val="00D50D37"/>
    <w:rsid w:val="00D76E64"/>
    <w:rsid w:val="00DF7913"/>
    <w:rsid w:val="00E334A6"/>
    <w:rsid w:val="00E715A3"/>
    <w:rsid w:val="00EA1A53"/>
    <w:rsid w:val="00F3067B"/>
    <w:rsid w:val="00F76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D81AF2"/>
  <w15:chartTrackingRefBased/>
  <w15:docId w15:val="{11D2DAE2-4C38-8846-B2CD-023C730C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0CD"/>
  </w:style>
  <w:style w:type="paragraph" w:styleId="Heading1">
    <w:name w:val="heading 1"/>
    <w:basedOn w:val="Normal"/>
    <w:next w:val="Normal"/>
    <w:link w:val="Heading1Char"/>
    <w:uiPriority w:val="9"/>
    <w:qFormat/>
    <w:rsid w:val="005D2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4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4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4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4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40B"/>
    <w:rPr>
      <w:rFonts w:eastAsiaTheme="majorEastAsia" w:cstheme="majorBidi"/>
      <w:color w:val="272727" w:themeColor="text1" w:themeTint="D8"/>
    </w:rPr>
  </w:style>
  <w:style w:type="paragraph" w:styleId="Title">
    <w:name w:val="Title"/>
    <w:basedOn w:val="Normal"/>
    <w:next w:val="Normal"/>
    <w:link w:val="TitleChar"/>
    <w:uiPriority w:val="10"/>
    <w:qFormat/>
    <w:rsid w:val="005D24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4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4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240B"/>
    <w:rPr>
      <w:i/>
      <w:iCs/>
      <w:color w:val="404040" w:themeColor="text1" w:themeTint="BF"/>
    </w:rPr>
  </w:style>
  <w:style w:type="paragraph" w:styleId="ListParagraph">
    <w:name w:val="List Paragraph"/>
    <w:basedOn w:val="Normal"/>
    <w:uiPriority w:val="34"/>
    <w:qFormat/>
    <w:rsid w:val="005D240B"/>
    <w:pPr>
      <w:ind w:left="720"/>
      <w:contextualSpacing/>
    </w:pPr>
  </w:style>
  <w:style w:type="character" w:styleId="IntenseEmphasis">
    <w:name w:val="Intense Emphasis"/>
    <w:basedOn w:val="DefaultParagraphFont"/>
    <w:uiPriority w:val="21"/>
    <w:qFormat/>
    <w:rsid w:val="005D240B"/>
    <w:rPr>
      <w:i/>
      <w:iCs/>
      <w:color w:val="0F4761" w:themeColor="accent1" w:themeShade="BF"/>
    </w:rPr>
  </w:style>
  <w:style w:type="paragraph" w:styleId="IntenseQuote">
    <w:name w:val="Intense Quote"/>
    <w:basedOn w:val="Normal"/>
    <w:next w:val="Normal"/>
    <w:link w:val="IntenseQuoteChar"/>
    <w:uiPriority w:val="30"/>
    <w:qFormat/>
    <w:rsid w:val="005D2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40B"/>
    <w:rPr>
      <w:i/>
      <w:iCs/>
      <w:color w:val="0F4761" w:themeColor="accent1" w:themeShade="BF"/>
    </w:rPr>
  </w:style>
  <w:style w:type="character" w:styleId="IntenseReference">
    <w:name w:val="Intense Reference"/>
    <w:basedOn w:val="DefaultParagraphFont"/>
    <w:uiPriority w:val="32"/>
    <w:qFormat/>
    <w:rsid w:val="005D240B"/>
    <w:rPr>
      <w:b/>
      <w:bCs/>
      <w:smallCaps/>
      <w:color w:val="0F4761" w:themeColor="accent1" w:themeShade="BF"/>
      <w:spacing w:val="5"/>
    </w:rPr>
  </w:style>
  <w:style w:type="character" w:styleId="CommentReference">
    <w:name w:val="annotation reference"/>
    <w:basedOn w:val="DefaultParagraphFont"/>
    <w:uiPriority w:val="99"/>
    <w:semiHidden/>
    <w:unhideWhenUsed/>
    <w:rsid w:val="005D240B"/>
    <w:rPr>
      <w:sz w:val="16"/>
      <w:szCs w:val="16"/>
    </w:rPr>
  </w:style>
  <w:style w:type="paragraph" w:styleId="Bibliography">
    <w:name w:val="Bibliography"/>
    <w:basedOn w:val="Normal"/>
    <w:next w:val="Normal"/>
    <w:uiPriority w:val="37"/>
    <w:unhideWhenUsed/>
    <w:rsid w:val="005D240B"/>
    <w:pPr>
      <w:tabs>
        <w:tab w:val="left" w:pos="380"/>
      </w:tabs>
      <w:spacing w:line="480" w:lineRule="auto"/>
      <w:ind w:left="720" w:hanging="720"/>
    </w:pPr>
  </w:style>
  <w:style w:type="character" w:styleId="Hyperlink">
    <w:name w:val="Hyperlink"/>
    <w:basedOn w:val="DefaultParagraphFont"/>
    <w:uiPriority w:val="99"/>
    <w:semiHidden/>
    <w:unhideWhenUsed/>
    <w:rsid w:val="005D240B"/>
    <w:rPr>
      <w:color w:val="0000FF"/>
      <w:u w:val="single"/>
    </w:rPr>
  </w:style>
  <w:style w:type="character" w:styleId="LineNumber">
    <w:name w:val="line number"/>
    <w:basedOn w:val="DefaultParagraphFont"/>
    <w:uiPriority w:val="99"/>
    <w:semiHidden/>
    <w:unhideWhenUsed/>
    <w:rsid w:val="005D240B"/>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645074"/>
    <w:rPr>
      <w:b/>
      <w:bCs/>
    </w:rPr>
  </w:style>
  <w:style w:type="character" w:customStyle="1" w:styleId="CommentSubjectChar">
    <w:name w:val="Comment Subject Char"/>
    <w:basedOn w:val="CommentTextChar"/>
    <w:link w:val="CommentSubject"/>
    <w:uiPriority w:val="99"/>
    <w:semiHidden/>
    <w:rsid w:val="006450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23</Pages>
  <Words>21415</Words>
  <Characters>122070</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Clohisey Hendry</dc:creator>
  <cp:keywords/>
  <dc:description/>
  <cp:lastModifiedBy>Sara Clohisey Hendry</cp:lastModifiedBy>
  <cp:revision>28</cp:revision>
  <dcterms:created xsi:type="dcterms:W3CDTF">2025-08-19T13:00:00Z</dcterms:created>
  <dcterms:modified xsi:type="dcterms:W3CDTF">2025-10-09T13:44:00Z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id="EnPUeJzo"/&gt;&lt;style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