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276"/>
        <w:jc w:val="both"/>
      </w:pPr>
      <w:r>
        <w:rPr>
          <w:rFonts w:ascii="Arial" w:cs="Arial" w:eastAsia="Arial" w:hAnsi="Arial"/>
          <w:b w:val="false"/>
          <w:bCs w:val="false"/>
          <w:i w:val="false"/>
          <w:iCs w:val="false"/>
          <w:color w:val="333333"/>
          <w:sz w:val="22"/>
          <w:szCs w:val="22"/>
        </w:rPr>
        <w:t xml:space="preserve"/>
      </w:r>
    </w:p>
    <w:p>
      <w:pPr>
        <w:spacing w:after="600" w:before="0" w:line="276"/>
        <w:jc w:val="both"/>
      </w:pPr>
      <w:r>
        <w:rPr>
          <w:rFonts w:ascii="Arial" w:cs="Arial" w:eastAsia="Arial" w:hAnsi="Arial"/>
          <w:b w:val="false"/>
          <w:bCs w:val="false"/>
          <w:i w:val="false"/>
          <w:iCs w:val="false"/>
          <w:color w:val="333333"/>
          <w:sz w:val="22"/>
          <w:szCs w:val="22"/>
        </w:rPr>
        <w:t xml:space="preserve"/>
      </w:r>
    </w:p>
    <w:p>
      <w:pPr>
        <w:spacing w:after="80" w:before="0" w:line="276"/>
        <w:jc w:val="center"/>
      </w:pPr>
      <w:r>
        <w:rPr>
          <w:rFonts w:ascii="Arial" w:cs="Arial" w:eastAsia="Arial" w:hAnsi="Arial"/>
          <w:b/>
          <w:bCs/>
          <w:color w:val="1F4E79"/>
          <w:sz w:val="36"/>
          <w:szCs w:val="36"/>
        </w:rPr>
        <w:t xml:space="preserve">CDS 6324</w:t>
      </w:r>
    </w:p>
    <w:p>
      <w:pPr>
        <w:spacing w:after="400" w:before="0" w:line="276"/>
        <w:jc w:val="center"/>
      </w:pPr>
      <w:r>
        <w:rPr>
          <w:rFonts w:ascii="Arial" w:cs="Arial" w:eastAsia="Arial" w:hAnsi="Arial"/>
          <w:b/>
          <w:bCs/>
          <w:color w:val="1F4E79"/>
          <w:sz w:val="32"/>
          <w:szCs w:val="32"/>
        </w:rPr>
        <w:t xml:space="preserve">DATA VISUALIZATION</w:t>
      </w:r>
    </w:p>
    <w:p>
      <w:pPr>
        <w:spacing w:after="300" w:before="0" w:line="276"/>
        <w:jc w:val="center"/>
      </w:pPr>
      <w:r>
        <w:rPr>
          <w:rFonts w:ascii="Arial" w:cs="Arial" w:eastAsia="Arial" w:hAnsi="Arial"/>
          <w:b/>
          <w:bCs/>
          <w:color w:val="555555"/>
          <w:sz w:val="28"/>
          <w:szCs w:val="28"/>
        </w:rPr>
        <w:t xml:space="preserve">PROJECT PROPOSAL</w:t>
      </w:r>
    </w:p>
    <w:p>
      <w:pPr>
        <w:spacing w:after="60" w:before="0" w:line="276"/>
        <w:jc w:val="center"/>
      </w:pPr>
      <w:r>
        <w:rPr>
          <w:rFonts w:ascii="Arial" w:cs="Arial" w:eastAsia="Arial" w:hAnsi="Arial"/>
          <w:color w:val="555555"/>
          <w:sz w:val="24"/>
          <w:szCs w:val="24"/>
        </w:rPr>
        <w:t xml:space="preserve">Lecture Section: [TXXL]</w:t>
      </w:r>
    </w:p>
    <w:p>
      <w:pPr>
        <w:spacing w:after="60" w:before="0" w:line="276"/>
        <w:jc w:val="center"/>
      </w:pPr>
      <w:r>
        <w:rPr>
          <w:rFonts w:ascii="Arial" w:cs="Arial" w:eastAsia="Arial" w:hAnsi="Arial"/>
          <w:color w:val="555555"/>
          <w:sz w:val="24"/>
          <w:szCs w:val="24"/>
        </w:rPr>
        <w:t xml:space="preserve">Tutorial Section: TT2L</w:t>
      </w:r>
    </w:p>
    <w:p>
      <w:pPr>
        <w:spacing w:after="300" w:before="0" w:line="276"/>
        <w:jc w:val="center"/>
      </w:pPr>
      <w:r>
        <w:rPr>
          <w:rFonts w:ascii="Arial" w:cs="Arial" w:eastAsia="Arial" w:hAnsi="Arial"/>
          <w:color w:val="555555"/>
          <w:sz w:val="24"/>
          <w:szCs w:val="24"/>
        </w:rPr>
        <w:t xml:space="preserve">Group Number: [TT2L_GXX]</w:t>
      </w:r>
    </w:p>
    <w:p>
      <w:pPr>
        <w:spacing w:after="400" w:before="0" w:line="276"/>
        <w:jc w:val="center"/>
      </w:pPr>
      <w:r>
        <w:rPr>
          <w:rFonts w:ascii="Arial" w:cs="Arial" w:eastAsia="Arial" w:hAnsi="Arial"/>
          <w:color w:val="555555"/>
          <w:sz w:val="22"/>
          <w:szCs w:val="22"/>
        </w:rPr>
        <w:t xml:space="preserve">Submitted to: [Lecturer Name]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tblGrid>
      <w:tr>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spacing w:after="40" w:line="240"/>
              <w:jc w:val="left"/>
            </w:pPr>
            <w:r>
              <w:rPr>
                <w:rFonts w:ascii="Arial" w:cs="Arial" w:eastAsia="Arial" w:hAnsi="Arial"/>
                <w:b/>
                <w:bCs/>
                <w:color w:val="333333"/>
                <w:sz w:val="20"/>
                <w:szCs w:val="20"/>
              </w:rPr>
              <w:t xml:space="preserve">Student ID</w:t>
            </w:r>
          </w:p>
        </w:tc>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spacing w:after="40" w:line="240"/>
              <w:jc w:val="left"/>
            </w:pPr>
            <w:r>
              <w:rPr>
                <w:rFonts w:ascii="Arial" w:cs="Arial" w:eastAsia="Arial" w:hAnsi="Arial"/>
                <w:b/>
                <w:bCs/>
                <w:color w:val="333333"/>
                <w:sz w:val="20"/>
                <w:szCs w:val="20"/>
              </w:rPr>
              <w:t xml:space="preserve">Student Name</w:t>
            </w:r>
          </w:p>
        </w:tc>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spacing w:after="40" w:line="240"/>
              <w:jc w:val="left"/>
            </w:pPr>
            <w:r>
              <w:rPr>
                <w:rFonts w:ascii="Arial" w:cs="Arial" w:eastAsia="Arial" w:hAnsi="Arial"/>
                <w:b/>
                <w:bCs/>
                <w:color w:val="333333"/>
                <w:sz w:val="20"/>
                <w:szCs w:val="20"/>
              </w:rPr>
              <w:t xml:space="preserve">Email &amp; Contact No</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20"/>
                <w:szCs w:val="20"/>
              </w:rPr>
              <w:t xml:space="preserve">[Student ID]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20"/>
                <w:szCs w:val="20"/>
              </w:rPr>
              <w:t xml:space="preserve">[Student Name]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20"/>
                <w:szCs w:val="20"/>
              </w:rPr>
              <w:t xml:space="preserve">[Email / Phone]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20"/>
                <w:szCs w:val="20"/>
              </w:rPr>
              <w:t xml:space="preserve">[Student ID]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20"/>
                <w:szCs w:val="20"/>
              </w:rPr>
              <w:t xml:space="preserve">[Student Name]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20"/>
                <w:szCs w:val="20"/>
              </w:rPr>
              <w:t xml:space="preserve">[Email / Phone]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20"/>
                <w:szCs w:val="20"/>
              </w:rPr>
              <w:t xml:space="preserve">[Student ID]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20"/>
                <w:szCs w:val="20"/>
              </w:rPr>
              <w:t xml:space="preserve">[Student Name]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20"/>
                <w:szCs w:val="20"/>
              </w:rPr>
              <w:t xml:space="preserve">[Email / Phone]</w:t>
            </w:r>
          </w:p>
        </w:tc>
      </w:tr>
    </w:tbl>
    <w:p>
      <w:r>
        <w:br w:type="page"/>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28"/>
          <w:szCs w:val="28"/>
        </w:rPr>
        <w:t xml:space="preserve">1. Project Overview</w:t>
      </w:r>
    </w:p>
    <w:p>
      <w:pPr>
        <w:spacing w:after="200" w:before="0" w:line="276"/>
        <w:jc w:val="both"/>
      </w:pPr>
      <w:r>
        <w:rPr>
          <w:rFonts w:ascii="Arial" w:cs="Arial" w:eastAsia="Arial" w:hAnsi="Arial"/>
          <w:b/>
          <w:bCs/>
          <w:color w:val="333333"/>
          <w:sz w:val="22"/>
          <w:szCs w:val="22"/>
        </w:rPr>
        <w:t xml:space="preserve">Project Title: </w:t>
      </w:r>
      <w:r>
        <w:rPr>
          <w:rFonts w:ascii="Arial" w:cs="Arial" w:eastAsia="Arial" w:hAnsi="Arial"/>
          <w:i/>
          <w:iCs/>
          <w:color w:val="333333"/>
          <w:sz w:val="22"/>
          <w:szCs w:val="22"/>
        </w:rPr>
        <w:t xml:space="preserve">The Wealth–Health Divide: Does Money Buy Survival?</w:t>
      </w:r>
    </w:p>
    <w:p>
      <w:pPr>
        <w:spacing w:after="200" w:before="0" w:line="276"/>
        <w:jc w:val="both"/>
      </w:pPr>
      <w:r>
        <w:rPr>
          <w:rFonts w:ascii="Arial" w:cs="Arial" w:eastAsia="Arial" w:hAnsi="Arial"/>
          <w:b/>
          <w:bCs/>
          <w:color w:val="333333"/>
          <w:sz w:val="22"/>
          <w:szCs w:val="22"/>
        </w:rPr>
        <w:t xml:space="preserve">SDG Theme: </w:t>
      </w:r>
      <w:r>
        <w:rPr>
          <w:rFonts w:ascii="Arial" w:cs="Arial" w:eastAsia="Arial" w:hAnsi="Arial"/>
          <w:color w:val="333333"/>
          <w:sz w:val="22"/>
          <w:szCs w:val="22"/>
        </w:rPr>
        <w:t xml:space="preserve">Sustainable Development Goal 3 – Good Health and Well-being</w:t>
      </w:r>
    </w:p>
    <w:p>
      <w:pPr>
        <w:spacing w:after="160" w:before="0" w:line="276"/>
        <w:jc w:val="both"/>
      </w:pPr>
      <w:r>
        <w:rPr>
          <w:rFonts w:ascii="Arial" w:cs="Arial" w:eastAsia="Arial" w:hAnsi="Arial"/>
          <w:b w:val="false"/>
          <w:bCs w:val="false"/>
          <w:i w:val="false"/>
          <w:iCs w:val="false"/>
          <w:color w:val="333333"/>
          <w:sz w:val="22"/>
          <w:szCs w:val="22"/>
        </w:rPr>
        <w:t xml:space="preserve">This project investigates the relationship between national economic development and population health outcomes across OECD and OPEC member countries over a 56-year period (1960–2016). By combining macroeconomic indicators with health metrics such as infant mortality and life expectancy, the dashboard communicates whether wealth accumulation translates into tangible improvements in human survival, and identifies the thresholds at which economic growth begins to save lives.</w:t>
      </w:r>
    </w:p>
    <w:p>
      <w:pPr>
        <w:spacing w:after="160" w:before="0" w:line="276"/>
        <w:jc w:val="both"/>
      </w:pPr>
      <w:r>
        <w:rPr>
          <w:rFonts w:ascii="Arial" w:cs="Arial" w:eastAsia="Arial" w:hAnsi="Arial"/>
          <w:b w:val="false"/>
          <w:bCs w:val="false"/>
          <w:i w:val="false"/>
          <w:iCs w:val="false"/>
          <w:color w:val="333333"/>
          <w:sz w:val="22"/>
          <w:szCs w:val="22"/>
        </w:rPr>
        <w:t xml:space="preserve">The analytical narrative is framed around three specific SDG 3 targets. Target 3.2 calls for ending preventable deaths of newborns and children under five years of age, with all countries aiming to reduce neonatal mortality to at least 12 per 1,000 live births and under-five mortality to at least 25 per 1,000 live births by 2030. Target 3.4 addresses the reduction of premature mortality from non-communicable diseases and the promotion of mental health and well-being. Target 3.8 concerns achieving universal health coverage, including access to quality essential healthcare services. Together, these targets frame a story about whether economic prosperity is a sufficient condition for health equity, or whether structural disparities persist even at high income levels.</w:t>
      </w:r>
    </w:p>
    <w:p>
      <w:pPr>
        <w:spacing w:after="160" w:before="0" w:line="276"/>
        <w:jc w:val="both"/>
      </w:pPr>
      <w:r>
        <w:rPr>
          <w:rFonts w:ascii="Arial" w:cs="Arial" w:eastAsia="Arial" w:hAnsi="Arial"/>
          <w:b w:val="false"/>
          <w:bCs w:val="false"/>
          <w:i w:val="false"/>
          <w:iCs w:val="false"/>
          <w:color w:val="333333"/>
          <w:sz w:val="22"/>
          <w:szCs w:val="22"/>
        </w:rPr>
        <w:t xml:space="preserve">The dashboard follows the data storytelling structure outlined by Knaflic: Attract the viewer with a striking animated global view, Engage them through interactive exploration of regional and national patterns, and deliver the Punchline through a focused analysis of the GDP threshold at which infant mortality collapses. All six visualizations are built using D3.js with HTML, CSS, and JavaScript, and are integrated into a single cohesive, interactive web-based dashboard.</w:t>
      </w:r>
    </w:p>
    <w:p>
      <w:pPr>
        <w:pStyle w:val="Heading1"/>
        <w:spacing w:after="200" w:before="360"/>
      </w:pPr>
      <w:r>
        <w:rPr>
          <w:rFonts w:ascii="Arial" w:cs="Arial" w:eastAsia="Arial" w:hAnsi="Arial"/>
          <w:b/>
          <w:bCs/>
          <w:color w:val="1F4E79"/>
          <w:sz w:val="28"/>
          <w:szCs w:val="28"/>
        </w:rPr>
        <w:t xml:space="preserve">2. Proposed Datasets and Attributes</w:t>
      </w:r>
    </w:p>
    <w:p>
      <w:pPr>
        <w:pStyle w:val="Heading2"/>
        <w:spacing w:after="160" w:before="280"/>
      </w:pPr>
      <w:r>
        <w:rPr>
          <w:rFonts w:ascii="Arial" w:cs="Arial" w:eastAsia="Arial" w:hAnsi="Arial"/>
          <w:b/>
          <w:bCs/>
          <w:color w:val="1F4E79"/>
          <w:sz w:val="24"/>
          <w:szCs w:val="24"/>
        </w:rPr>
        <w:t xml:space="preserve">2.1 Primary Dataset</w:t>
      </w:r>
    </w:p>
    <w:p>
      <w:pPr>
        <w:spacing w:after="80" w:before="0" w:line="276"/>
        <w:jc w:val="both"/>
      </w:pPr>
      <w:r>
        <w:rPr>
          <w:rFonts w:ascii="Arial" w:cs="Arial" w:eastAsia="Arial" w:hAnsi="Arial"/>
          <w:b/>
          <w:bCs/>
          <w:color w:val="333333"/>
          <w:sz w:val="22"/>
          <w:szCs w:val="22"/>
        </w:rPr>
        <w:t xml:space="preserve">Health and Income Outcomes of OECD and OPEC Countries</w:t>
      </w:r>
    </w:p>
    <w:p>
      <w:pPr>
        <w:spacing w:after="120" w:before="0" w:line="276"/>
        <w:jc w:val="both"/>
      </w:pPr>
      <w:r>
        <w:rPr>
          <w:rFonts w:ascii="Arial" w:cs="Arial" w:eastAsia="Arial" w:hAnsi="Arial"/>
          <w:b/>
          <w:bCs/>
          <w:color w:val="555555"/>
          <w:sz w:val="22"/>
          <w:szCs w:val="22"/>
        </w:rPr>
        <w:t xml:space="preserve">Source: </w:t>
      </w:r>
      <w:hyperlink w:history="1" r:id="rId8c9gyzidmfxsq2lpulmcb">
        <w:r>
          <w:rPr>
            <w:rStyle w:val="Hyperlink"/>
            <w:rFonts w:ascii="Arial" w:cs="Arial" w:eastAsia="Arial" w:hAnsi="Arial"/>
            <w:sz w:val="22"/>
            <w:szCs w:val="22"/>
          </w:rPr>
          <w:t xml:space="preserve">kaggle.com/datasets/utkarshx27/health-and-income-outcomes</w:t>
        </w:r>
      </w:hyperlink>
    </w:p>
    <w:p>
      <w:pPr>
        <w:spacing w:after="160" w:before="0" w:line="276"/>
        <w:jc w:val="both"/>
      </w:pPr>
      <w:r>
        <w:rPr>
          <w:rFonts w:ascii="Arial" w:cs="Arial" w:eastAsia="Arial" w:hAnsi="Arial"/>
          <w:b w:val="false"/>
          <w:bCs w:val="false"/>
          <w:i w:val="false"/>
          <w:iCs w:val="false"/>
          <w:color w:val="333333"/>
          <w:sz w:val="22"/>
          <w:szCs w:val="22"/>
        </w:rPr>
        <w:t xml:space="preserve">This dataset tracks health and economic indicators for OECD and OPEC member countries from 1960 to 2016, providing approximately 10,000 records across 56 years of longitudinal data. It satisfies the project requirement of over 3,000 records with more than 10 attributes when including derived fields. The temporal dimension spans over five decades, and the spatial dimension covers countries across all continents.</w:t>
      </w:r>
    </w:p>
    <w:p>
      <w:pPr>
        <w:spacing w:after="160" w:before="0" w:line="276"/>
        <w:jc w:val="both"/>
      </w:pPr>
      <w:r>
        <w:rPr>
          <w:rFonts w:ascii="Arial" w:cs="Arial" w:eastAsia="Arial" w:hAnsi="Arial"/>
          <w:b w:val="false"/>
          <w:bCs w:val="false"/>
          <w:i w:val="false"/>
          <w:iCs w:val="false"/>
          <w:color w:val="333333"/>
          <w:sz w:val="22"/>
          <w:szCs w:val="22"/>
        </w:rPr>
        <w:t xml:space="preserve">Key attributes and their data types are presented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426"/>
      </w:tblGrid>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40" w:line="240"/>
              <w:jc w:val="left"/>
            </w:pPr>
            <w:r>
              <w:rPr>
                <w:rFonts w:ascii="Arial" w:cs="Arial" w:eastAsia="Arial" w:hAnsi="Arial"/>
                <w:b/>
                <w:bCs/>
                <w:color w:val="FFFFFF"/>
                <w:sz w:val="19"/>
                <w:szCs w:val="19"/>
              </w:rPr>
              <w:t xml:space="preserve">Attribute</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40" w:line="240"/>
              <w:jc w:val="left"/>
            </w:pPr>
            <w:r>
              <w:rPr>
                <w:rFonts w:ascii="Arial" w:cs="Arial" w:eastAsia="Arial" w:hAnsi="Arial"/>
                <w:b/>
                <w:bCs/>
                <w:color w:val="FFFFFF"/>
                <w:sz w:val="19"/>
                <w:szCs w:val="19"/>
              </w:rPr>
              <w:t xml:space="preserve">Data Type</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40" w:line="240"/>
              <w:jc w:val="left"/>
            </w:pPr>
            <w:r>
              <w:rPr>
                <w:rFonts w:ascii="Arial" w:cs="Arial" w:eastAsia="Arial" w:hAnsi="Arial"/>
                <w:b/>
                <w:bCs/>
                <w:color w:val="FFFFFF"/>
                <w:sz w:val="19"/>
                <w:szCs w:val="19"/>
              </w:rPr>
              <w:t xml:space="preserve">Scale</w:t>
            </w:r>
          </w:p>
        </w:tc>
        <w:tc>
          <w:tcPr>
            <w:tcW w:type="dxa" w:w="34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40" w:line="240"/>
              <w:jc w:val="left"/>
            </w:pPr>
            <w:r>
              <w:rPr>
                <w:rFonts w:ascii="Arial" w:cs="Arial" w:eastAsia="Arial" w:hAnsi="Arial"/>
                <w:b/>
                <w:bCs/>
                <w:color w:val="FFFFFF"/>
                <w:sz w:val="19"/>
                <w:szCs w:val="19"/>
              </w:rPr>
              <w:t xml:space="preserve">Role in Dashboard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country</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Categorical</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Nominal</w:t>
            </w:r>
          </w:p>
        </w:tc>
        <w:tc>
          <w:tcPr>
            <w:tcW w:type="dxa" w:w="3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Label, filter key, tooltip identifier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year</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Temporal</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Ordinal / Interval</w:t>
            </w:r>
          </w:p>
        </w:tc>
        <w:tc>
          <w:tcPr>
            <w:tcW w:type="dxa" w:w="3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Animation axis, time slider, trend axis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region</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Categorical</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Nominal</w:t>
            </w:r>
          </w:p>
        </w:tc>
        <w:tc>
          <w:tcPr>
            <w:tcW w:type="dxa" w:w="3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Colour hue encoding, filter, small-multiple facet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gdp</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Quantitative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Ratio</w:t>
            </w:r>
          </w:p>
        </w:tc>
        <w:tc>
          <w:tcPr>
            <w:tcW w:type="dxa" w:w="3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X-axis position in scatter/bubble, threshold analysis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population</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Quantitative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Ratio</w:t>
            </w:r>
          </w:p>
        </w:tc>
        <w:tc>
          <w:tcPr>
            <w:tcW w:type="dxa" w:w="3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Bubble size encoding, treemap area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fertility</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Quantitative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Ratio</w:t>
            </w:r>
          </w:p>
        </w:tc>
        <w:tc>
          <w:tcPr>
            <w:tcW w:type="dxa" w:w="3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Supplementary context in tooltips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life_expectancy</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Quantitative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Ratio</w:t>
            </w:r>
          </w:p>
        </w:tc>
        <w:tc>
          <w:tcPr>
            <w:tcW w:type="dxa" w:w="3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Y-axis in bubble chart, choropleth fill, slope chart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infant_mortality</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Quantitative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Ratio</w:t>
            </w:r>
          </w:p>
        </w:tc>
        <w:tc>
          <w:tcPr>
            <w:tcW w:type="dxa" w:w="3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Sunburst outer ring, choropleth, scatter Y-axis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bloc (derived)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Categorical</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Nominal</w:t>
            </w:r>
          </w:p>
        </w:tc>
        <w:tc>
          <w:tcPr>
            <w:tcW w:type="dxa" w:w="3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OECD vs. OPEC grouping, sunburst inner ring</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gdp_tier (derived)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Ordinal</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Ordinal</w:t>
            </w:r>
          </w:p>
        </w:tc>
        <w:tc>
          <w:tcPr>
            <w:tcW w:type="dxa" w:w="3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Wealth classification, sunburst middle ring</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mortality_tier (derived)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Ordinal</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Ordinal</w:t>
            </w:r>
          </w:p>
        </w:tc>
        <w:tc>
          <w:tcPr>
            <w:tcW w:type="dxa" w:w="3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Severity classification, sunburst outer ring</w:t>
            </w:r>
          </w:p>
        </w:tc>
      </w:tr>
    </w:tbl>
    <w:p>
      <w:pPr>
        <w:spacing w:after="120" w:before="0" w:line="276"/>
        <w:jc w:val="both"/>
      </w:pPr>
      <w:r>
        <w:rPr>
          <w:rFonts w:ascii="Arial" w:cs="Arial" w:eastAsia="Arial" w:hAnsi="Arial"/>
          <w:b w:val="false"/>
          <w:bCs w:val="false"/>
          <w:i w:val="false"/>
          <w:iCs w:val="false"/>
          <w:color w:val="333333"/>
          <w:sz w:val="22"/>
          <w:szCs w:val="22"/>
        </w:rPr>
        <w:t xml:space="preserve"/>
      </w:r>
    </w:p>
    <w:p>
      <w:pPr>
        <w:pStyle w:val="Heading2"/>
        <w:spacing w:after="160" w:before="280"/>
      </w:pPr>
      <w:r>
        <w:rPr>
          <w:rFonts w:ascii="Arial" w:cs="Arial" w:eastAsia="Arial" w:hAnsi="Arial"/>
          <w:b/>
          <w:bCs/>
          <w:color w:val="1F4E79"/>
          <w:sz w:val="24"/>
          <w:szCs w:val="24"/>
        </w:rPr>
        <w:t xml:space="preserve">2.2 Supplementary Dataset</w:t>
      </w:r>
    </w:p>
    <w:p>
      <w:pPr>
        <w:spacing w:after="80" w:before="0" w:line="276"/>
        <w:jc w:val="both"/>
      </w:pPr>
      <w:r>
        <w:rPr>
          <w:rFonts w:ascii="Arial" w:cs="Arial" w:eastAsia="Arial" w:hAnsi="Arial"/>
          <w:b/>
          <w:bCs/>
          <w:color w:val="333333"/>
          <w:sz w:val="22"/>
          <w:szCs w:val="22"/>
        </w:rPr>
        <w:t xml:space="preserve">Global Health, Nutrition, Mortality, and Economic Data</w:t>
      </w:r>
    </w:p>
    <w:p>
      <w:pPr>
        <w:spacing w:after="120" w:before="0" w:line="276"/>
        <w:jc w:val="both"/>
      </w:pPr>
      <w:r>
        <w:rPr>
          <w:rFonts w:ascii="Arial" w:cs="Arial" w:eastAsia="Arial" w:hAnsi="Arial"/>
          <w:b/>
          <w:bCs/>
          <w:color w:val="555555"/>
          <w:sz w:val="22"/>
          <w:szCs w:val="22"/>
        </w:rPr>
        <w:t xml:space="preserve">Source: </w:t>
      </w:r>
      <w:hyperlink w:history="1" r:id="rIdpuljfxclysacmkv_z5svm">
        <w:r>
          <w:rPr>
            <w:rStyle w:val="Hyperlink"/>
            <w:rFonts w:ascii="Arial" w:cs="Arial" w:eastAsia="Arial" w:hAnsi="Arial"/>
            <w:sz w:val="22"/>
            <w:szCs w:val="22"/>
          </w:rPr>
          <w:t xml:space="preserve">kaggle.com/datasets/miguelroca/global-health-nutrition-mortality-economic-data</w:t>
        </w:r>
      </w:hyperlink>
    </w:p>
    <w:p>
      <w:pPr>
        <w:spacing w:after="160" w:before="0" w:line="276"/>
        <w:jc w:val="both"/>
      </w:pPr>
      <w:r>
        <w:rPr>
          <w:rFonts w:ascii="Arial" w:cs="Arial" w:eastAsia="Arial" w:hAnsi="Arial"/>
          <w:b w:val="false"/>
          <w:bCs w:val="false"/>
          <w:i w:val="false"/>
          <w:iCs w:val="false"/>
          <w:color w:val="333333"/>
          <w:sz w:val="22"/>
          <w:szCs w:val="22"/>
        </w:rPr>
        <w:t xml:space="preserve">This dataset contains over 100 health, nutrition, and economic indicators for approximately 195 countries from 1990 to 2019. It supplements the primary dataset by providing health expenditure data (public health spending as a percentage of GDP), nutrition indicators (child malnutrition prevalence), and disease-specific mortality rates (tuberculosis, malaria). These additional attributes enable deeper analysis of whether national wealth alone predicts health outcomes, or whether how countries allocate resources matters more. Only the subset of supplementary attributes relevant to the analytical questions will be joined to the primary dataset via country-year keys.</w:t>
      </w:r>
    </w:p>
    <w:p>
      <w:r>
        <w:br w:type="page"/>
      </w:r>
    </w:p>
    <w:p>
      <w:pPr>
        <w:pStyle w:val="Heading1"/>
        <w:spacing w:after="200" w:before="360"/>
      </w:pPr>
      <w:r>
        <w:rPr>
          <w:rFonts w:ascii="Arial" w:cs="Arial" w:eastAsia="Arial" w:hAnsi="Arial"/>
          <w:b/>
          <w:bCs/>
          <w:color w:val="1F4E79"/>
          <w:sz w:val="28"/>
          <w:szCs w:val="28"/>
        </w:rPr>
        <w:t xml:space="preserve">3. Analytical Questions</w:t>
      </w:r>
    </w:p>
    <w:p>
      <w:pPr>
        <w:spacing w:after="160" w:before="0" w:line="276"/>
        <w:jc w:val="both"/>
      </w:pPr>
      <w:r>
        <w:rPr>
          <w:rFonts w:ascii="Arial" w:cs="Arial" w:eastAsia="Arial" w:hAnsi="Arial"/>
          <w:b w:val="false"/>
          <w:bCs w:val="false"/>
          <w:i w:val="false"/>
          <w:iCs w:val="false"/>
          <w:color w:val="333333"/>
          <w:sz w:val="22"/>
          <w:szCs w:val="22"/>
        </w:rPr>
        <w:t xml:space="preserve">The dashboard is structured around three analytical questions, each mapped to a specific SDG 3 target and addressed by at least two visualizations.</w:t>
      </w:r>
    </w:p>
    <w:p>
      <w:pPr>
        <w:pStyle w:val="Heading2"/>
        <w:spacing w:after="160" w:before="280"/>
      </w:pPr>
      <w:r>
        <w:rPr>
          <w:rFonts w:ascii="Arial" w:cs="Arial" w:eastAsia="Arial" w:hAnsi="Arial"/>
          <w:b/>
          <w:bCs/>
          <w:color w:val="1F4E79"/>
          <w:sz w:val="24"/>
          <w:szCs w:val="24"/>
        </w:rPr>
        <w:t xml:space="preserve">3.1 The Wealth Divide (SDG Targets 3.2 and 3.4)</w:t>
      </w:r>
    </w:p>
    <w:p>
      <w:pPr>
        <w:spacing w:after="160" w:before="0" w:line="276"/>
        <w:jc w:val="both"/>
      </w:pPr>
      <w:r>
        <w:rPr>
          <w:rFonts w:ascii="Arial" w:cs="Arial" w:eastAsia="Arial" w:hAnsi="Arial"/>
          <w:b/>
          <w:bCs/>
          <w:i/>
          <w:iCs/>
          <w:color w:val="1F4E79"/>
          <w:sz w:val="22"/>
          <w:szCs w:val="22"/>
        </w:rPr>
        <w:t xml:space="preserve">Question: </w:t>
      </w:r>
      <w:r>
        <w:rPr>
          <w:rFonts w:ascii="Arial" w:cs="Arial" w:eastAsia="Arial" w:hAnsi="Arial"/>
          <w:i/>
          <w:iCs/>
          <w:color w:val="333333"/>
          <w:sz w:val="22"/>
          <w:szCs w:val="22"/>
        </w:rPr>
        <w:t xml:space="preserve">How do long-term health outcomes (life expectancy and infant mortality) differ between industrialised OECD economies and resource-export OPEC nations, and has the gap between them narrowed or widened over the period 1960–2016?</w:t>
      </w:r>
    </w:p>
    <w:p>
      <w:pPr>
        <w:spacing w:after="160" w:before="0" w:line="276"/>
        <w:jc w:val="both"/>
      </w:pPr>
      <w:r>
        <w:rPr>
          <w:rFonts w:ascii="Arial" w:cs="Arial" w:eastAsia="Arial" w:hAnsi="Arial"/>
          <w:b w:val="false"/>
          <w:bCs w:val="false"/>
          <w:i w:val="false"/>
          <w:iCs w:val="false"/>
          <w:color w:val="333333"/>
          <w:sz w:val="22"/>
          <w:szCs w:val="22"/>
        </w:rPr>
        <w:t xml:space="preserve">This question examines whether the type of economic structure (industrial democracy versus resource-export economy) produces systematically different health trajectories. It is addressed primarily by the animated bubble chart (V1), which reveals divergence or convergence over time, and the sunburst chart (V2), which breaks down the bloc-level hierarchy into country-level outcomes. This question directly tests SDG Target 3.2 (infant mortality reduction) and Target 3.4 (life expectancy improvement) by comparing trajectories across economic blocs.</w:t>
      </w:r>
    </w:p>
    <w:p>
      <w:pPr>
        <w:pStyle w:val="Heading2"/>
        <w:spacing w:after="160" w:before="280"/>
      </w:pPr>
      <w:r>
        <w:rPr>
          <w:rFonts w:ascii="Arial" w:cs="Arial" w:eastAsia="Arial" w:hAnsi="Arial"/>
          <w:b/>
          <w:bCs/>
          <w:color w:val="1F4E79"/>
          <w:sz w:val="24"/>
          <w:szCs w:val="24"/>
        </w:rPr>
        <w:t xml:space="preserve">3.2 The GDP Threshold (SDG Target 3.2)</w:t>
      </w:r>
    </w:p>
    <w:p>
      <w:pPr>
        <w:spacing w:after="160" w:before="0" w:line="276"/>
        <w:jc w:val="both"/>
      </w:pPr>
      <w:r>
        <w:rPr>
          <w:rFonts w:ascii="Arial" w:cs="Arial" w:eastAsia="Arial" w:hAnsi="Arial"/>
          <w:b/>
          <w:bCs/>
          <w:i/>
          <w:iCs/>
          <w:color w:val="1F4E79"/>
          <w:sz w:val="22"/>
          <w:szCs w:val="22"/>
        </w:rPr>
        <w:t xml:space="preserve">Question: </w:t>
      </w:r>
      <w:r>
        <w:rPr>
          <w:rFonts w:ascii="Arial" w:cs="Arial" w:eastAsia="Arial" w:hAnsi="Arial"/>
          <w:i/>
          <w:iCs/>
          <w:color w:val="333333"/>
          <w:sz w:val="22"/>
          <w:szCs w:val="22"/>
        </w:rPr>
        <w:t xml:space="preserve">Is there a GDP per capita threshold beyond which infant mortality drops sharply, and does reaching that threshold also guarantee a parallel improvement in life expectancy?</w:t>
      </w:r>
    </w:p>
    <w:p>
      <w:pPr>
        <w:spacing w:after="160" w:before="0" w:line="276"/>
        <w:jc w:val="both"/>
      </w:pPr>
      <w:r>
        <w:rPr>
          <w:rFonts w:ascii="Arial" w:cs="Arial" w:eastAsia="Arial" w:hAnsi="Arial"/>
          <w:b w:val="false"/>
          <w:bCs w:val="false"/>
          <w:i w:val="false"/>
          <w:iCs w:val="false"/>
          <w:color w:val="333333"/>
          <w:sz w:val="22"/>
          <w:szCs w:val="22"/>
        </w:rPr>
        <w:t xml:space="preserve">This question tests whether there is a critical economic tipping point that triggers dramatic improvements in child survival. The connected scatterplot (V5) traces each country’s journey through GDP-mortality space over time, revealing whether trajectories converge at a common threshold or diverge based on other factors. The choropleth map (V4) provides the spatial context to see which regions remain below the threshold. This addresses the core challenge of SDG Target 3.2: even if we know the threshold exists, have all countries reached it?</w:t>
      </w:r>
    </w:p>
    <w:p>
      <w:pPr>
        <w:pStyle w:val="Heading2"/>
        <w:spacing w:after="160" w:before="280"/>
      </w:pPr>
      <w:r>
        <w:rPr>
          <w:rFonts w:ascii="Arial" w:cs="Arial" w:eastAsia="Arial" w:hAnsi="Arial"/>
          <w:b/>
          <w:bCs/>
          <w:color w:val="1F4E79"/>
          <w:sz w:val="24"/>
          <w:szCs w:val="24"/>
        </w:rPr>
        <w:t xml:space="preserve">3.3 Regional Convergence (SDG Targets 3.4 and 3.8)</w:t>
      </w:r>
    </w:p>
    <w:p>
      <w:pPr>
        <w:spacing w:after="160" w:before="0" w:line="276"/>
        <w:jc w:val="both"/>
      </w:pPr>
      <w:r>
        <w:rPr>
          <w:rFonts w:ascii="Arial" w:cs="Arial" w:eastAsia="Arial" w:hAnsi="Arial"/>
          <w:b/>
          <w:bCs/>
          <w:i/>
          <w:iCs/>
          <w:color w:val="1F4E79"/>
          <w:sz w:val="22"/>
          <w:szCs w:val="22"/>
        </w:rPr>
        <w:t xml:space="preserve">Question: </w:t>
      </w:r>
      <w:r>
        <w:rPr>
          <w:rFonts w:ascii="Arial" w:cs="Arial" w:eastAsia="Arial" w:hAnsi="Arial"/>
          <w:i/>
          <w:iCs/>
          <w:color w:val="333333"/>
          <w:sz w:val="22"/>
          <w:szCs w:val="22"/>
        </w:rPr>
        <w:t xml:space="preserve">Over 56 years of data, have global health initiatives and economic growth successfully narrowed the life expectancy gap between geographic regions, or have structural economic disparities kept health outcomes divided?</w:t>
      </w:r>
    </w:p>
    <w:p>
      <w:pPr>
        <w:spacing w:after="160" w:before="0" w:line="276"/>
        <w:jc w:val="both"/>
      </w:pPr>
      <w:r>
        <w:rPr>
          <w:rFonts w:ascii="Arial" w:cs="Arial" w:eastAsia="Arial" w:hAnsi="Arial"/>
          <w:b w:val="false"/>
          <w:bCs w:val="false"/>
          <w:i w:val="false"/>
          <w:iCs w:val="false"/>
          <w:color w:val="333333"/>
          <w:sz w:val="22"/>
          <w:szCs w:val="22"/>
        </w:rPr>
        <w:t xml:space="preserve">This question evaluates the net effect of decades of global health policy. The small multiples area chart (V6) shows the distribution of life expectancy within each region over time, making convergence or divergence visually obvious. The slope chart (V3) complements this by showing rank changes in life expectancy between two user-selected time points. Together, they address whether SDG Target 3.4 (reducing premature mortality) and Target 3.8 (universal health coverage) have made a measurable dent in global health inequality, or whether geography remains destiny.</w:t>
      </w:r>
    </w:p>
    <w:p>
      <w:r>
        <w:br w:type="page"/>
      </w:r>
    </w:p>
    <w:p>
      <w:pPr>
        <w:pStyle w:val="Heading1"/>
        <w:spacing w:after="200" w:before="360"/>
      </w:pPr>
      <w:r>
        <w:rPr>
          <w:rFonts w:ascii="Arial" w:cs="Arial" w:eastAsia="Arial" w:hAnsi="Arial"/>
          <w:b/>
          <w:bCs/>
          <w:color w:val="1F4E79"/>
          <w:sz w:val="28"/>
          <w:szCs w:val="28"/>
        </w:rPr>
        <w:t xml:space="preserve">4. Visualization Design</w:t>
      </w:r>
    </w:p>
    <w:p>
      <w:pPr>
        <w:spacing w:after="160" w:before="0" w:line="276"/>
        <w:jc w:val="both"/>
      </w:pPr>
      <w:r>
        <w:rPr>
          <w:rFonts w:ascii="Arial" w:cs="Arial" w:eastAsia="Arial" w:hAnsi="Arial"/>
          <w:b w:val="false"/>
          <w:bCs w:val="false"/>
          <w:i w:val="false"/>
          <w:iCs w:val="false"/>
          <w:color w:val="333333"/>
          <w:sz w:val="22"/>
          <w:szCs w:val="22"/>
        </w:rPr>
        <w:t xml:space="preserve">The dashboard consists of six interactive visualizations, each assigned to one of three team members. Every chart choice is justified by its alignment with the data type, analytical question, and established visualisation design principles from the course. The table below summarises the assignment, followed by detailed descriptions of each visualization.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400"/>
        <w:gridCol w:w="1000"/>
        <w:gridCol w:w="3426"/>
      </w:tblGrid>
      <w:tr>
        <w:tc>
          <w:tcPr>
            <w:tcW w:type="dxa" w:w="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40" w:line="240"/>
              <w:jc w:val="center"/>
            </w:pPr>
            <w:r>
              <w:rPr>
                <w:rFonts w:ascii="Arial" w:cs="Arial" w:eastAsia="Arial" w:hAnsi="Arial"/>
                <w:b/>
                <w:bCs/>
                <w:color w:val="FFFFFF"/>
                <w:sz w:val="18"/>
                <w:szCs w:val="18"/>
              </w:rPr>
              <w:t xml:space="preserve">ID</w:t>
            </w:r>
          </w:p>
        </w:tc>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40" w:line="240"/>
              <w:jc w:val="left"/>
            </w:pPr>
            <w:r>
              <w:rPr>
                <w:rFonts w:ascii="Arial" w:cs="Arial" w:eastAsia="Arial" w:hAnsi="Arial"/>
                <w:b/>
                <w:bCs/>
                <w:color w:val="FFFFFF"/>
                <w:sz w:val="18"/>
                <w:szCs w:val="18"/>
              </w:rPr>
              <w:t xml:space="preserve">Visualization Type</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40" w:line="240"/>
              <w:jc w:val="left"/>
            </w:pPr>
            <w:r>
              <w:rPr>
                <w:rFonts w:ascii="Arial" w:cs="Arial" w:eastAsia="Arial" w:hAnsi="Arial"/>
                <w:b/>
                <w:bCs/>
                <w:color w:val="FFFFFF"/>
                <w:sz w:val="18"/>
                <w:szCs w:val="18"/>
              </w:rPr>
              <w:t xml:space="preserve">Owner</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40" w:line="240"/>
              <w:jc w:val="center"/>
            </w:pPr>
            <w:r>
              <w:rPr>
                <w:rFonts w:ascii="Arial" w:cs="Arial" w:eastAsia="Arial" w:hAnsi="Arial"/>
                <w:b/>
                <w:bCs/>
                <w:color w:val="FFFFFF"/>
                <w:sz w:val="18"/>
                <w:szCs w:val="18"/>
              </w:rPr>
              <w:t xml:space="preserve">Q#</w:t>
            </w:r>
          </w:p>
        </w:tc>
        <w:tc>
          <w:tcPr>
            <w:tcW w:type="dxa" w:w="34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40" w:line="240"/>
              <w:jc w:val="left"/>
            </w:pPr>
            <w:r>
              <w:rPr>
                <w:rFonts w:ascii="Arial" w:cs="Arial" w:eastAsia="Arial" w:hAnsi="Arial"/>
                <w:b/>
                <w:bCs/>
                <w:color w:val="FFFFFF"/>
                <w:sz w:val="18"/>
                <w:szCs w:val="18"/>
              </w:rPr>
              <w:t xml:space="preserve">Primary Encoding Channels</w:t>
            </w:r>
          </w:p>
        </w:tc>
      </w:tr>
      <w:tr>
        <w:tc>
          <w:tcPr>
            <w:tcW w:type="dxa" w:w="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after="40" w:line="240"/>
              <w:jc w:val="center"/>
            </w:pPr>
            <w:r>
              <w:rPr>
                <w:rFonts w:ascii="Arial" w:cs="Arial" w:eastAsia="Arial" w:hAnsi="Arial"/>
                <w:b w:val="false"/>
                <w:bCs w:val="false"/>
                <w:color w:val="333333"/>
                <w:sz w:val="18"/>
                <w:szCs w:val="18"/>
              </w:rPr>
              <w:t xml:space="preserve">V1</w:t>
            </w:r>
          </w:p>
        </w:tc>
        <w:tc>
          <w:tcPr>
            <w:tcW w:type="dxa" w:w="2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8"/>
                <w:szCs w:val="18"/>
              </w:rPr>
              <w:t xml:space="preserve">Animated Bubble Chart</w:t>
            </w:r>
          </w:p>
        </w:tc>
        <w:tc>
          <w:tcPr>
            <w:tcW w:type="dxa" w:w="1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8"/>
                <w:szCs w:val="18"/>
              </w:rPr>
              <w:t xml:space="preserve">Student A</w:t>
            </w:r>
          </w:p>
        </w:tc>
        <w:tc>
          <w:tcPr>
            <w:tcW w:type="dxa" w:w="1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after="40" w:line="240"/>
              <w:jc w:val="center"/>
            </w:pPr>
            <w:r>
              <w:rPr>
                <w:rFonts w:ascii="Arial" w:cs="Arial" w:eastAsia="Arial" w:hAnsi="Arial"/>
                <w:b w:val="false"/>
                <w:bCs w:val="false"/>
                <w:color w:val="333333"/>
                <w:sz w:val="18"/>
                <w:szCs w:val="18"/>
              </w:rPr>
              <w:t xml:space="preserve">Q1, Q2</w:t>
            </w:r>
          </w:p>
        </w:tc>
        <w:tc>
          <w:tcPr>
            <w:tcW w:type="dxa" w:w="3426"/>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8"/>
                <w:szCs w:val="18"/>
              </w:rPr>
              <w:t xml:space="preserve">Position (x, y), Size (area), Colour hue, Animation (time)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center"/>
            </w:pPr>
            <w:r>
              <w:rPr>
                <w:rFonts w:ascii="Arial" w:cs="Arial" w:eastAsia="Arial" w:hAnsi="Arial"/>
                <w:b w:val="false"/>
                <w:bCs w:val="false"/>
                <w:color w:val="333333"/>
                <w:sz w:val="18"/>
                <w:szCs w:val="18"/>
              </w:rPr>
              <w:t xml:space="preserve">V2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8"/>
                <w:szCs w:val="18"/>
              </w:rPr>
              <w:t xml:space="preserve">Zoomable Sunburst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8"/>
                <w:szCs w:val="18"/>
              </w:rPr>
              <w:t xml:space="preserve">Student A</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center"/>
            </w:pPr>
            <w:r>
              <w:rPr>
                <w:rFonts w:ascii="Arial" w:cs="Arial" w:eastAsia="Arial" w:hAnsi="Arial"/>
                <w:b w:val="false"/>
                <w:bCs w:val="false"/>
                <w:color w:val="333333"/>
                <w:sz w:val="18"/>
                <w:szCs w:val="18"/>
              </w:rPr>
              <w:t xml:space="preserve">Q1</w:t>
            </w:r>
          </w:p>
        </w:tc>
        <w:tc>
          <w:tcPr>
            <w:tcW w:type="dxa" w:w="3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8"/>
                <w:szCs w:val="18"/>
              </w:rPr>
              <w:t xml:space="preserve">Angle/arc length, Colour hue, Hierarchy (adjacency)</w:t>
            </w:r>
          </w:p>
        </w:tc>
      </w:tr>
      <w:tr>
        <w:tc>
          <w:tcPr>
            <w:tcW w:type="dxa" w:w="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after="40" w:line="240"/>
              <w:jc w:val="center"/>
            </w:pPr>
            <w:r>
              <w:rPr>
                <w:rFonts w:ascii="Arial" w:cs="Arial" w:eastAsia="Arial" w:hAnsi="Arial"/>
                <w:b w:val="false"/>
                <w:bCs w:val="false"/>
                <w:color w:val="333333"/>
                <w:sz w:val="18"/>
                <w:szCs w:val="18"/>
              </w:rPr>
              <w:t xml:space="preserve">V3</w:t>
            </w:r>
          </w:p>
        </w:tc>
        <w:tc>
          <w:tcPr>
            <w:tcW w:type="dxa" w:w="2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8"/>
                <w:szCs w:val="18"/>
              </w:rPr>
              <w:t xml:space="preserve">Slope Chart</w:t>
            </w:r>
          </w:p>
        </w:tc>
        <w:tc>
          <w:tcPr>
            <w:tcW w:type="dxa" w:w="1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8"/>
                <w:szCs w:val="18"/>
              </w:rPr>
              <w:t xml:space="preserve">Student B</w:t>
            </w:r>
          </w:p>
        </w:tc>
        <w:tc>
          <w:tcPr>
            <w:tcW w:type="dxa" w:w="1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after="40" w:line="240"/>
              <w:jc w:val="center"/>
            </w:pPr>
            <w:r>
              <w:rPr>
                <w:rFonts w:ascii="Arial" w:cs="Arial" w:eastAsia="Arial" w:hAnsi="Arial"/>
                <w:b w:val="false"/>
                <w:bCs w:val="false"/>
                <w:color w:val="333333"/>
                <w:sz w:val="18"/>
                <w:szCs w:val="18"/>
              </w:rPr>
              <w:t xml:space="preserve">Q3</w:t>
            </w:r>
          </w:p>
        </w:tc>
        <w:tc>
          <w:tcPr>
            <w:tcW w:type="dxa" w:w="3426"/>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8"/>
                <w:szCs w:val="18"/>
              </w:rPr>
              <w:t xml:space="preserve">Position (y), Connection (line), Colour hue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center"/>
            </w:pPr>
            <w:r>
              <w:rPr>
                <w:rFonts w:ascii="Arial" w:cs="Arial" w:eastAsia="Arial" w:hAnsi="Arial"/>
                <w:b w:val="false"/>
                <w:bCs w:val="false"/>
                <w:color w:val="333333"/>
                <w:sz w:val="18"/>
                <w:szCs w:val="18"/>
              </w:rPr>
              <w:t xml:space="preserve">V4</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8"/>
                <w:szCs w:val="18"/>
              </w:rPr>
              <w:t xml:space="preserve">Choropleth Map</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8"/>
                <w:szCs w:val="18"/>
              </w:rPr>
              <w:t xml:space="preserve">Student 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center"/>
            </w:pPr>
            <w:r>
              <w:rPr>
                <w:rFonts w:ascii="Arial" w:cs="Arial" w:eastAsia="Arial" w:hAnsi="Arial"/>
                <w:b w:val="false"/>
                <w:bCs w:val="false"/>
                <w:color w:val="333333"/>
                <w:sz w:val="18"/>
                <w:szCs w:val="18"/>
              </w:rPr>
              <w:t xml:space="preserve">Q2, Q3</w:t>
            </w:r>
          </w:p>
        </w:tc>
        <w:tc>
          <w:tcPr>
            <w:tcW w:type="dxa" w:w="3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8"/>
                <w:szCs w:val="18"/>
              </w:rPr>
              <w:t xml:space="preserve">Colour saturation (sequential), Spatial position</w:t>
            </w:r>
          </w:p>
        </w:tc>
      </w:tr>
      <w:tr>
        <w:tc>
          <w:tcPr>
            <w:tcW w:type="dxa" w:w="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after="40" w:line="240"/>
              <w:jc w:val="center"/>
            </w:pPr>
            <w:r>
              <w:rPr>
                <w:rFonts w:ascii="Arial" w:cs="Arial" w:eastAsia="Arial" w:hAnsi="Arial"/>
                <w:b w:val="false"/>
                <w:bCs w:val="false"/>
                <w:color w:val="333333"/>
                <w:sz w:val="18"/>
                <w:szCs w:val="18"/>
              </w:rPr>
              <w:t xml:space="preserve">V5</w:t>
            </w:r>
          </w:p>
        </w:tc>
        <w:tc>
          <w:tcPr>
            <w:tcW w:type="dxa" w:w="2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8"/>
                <w:szCs w:val="18"/>
              </w:rPr>
              <w:t xml:space="preserve">Connected Scatterplot</w:t>
            </w:r>
          </w:p>
        </w:tc>
        <w:tc>
          <w:tcPr>
            <w:tcW w:type="dxa" w:w="1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8"/>
                <w:szCs w:val="18"/>
              </w:rPr>
              <w:t xml:space="preserve">Student C</w:t>
            </w:r>
          </w:p>
        </w:tc>
        <w:tc>
          <w:tcPr>
            <w:tcW w:type="dxa" w:w="1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after="40" w:line="240"/>
              <w:jc w:val="center"/>
            </w:pPr>
            <w:r>
              <w:rPr>
                <w:rFonts w:ascii="Arial" w:cs="Arial" w:eastAsia="Arial" w:hAnsi="Arial"/>
                <w:b w:val="false"/>
                <w:bCs w:val="false"/>
                <w:color w:val="333333"/>
                <w:sz w:val="18"/>
                <w:szCs w:val="18"/>
              </w:rPr>
              <w:t xml:space="preserve">Q2</w:t>
            </w:r>
          </w:p>
        </w:tc>
        <w:tc>
          <w:tcPr>
            <w:tcW w:type="dxa" w:w="3426"/>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8"/>
                <w:szCs w:val="18"/>
              </w:rPr>
              <w:t xml:space="preserve">Position (x, y), Connection (line), Colour hue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center"/>
            </w:pPr>
            <w:r>
              <w:rPr>
                <w:rFonts w:ascii="Arial" w:cs="Arial" w:eastAsia="Arial" w:hAnsi="Arial"/>
                <w:b w:val="false"/>
                <w:bCs w:val="false"/>
                <w:color w:val="333333"/>
                <w:sz w:val="18"/>
                <w:szCs w:val="18"/>
              </w:rPr>
              <w:t xml:space="preserve">V6</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8"/>
                <w:szCs w:val="18"/>
              </w:rPr>
              <w:t xml:space="preserve">Small Multiples Area</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8"/>
                <w:szCs w:val="18"/>
              </w:rPr>
              <w:t xml:space="preserve">Student C</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center"/>
            </w:pPr>
            <w:r>
              <w:rPr>
                <w:rFonts w:ascii="Arial" w:cs="Arial" w:eastAsia="Arial" w:hAnsi="Arial"/>
                <w:b w:val="false"/>
                <w:bCs w:val="false"/>
                <w:color w:val="333333"/>
                <w:sz w:val="18"/>
                <w:szCs w:val="18"/>
              </w:rPr>
              <w:t xml:space="preserve">Q3</w:t>
            </w:r>
          </w:p>
        </w:tc>
        <w:tc>
          <w:tcPr>
            <w:tcW w:type="dxa" w:w="3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8"/>
                <w:szCs w:val="18"/>
              </w:rPr>
              <w:t xml:space="preserve">Position (y), Area, Facet (region)</w:t>
            </w:r>
          </w:p>
        </w:tc>
      </w:tr>
    </w:tbl>
    <w:p>
      <w:pPr>
        <w:spacing w:after="80" w:before="0" w:line="276"/>
        <w:jc w:val="both"/>
      </w:pPr>
      <w:r>
        <w:rPr>
          <w:rFonts w:ascii="Arial" w:cs="Arial" w:eastAsia="Arial" w:hAnsi="Arial"/>
          <w:b w:val="false"/>
          <w:bCs w:val="false"/>
          <w:i w:val="false"/>
          <w:iCs w:val="false"/>
          <w:color w:val="333333"/>
          <w:sz w:val="22"/>
          <w:szCs w:val="22"/>
        </w:rPr>
        <w:t xml:space="preserve"/>
      </w:r>
    </w:p>
    <w:p>
      <w:pPr>
        <w:pStyle w:val="Heading3"/>
        <w:spacing w:after="120" w:before="200"/>
      </w:pPr>
      <w:r>
        <w:rPr>
          <w:rFonts w:ascii="Arial" w:cs="Arial" w:eastAsia="Arial" w:hAnsi="Arial"/>
          <w:b/>
          <w:bCs/>
          <w:color w:val="444444"/>
          <w:sz w:val="22"/>
          <w:szCs w:val="22"/>
        </w:rPr>
        <w:t xml:space="preserve">V1: Animated Bubble Chart (Gapminder-style) (Student A)</w:t>
      </w:r>
    </w:p>
    <w:p>
      <w:pPr>
        <w:spacing w:after="80" w:before="0" w:line="276"/>
        <w:jc w:val="both"/>
      </w:pPr>
      <w:r>
        <w:rPr>
          <w:rFonts w:ascii="Arial" w:cs="Arial" w:eastAsia="Arial" w:hAnsi="Arial"/>
          <w:b/>
          <w:bCs/>
          <w:color w:val="555555"/>
          <w:sz w:val="21"/>
          <w:szCs w:val="21"/>
        </w:rPr>
        <w:t xml:space="preserve">Addresses: </w:t>
      </w:r>
      <w:r>
        <w:rPr>
          <w:rFonts w:ascii="Arial" w:cs="Arial" w:eastAsia="Arial" w:hAnsi="Arial"/>
          <w:color w:val="555555"/>
          <w:sz w:val="21"/>
          <w:szCs w:val="21"/>
        </w:rPr>
        <w:t xml:space="preserve">Analytical Question Q1, Q2</w:t>
      </w:r>
    </w:p>
    <w:p>
      <w:pPr>
        <w:spacing w:after="160" w:before="0" w:line="276"/>
        <w:jc w:val="both"/>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Plots GDP per capita on the x-axis against life expectancy on the y-axis for all countries. Bubble size encodes population and colour hue encodes the region or economic bloc. The chart animates through years from 1960 to 2016 using a play/pause timeline control, allowing viewers to watch each country’s trajectory unfold over time.</w:t>
      </w:r>
    </w:p>
    <w:p>
      <w:pPr>
        <w:spacing w:after="160" w:before="0" w:line="276"/>
        <w:jc w:val="both"/>
      </w:pPr>
      <w:r>
        <w:rPr>
          <w:rFonts w:ascii="Arial" w:cs="Arial" w:eastAsia="Arial" w:hAnsi="Arial"/>
          <w:b/>
          <w:bCs/>
          <w:color w:val="333333"/>
          <w:sz w:val="22"/>
          <w:szCs w:val="22"/>
        </w:rPr>
        <w:t xml:space="preserve">Design Justification: </w:t>
      </w:r>
      <w:r>
        <w:rPr>
          <w:rFonts w:ascii="Arial" w:cs="Arial" w:eastAsia="Arial" w:hAnsi="Arial"/>
          <w:color w:val="333333"/>
          <w:sz w:val="22"/>
          <w:szCs w:val="22"/>
        </w:rPr>
        <w:t xml:space="preserve">Position on a common scale is the most effective visual encoding for quantitative data according to Mackinlay’s effectiveness ranking. Size (area) is the next most perceptually accurate channel for a third quantitative variable (population), while colour hue is the most effective channel for nominal categorical data (region). The temporal animation satisfies the rubric requirement for animation driven by temporal data, and directly mirrors the Hans Rosling Gapminder presentation referenced in Lecture 6 as a gold-standard example of data storytelling. The animation follows Tversky’s Congruence Principle: changes in the visual display correspond to actual changes in the data over time.</w:t>
      </w:r>
    </w:p>
    <w:p>
      <w:pPr>
        <w:pStyle w:val="Heading3"/>
        <w:spacing w:after="120" w:before="200"/>
      </w:pPr>
      <w:r>
        <w:rPr>
          <w:rFonts w:ascii="Arial" w:cs="Arial" w:eastAsia="Arial" w:hAnsi="Arial"/>
          <w:b/>
          <w:bCs/>
          <w:color w:val="444444"/>
          <w:sz w:val="22"/>
          <w:szCs w:val="22"/>
        </w:rPr>
        <w:t xml:space="preserve">V2: Zoomable Sunburst Chart (Student A)</w:t>
      </w:r>
    </w:p>
    <w:p>
      <w:pPr>
        <w:spacing w:after="80" w:before="0" w:line="276"/>
        <w:jc w:val="both"/>
      </w:pPr>
      <w:r>
        <w:rPr>
          <w:rFonts w:ascii="Arial" w:cs="Arial" w:eastAsia="Arial" w:hAnsi="Arial"/>
          <w:b/>
          <w:bCs/>
          <w:color w:val="555555"/>
          <w:sz w:val="21"/>
          <w:szCs w:val="21"/>
        </w:rPr>
        <w:t xml:space="preserve">Addresses: </w:t>
      </w:r>
      <w:r>
        <w:rPr>
          <w:rFonts w:ascii="Arial" w:cs="Arial" w:eastAsia="Arial" w:hAnsi="Arial"/>
          <w:color w:val="555555"/>
          <w:sz w:val="21"/>
          <w:szCs w:val="21"/>
        </w:rPr>
        <w:t xml:space="preserve">Analytical Question Q1</w:t>
      </w:r>
    </w:p>
    <w:p>
      <w:pPr>
        <w:spacing w:after="160" w:before="0" w:line="276"/>
        <w:jc w:val="both"/>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Displays a three-layer hierarchical breakdown. The inner ring represents economic bloc (OECD vs. OPEC vs. Other), the middle ring represents a derived GDP wealth tier (Low / Lower-Middle / Upper-Middle / High), and the outer ring represents infant mortality severity (Critical / High / Moderate / Low). Arc size is proportional to population. Clicking any segment zooms into that sub-hierarchy.</w:t>
      </w:r>
    </w:p>
    <w:p>
      <w:pPr>
        <w:spacing w:after="160" w:before="0" w:line="276"/>
        <w:jc w:val="both"/>
      </w:pPr>
      <w:r>
        <w:rPr>
          <w:rFonts w:ascii="Arial" w:cs="Arial" w:eastAsia="Arial" w:hAnsi="Arial"/>
          <w:b/>
          <w:bCs/>
          <w:color w:val="333333"/>
          <w:sz w:val="22"/>
          <w:szCs w:val="22"/>
        </w:rPr>
        <w:t xml:space="preserve">Design Justification: </w:t>
      </w:r>
      <w:r>
        <w:rPr>
          <w:rFonts w:ascii="Arial" w:cs="Arial" w:eastAsia="Arial" w:hAnsi="Arial"/>
          <w:color w:val="333333"/>
          <w:sz w:val="22"/>
          <w:szCs w:val="22"/>
        </w:rPr>
        <w:t xml:space="preserve">The sunburst chart is explicitly demonstrated as a D3.js example in Lecture 7, indicating that the course values this chart type. Hierarchically nested categorical data is best represented using enclosure or adjacency-based layouts. The sunburst’s radial layout maximises use of screen space while maintaining part-to-whole relationships at every level. Clicking a segment filters all other charts in the dashboard, implementing the linked interaction (brushing and linking) technique from Lecture 7’s interaction taxonomy. This chart serves as the analytical centre-piece of the dashboard.</w:t>
      </w:r>
    </w:p>
    <w:p>
      <w:pPr>
        <w:pStyle w:val="Heading3"/>
        <w:spacing w:after="120" w:before="200"/>
      </w:pPr>
      <w:r>
        <w:rPr>
          <w:rFonts w:ascii="Arial" w:cs="Arial" w:eastAsia="Arial" w:hAnsi="Arial"/>
          <w:b/>
          <w:bCs/>
          <w:color w:val="444444"/>
          <w:sz w:val="22"/>
          <w:szCs w:val="22"/>
        </w:rPr>
        <w:t xml:space="preserve">V3: Slope Chart (Student B)</w:t>
      </w:r>
    </w:p>
    <w:p>
      <w:pPr>
        <w:spacing w:after="80" w:before="0" w:line="276"/>
        <w:jc w:val="both"/>
      </w:pPr>
      <w:r>
        <w:rPr>
          <w:rFonts w:ascii="Arial" w:cs="Arial" w:eastAsia="Arial" w:hAnsi="Arial"/>
          <w:b/>
          <w:bCs/>
          <w:color w:val="555555"/>
          <w:sz w:val="21"/>
          <w:szCs w:val="21"/>
        </w:rPr>
        <w:t xml:space="preserve">Addresses: </w:t>
      </w:r>
      <w:r>
        <w:rPr>
          <w:rFonts w:ascii="Arial" w:cs="Arial" w:eastAsia="Arial" w:hAnsi="Arial"/>
          <w:color w:val="555555"/>
          <w:sz w:val="21"/>
          <w:szCs w:val="21"/>
        </w:rPr>
        <w:t xml:space="preserve">Analytical Question Q3</w:t>
      </w:r>
    </w:p>
    <w:p>
      <w:pPr>
        <w:spacing w:after="160" w:before="0" w:line="276"/>
        <w:jc w:val="both"/>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Compares life expectancy rankings of the top 20 countries between two user-selected time points (e.g. 1965 vs. 2015). Each country is represented by a line connecting its value on the left axis to its value on the right axis. Colour encodes region. Steeper slopes indicate larger rank changes.</w:t>
      </w:r>
    </w:p>
    <w:p>
      <w:pPr>
        <w:spacing w:after="160" w:before="0" w:line="276"/>
        <w:jc w:val="both"/>
      </w:pPr>
      <w:r>
        <w:rPr>
          <w:rFonts w:ascii="Arial" w:cs="Arial" w:eastAsia="Arial" w:hAnsi="Arial"/>
          <w:b/>
          <w:bCs/>
          <w:color w:val="333333"/>
          <w:sz w:val="22"/>
          <w:szCs w:val="22"/>
        </w:rPr>
        <w:t xml:space="preserve">Design Justification: </w:t>
      </w:r>
      <w:r>
        <w:rPr>
          <w:rFonts w:ascii="Arial" w:cs="Arial" w:eastAsia="Arial" w:hAnsi="Arial"/>
          <w:color w:val="333333"/>
          <w:sz w:val="22"/>
          <w:szCs w:val="22"/>
        </w:rPr>
        <w:t xml:space="preserve">Slope charts are recommended by Knaflic (Storytelling with Data, referenced in Lecture 5) for two-point comparison. They make relative increases and decreases immediately visible without the cognitive overload of a full time-series line chart. With 20+ countries, a standard multi-series line chart would produce illegible spaghetti. The slope chart constrains to exactly two points, maximising Tufte’s data-ink ratio (Lecture 4) since every line segment directly encodes a meaningful change. User-selectable time points implement the filtering interactivity requirement.</w:t>
      </w:r>
    </w:p>
    <w:p>
      <w:pPr>
        <w:pStyle w:val="Heading3"/>
        <w:spacing w:after="120" w:before="200"/>
      </w:pPr>
      <w:r>
        <w:rPr>
          <w:rFonts w:ascii="Arial" w:cs="Arial" w:eastAsia="Arial" w:hAnsi="Arial"/>
          <w:b/>
          <w:bCs/>
          <w:color w:val="444444"/>
          <w:sz w:val="22"/>
          <w:szCs w:val="22"/>
        </w:rPr>
        <w:t xml:space="preserve">V4: Choropleth World Map (Student B)</w:t>
      </w:r>
    </w:p>
    <w:p>
      <w:pPr>
        <w:spacing w:after="80" w:before="0" w:line="276"/>
        <w:jc w:val="both"/>
      </w:pPr>
      <w:r>
        <w:rPr>
          <w:rFonts w:ascii="Arial" w:cs="Arial" w:eastAsia="Arial" w:hAnsi="Arial"/>
          <w:b/>
          <w:bCs/>
          <w:color w:val="555555"/>
          <w:sz w:val="21"/>
          <w:szCs w:val="21"/>
        </w:rPr>
        <w:t xml:space="preserve">Addresses: </w:t>
      </w:r>
      <w:r>
        <w:rPr>
          <w:rFonts w:ascii="Arial" w:cs="Arial" w:eastAsia="Arial" w:hAnsi="Arial"/>
          <w:color w:val="555555"/>
          <w:sz w:val="21"/>
          <w:szCs w:val="21"/>
        </w:rPr>
        <w:t xml:space="preserve">Analytical Question Q2, Q3</w:t>
      </w:r>
    </w:p>
    <w:p>
      <w:pPr>
        <w:spacing w:after="160" w:before="0" w:line="276"/>
        <w:jc w:val="both"/>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Colour-encodes infant mortality rate by country for a user-selected year. Uses a sequential colour scale (light to dark) with perceptually uniform steps. Supports zoom and pan for detailed regional exploration. Hover tooltips display the country name, exact infant mortality rate, life expectancy, and GDP per capita for the selected year.</w:t>
      </w:r>
    </w:p>
    <w:p>
      <w:pPr>
        <w:spacing w:after="160" w:before="0" w:line="276"/>
        <w:jc w:val="both"/>
      </w:pPr>
      <w:r>
        <w:rPr>
          <w:rFonts w:ascii="Arial" w:cs="Arial" w:eastAsia="Arial" w:hAnsi="Arial"/>
          <w:b/>
          <w:bCs/>
          <w:color w:val="333333"/>
          <w:sz w:val="22"/>
          <w:szCs w:val="22"/>
        </w:rPr>
        <w:t xml:space="preserve">Design Justification: </w:t>
      </w:r>
      <w:r>
        <w:rPr>
          <w:rFonts w:ascii="Arial" w:cs="Arial" w:eastAsia="Arial" w:hAnsi="Arial"/>
          <w:color w:val="333333"/>
          <w:sz w:val="22"/>
          <w:szCs w:val="22"/>
        </w:rPr>
        <w:t xml:space="preserve">Choropleth maps are the standard technique for geographic data visualisation, as covered in Lecture 5 and Lecture 9. The spatial encoding reveals continental patterns (Sub-Saharan Africa, South Asia clustering) that no non-geographic chart can communicate. The sequential colour scale follows the expressiveness principle: an ordered variable (infant mortality rate) is mapped to an ordered visual channel (colour lightness/saturation). Zoom and pan satisfy the rubric’s spatial interaction requirement. Clicking a country highlights it across V1 and V5, implementing linked cross-filtering.</w:t>
      </w:r>
    </w:p>
    <w:p>
      <w:pPr>
        <w:pStyle w:val="Heading3"/>
        <w:spacing w:after="120" w:before="200"/>
      </w:pPr>
      <w:r>
        <w:rPr>
          <w:rFonts w:ascii="Arial" w:cs="Arial" w:eastAsia="Arial" w:hAnsi="Arial"/>
          <w:b/>
          <w:bCs/>
          <w:color w:val="444444"/>
          <w:sz w:val="22"/>
          <w:szCs w:val="22"/>
        </w:rPr>
        <w:t xml:space="preserve">V5: Connected Scatterplot (Threshold Analysis) (Student C)</w:t>
      </w:r>
    </w:p>
    <w:p>
      <w:pPr>
        <w:spacing w:after="80" w:before="0" w:line="276"/>
        <w:jc w:val="both"/>
      </w:pPr>
      <w:r>
        <w:rPr>
          <w:rFonts w:ascii="Arial" w:cs="Arial" w:eastAsia="Arial" w:hAnsi="Arial"/>
          <w:b/>
          <w:bCs/>
          <w:color w:val="555555"/>
          <w:sz w:val="21"/>
          <w:szCs w:val="21"/>
        </w:rPr>
        <w:t xml:space="preserve">Addresses: </w:t>
      </w:r>
      <w:r>
        <w:rPr>
          <w:rFonts w:ascii="Arial" w:cs="Arial" w:eastAsia="Arial" w:hAnsi="Arial"/>
          <w:color w:val="555555"/>
          <w:sz w:val="21"/>
          <w:szCs w:val="21"/>
        </w:rPr>
        <w:t xml:space="preserve">Analytical Question Q2</w:t>
      </w:r>
    </w:p>
    <w:p>
      <w:pPr>
        <w:spacing w:after="160" w:before="0" w:line="276"/>
        <w:jc w:val="both"/>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Plots GDP per capita on the x-axis against infant mortality on the y-axis. Each country’s data points across all years are connected by a line, forming a trajectory through GDP-mortality space. A highlighted annotation marks the estimated threshold region where mortality drops sharply. Colour encodes region. Users can hover on any point to see the year and exact values.</w:t>
      </w:r>
    </w:p>
    <w:p>
      <w:pPr>
        <w:spacing w:after="160" w:before="0" w:line="276"/>
        <w:jc w:val="both"/>
      </w:pPr>
      <w:r>
        <w:rPr>
          <w:rFonts w:ascii="Arial" w:cs="Arial" w:eastAsia="Arial" w:hAnsi="Arial"/>
          <w:b/>
          <w:bCs/>
          <w:color w:val="333333"/>
          <w:sz w:val="22"/>
          <w:szCs w:val="22"/>
        </w:rPr>
        <w:t xml:space="preserve">Design Justification: </w:t>
      </w:r>
      <w:r>
        <w:rPr>
          <w:rFonts w:ascii="Arial" w:cs="Arial" w:eastAsia="Arial" w:hAnsi="Arial"/>
          <w:color w:val="333333"/>
          <w:sz w:val="22"/>
          <w:szCs w:val="22"/>
        </w:rPr>
        <w:t xml:space="preserve">The connected scatterplot preserves the temporal ordering within each country’s trajectory, which a standard scatter cannot. This makes it possible to see whether countries follow similar paths through the GDP-mortality space or take divergent routes. The technique is more informative than a simple regression line because it reveals non-linearities and country-specific trajectories. The annotated threshold region transforms a pattern into an insight, following the data storytelling principle of combining visuals with narrative. This chart demonstrates Tufte’s multi-functioning graphical elements: one chart encodes three variables (GDP, mortality, time) simultaneously.</w:t>
      </w:r>
    </w:p>
    <w:p>
      <w:pPr>
        <w:pStyle w:val="Heading3"/>
        <w:spacing w:after="120" w:before="200"/>
      </w:pPr>
      <w:r>
        <w:rPr>
          <w:rFonts w:ascii="Arial" w:cs="Arial" w:eastAsia="Arial" w:hAnsi="Arial"/>
          <w:b/>
          <w:bCs/>
          <w:color w:val="444444"/>
          <w:sz w:val="22"/>
          <w:szCs w:val="22"/>
        </w:rPr>
        <w:t xml:space="preserve">V6: Small Multiples Area Chart (Student C)</w:t>
      </w:r>
    </w:p>
    <w:p>
      <w:pPr>
        <w:spacing w:after="80" w:before="0" w:line="276"/>
        <w:jc w:val="both"/>
      </w:pPr>
      <w:r>
        <w:rPr>
          <w:rFonts w:ascii="Arial" w:cs="Arial" w:eastAsia="Arial" w:hAnsi="Arial"/>
          <w:b/>
          <w:bCs/>
          <w:color w:val="555555"/>
          <w:sz w:val="21"/>
          <w:szCs w:val="21"/>
        </w:rPr>
        <w:t xml:space="preserve">Addresses: </w:t>
      </w:r>
      <w:r>
        <w:rPr>
          <w:rFonts w:ascii="Arial" w:cs="Arial" w:eastAsia="Arial" w:hAnsi="Arial"/>
          <w:color w:val="555555"/>
          <w:sz w:val="21"/>
          <w:szCs w:val="21"/>
        </w:rPr>
        <w:t xml:space="preserve">Analytical Question Q3</w:t>
      </w:r>
    </w:p>
    <w:p>
      <w:pPr>
        <w:spacing w:after="160" w:before="0" w:line="276"/>
        <w:jc w:val="both"/>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Displays six panels, one per geographic region (Europe, Americas, Sub-Saharan Africa, East Asia and Pacific, South Asia, Middle East and North Africa). Each panel shows stacked or overlapping area curves representing the distribution of life expectancy values within that region over time. Consistent axes across all panels enable direct comparison.</w:t>
      </w:r>
    </w:p>
    <w:p>
      <w:pPr>
        <w:spacing w:after="160" w:before="0" w:line="276"/>
        <w:jc w:val="both"/>
      </w:pPr>
      <w:r>
        <w:rPr>
          <w:rFonts w:ascii="Arial" w:cs="Arial" w:eastAsia="Arial" w:hAnsi="Arial"/>
          <w:b/>
          <w:bCs/>
          <w:color w:val="333333"/>
          <w:sz w:val="22"/>
          <w:szCs w:val="22"/>
        </w:rPr>
        <w:t xml:space="preserve">Design Justification: </w:t>
      </w:r>
      <w:r>
        <w:rPr>
          <w:rFonts w:ascii="Arial" w:cs="Arial" w:eastAsia="Arial" w:hAnsi="Arial"/>
          <w:color w:val="333333"/>
          <w:sz w:val="22"/>
          <w:szCs w:val="22"/>
        </w:rPr>
        <w:t xml:space="preserve">Small multiples are a core design principle from Tufte (Lecture 4): the same visual structure repeated for different subsets of data. This technique avoids the overplotting problem of placing all regions on one chart, while enabling direct comparison through aligned axes (Mackinlay’s Principle of Consistency). The area encoding reveals whether life expectancy within a region is converging (narrowing area) or diverging (widening area) over time, which directly answers whether SDG-era health initiatives have reduced inequality. This chart achieves high data density without sacrificing clarity.</w:t>
      </w:r>
    </w:p>
    <w:p>
      <w:r>
        <w:br w:type="page"/>
      </w:r>
    </w:p>
    <w:p>
      <w:pPr>
        <w:pStyle w:val="Heading1"/>
        <w:spacing w:after="200" w:before="360"/>
      </w:pPr>
      <w:r>
        <w:rPr>
          <w:rFonts w:ascii="Arial" w:cs="Arial" w:eastAsia="Arial" w:hAnsi="Arial"/>
          <w:b/>
          <w:bCs/>
          <w:color w:val="1F4E79"/>
          <w:sz w:val="28"/>
          <w:szCs w:val="28"/>
        </w:rPr>
        <w:t xml:space="preserve">5. Dashboard Storyboard and Layout</w:t>
      </w:r>
    </w:p>
    <w:p>
      <w:pPr>
        <w:spacing w:after="160" w:before="0" w:line="276"/>
        <w:jc w:val="both"/>
      </w:pPr>
      <w:r>
        <w:rPr>
          <w:rFonts w:ascii="Arial" w:cs="Arial" w:eastAsia="Arial" w:hAnsi="Arial"/>
          <w:b w:val="false"/>
          <w:bCs w:val="false"/>
          <w:i w:val="false"/>
          <w:iCs w:val="false"/>
          <w:color w:val="333333"/>
          <w:sz w:val="22"/>
          <w:szCs w:val="22"/>
        </w:rPr>
        <w:t xml:space="preserve">The dashboard is designed as a single-page web application structured into three narrative zones that follow the Attract–Engage–Punchline storytelling arc from Lecture 6. The layout prioritises Shneiderman’s visual information-seeking mantra: overview first, zoom and filter, then details on demand.</w:t>
      </w:r>
    </w:p>
    <w:p>
      <w:pPr>
        <w:pStyle w:val="Heading2"/>
        <w:spacing w:after="160" w:before="280"/>
      </w:pPr>
      <w:r>
        <w:rPr>
          <w:rFonts w:ascii="Arial" w:cs="Arial" w:eastAsia="Arial" w:hAnsi="Arial"/>
          <w:b/>
          <w:bCs/>
          <w:color w:val="1F4E79"/>
          <w:sz w:val="24"/>
          <w:szCs w:val="24"/>
        </w:rPr>
        <w:t xml:space="preserve">5.1 Layout Structure</w:t>
      </w:r>
    </w:p>
    <w:p>
      <w:pPr>
        <w:spacing w:after="160" w:before="0" w:line="276"/>
        <w:jc w:val="both"/>
      </w:pPr>
      <w:r>
        <w:rPr>
          <w:rFonts w:ascii="Arial" w:cs="Arial" w:eastAsia="Arial" w:hAnsi="Arial"/>
          <w:b/>
          <w:bCs/>
          <w:color w:val="333333"/>
          <w:sz w:val="22"/>
          <w:szCs w:val="22"/>
        </w:rPr>
        <w:t xml:space="preserve">Header Bar: </w:t>
      </w:r>
      <w:r>
        <w:rPr>
          <w:rFonts w:ascii="Arial" w:cs="Arial" w:eastAsia="Arial" w:hAnsi="Arial"/>
          <w:color w:val="333333"/>
          <w:sz w:val="22"/>
          <w:szCs w:val="22"/>
        </w:rPr>
        <w:t xml:space="preserve">Contains the dashboard title, a global year slider (range: 1960–2016), an OECD/OPEC/All toggle, and a region dropdown filter. All controls are persistent and affect every visualization simultaneously.</w:t>
      </w:r>
    </w:p>
    <w:p>
      <w:pPr>
        <w:spacing w:after="160" w:before="0" w:line="276"/>
        <w:jc w:val="both"/>
      </w:pPr>
      <w:r>
        <w:rPr>
          <w:rFonts w:ascii="Arial" w:cs="Arial" w:eastAsia="Arial" w:hAnsi="Arial"/>
          <w:b/>
          <w:bCs/>
          <w:color w:val="333333"/>
          <w:sz w:val="22"/>
          <w:szCs w:val="22"/>
        </w:rPr>
        <w:t xml:space="preserve">Zone 1 – Attract (Top Row): </w:t>
      </w:r>
      <w:r>
        <w:rPr>
          <w:rFonts w:ascii="Arial" w:cs="Arial" w:eastAsia="Arial" w:hAnsi="Arial"/>
          <w:color w:val="333333"/>
          <w:sz w:val="22"/>
          <w:szCs w:val="22"/>
        </w:rPr>
        <w:t xml:space="preserve">The animated bubble chart (V1) occupies the left two-thirds of the top row as the primary visual hook. The sunburst chart (V2) occupies the right third. Together, they provide the macro-level overview: the bubble chart shows the global landscape in motion, while the sunburst decomposes the hierarchy.</w:t>
      </w:r>
    </w:p>
    <w:p>
      <w:pPr>
        <w:spacing w:after="160" w:before="0" w:line="276"/>
        <w:jc w:val="both"/>
      </w:pPr>
      <w:r>
        <w:rPr>
          <w:rFonts w:ascii="Arial" w:cs="Arial" w:eastAsia="Arial" w:hAnsi="Arial"/>
          <w:b/>
          <w:bCs/>
          <w:color w:val="333333"/>
          <w:sz w:val="22"/>
          <w:szCs w:val="22"/>
        </w:rPr>
        <w:t xml:space="preserve">Zone 2 – Engage (Middle Row): </w:t>
      </w:r>
      <w:r>
        <w:rPr>
          <w:rFonts w:ascii="Arial" w:cs="Arial" w:eastAsia="Arial" w:hAnsi="Arial"/>
          <w:color w:val="333333"/>
          <w:sz w:val="22"/>
          <w:szCs w:val="22"/>
        </w:rPr>
        <w:t xml:space="preserve">The choropleth map (V4) occupies the left half and the slope chart (V3) occupies the right half. This zone invites active exploration: users zoom into the map to investigate spatial patterns and use the slope chart to compare country rankings across time points. Selecting a country on the map highlights it in V1 and V5.</w:t>
      </w:r>
    </w:p>
    <w:p>
      <w:pPr>
        <w:spacing w:after="160" w:before="0" w:line="276"/>
        <w:jc w:val="both"/>
      </w:pPr>
      <w:r>
        <w:rPr>
          <w:rFonts w:ascii="Arial" w:cs="Arial" w:eastAsia="Arial" w:hAnsi="Arial"/>
          <w:b/>
          <w:bCs/>
          <w:color w:val="333333"/>
          <w:sz w:val="22"/>
          <w:szCs w:val="22"/>
        </w:rPr>
        <w:t xml:space="preserve">Zone 3 – Punchline (Bottom Row): </w:t>
      </w:r>
      <w:r>
        <w:rPr>
          <w:rFonts w:ascii="Arial" w:cs="Arial" w:eastAsia="Arial" w:hAnsi="Arial"/>
          <w:color w:val="333333"/>
          <w:sz w:val="22"/>
          <w:szCs w:val="22"/>
        </w:rPr>
        <w:t xml:space="preserve">The connected scatterplot (V5) occupies the left half with an annotated GDP threshold line. The small multiples area chart (V6) occupies the right half. This zone delivers the analytical conclusions: the threshold beyond which economies start saving lives, and whether regional inequality is narrowing or persisting.</w:t>
      </w:r>
    </w:p>
    <w:p>
      <w:pPr>
        <w:pStyle w:val="Heading2"/>
        <w:spacing w:after="160" w:before="280"/>
      </w:pPr>
      <w:r>
        <w:rPr>
          <w:rFonts w:ascii="Arial" w:cs="Arial" w:eastAsia="Arial" w:hAnsi="Arial"/>
          <w:b/>
          <w:bCs/>
          <w:color w:val="1F4E79"/>
          <w:sz w:val="24"/>
          <w:szCs w:val="24"/>
        </w:rPr>
        <w:t xml:space="preserve">5.2 Visual Consistency</w:t>
      </w:r>
    </w:p>
    <w:p>
      <w:pPr>
        <w:spacing w:after="160" w:before="0" w:line="276"/>
        <w:jc w:val="both"/>
      </w:pPr>
      <w:r>
        <w:rPr>
          <w:rFonts w:ascii="Arial" w:cs="Arial" w:eastAsia="Arial" w:hAnsi="Arial"/>
          <w:b w:val="false"/>
          <w:bCs w:val="false"/>
          <w:i w:val="false"/>
          <w:iCs w:val="false"/>
          <w:color w:val="333333"/>
          <w:sz w:val="22"/>
          <w:szCs w:val="22"/>
        </w:rPr>
        <w:t xml:space="preserve">All six charts share a unified colour palette derived from a single categorical scheme (region-based) and a single sequential scheme (for quantitative health metrics). Typography uses a consistent sans-serif font at uniform sizes for axis labels, titles, and tooltips. Background colours are neutral to maximise the data-ink ratio. These decisions follow Shaffer’s Clean principle and Cole Nussbaumer’s Aesthetics concept: visual consistency reduces cognitive load and allows the viewer to focus on the data rather than the decoration.</w:t>
      </w:r>
    </w:p>
    <w:p>
      <w:pPr>
        <w:pStyle w:val="Heading1"/>
        <w:spacing w:after="200" w:before="360"/>
      </w:pPr>
      <w:r>
        <w:rPr>
          <w:rFonts w:ascii="Arial" w:cs="Arial" w:eastAsia="Arial" w:hAnsi="Arial"/>
          <w:b/>
          <w:bCs/>
          <w:color w:val="1F4E79"/>
          <w:sz w:val="28"/>
          <w:szCs w:val="28"/>
        </w:rPr>
        <w:t xml:space="preserve">6. Interactivity Design</w:t>
      </w:r>
    </w:p>
    <w:p>
      <w:pPr>
        <w:spacing w:after="160" w:before="0" w:line="276"/>
        <w:jc w:val="both"/>
      </w:pPr>
      <w:r>
        <w:rPr>
          <w:rFonts w:ascii="Arial" w:cs="Arial" w:eastAsia="Arial" w:hAnsi="Arial"/>
          <w:b w:val="false"/>
          <w:bCs w:val="false"/>
          <w:i w:val="false"/>
          <w:iCs w:val="false"/>
          <w:color w:val="333333"/>
          <w:sz w:val="22"/>
          <w:szCs w:val="22"/>
        </w:rPr>
        <w:t xml:space="preserve">The dashboard implements all five interactivity requirements specified in Section 3.5 of the project specification. Each interaction technique is justified by its role in the analytical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40" w:line="240"/>
              <w:jc w:val="left"/>
            </w:pPr>
            <w:r>
              <w:rPr>
                <w:rFonts w:ascii="Arial" w:cs="Arial" w:eastAsia="Arial" w:hAnsi="Arial"/>
                <w:b/>
                <w:bCs/>
                <w:color w:val="FFFFFF"/>
                <w:sz w:val="19"/>
                <w:szCs w:val="19"/>
              </w:rPr>
              <w:t xml:space="preserve">Interaction</w:t>
            </w:r>
          </w:p>
        </w:tc>
        <w:tc>
          <w:tcPr>
            <w:tcW w:type="dxa" w:w="341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40" w:line="240"/>
              <w:jc w:val="left"/>
            </w:pPr>
            <w:r>
              <w:rPr>
                <w:rFonts w:ascii="Arial" w:cs="Arial" w:eastAsia="Arial" w:hAnsi="Arial"/>
                <w:b/>
                <w:bCs/>
                <w:color w:val="FFFFFF"/>
                <w:sz w:val="19"/>
                <w:szCs w:val="19"/>
              </w:rPr>
              <w:t xml:space="preserve">Implementation</w:t>
            </w:r>
          </w:p>
        </w:tc>
        <w:tc>
          <w:tcPr>
            <w:tcW w:type="dxa" w:w="341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40" w:line="240"/>
              <w:jc w:val="left"/>
            </w:pPr>
            <w:r>
              <w:rPr>
                <w:rFonts w:ascii="Arial" w:cs="Arial" w:eastAsia="Arial" w:hAnsi="Arial"/>
                <w:b/>
                <w:bCs/>
                <w:color w:val="FFFFFF"/>
                <w:sz w:val="19"/>
                <w:szCs w:val="19"/>
              </w:rPr>
              <w:t xml:space="preserve">Justification</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after="40" w:line="240"/>
              <w:jc w:val="left"/>
            </w:pPr>
            <w:r>
              <w:rPr>
                <w:rFonts w:ascii="Arial" w:cs="Arial" w:eastAsia="Arial" w:hAnsi="Arial"/>
                <w:b/>
                <w:bCs/>
                <w:color w:val="333333"/>
                <w:sz w:val="19"/>
                <w:szCs w:val="19"/>
              </w:rPr>
              <w:t xml:space="preserve">Hover Tooltips</w:t>
            </w:r>
          </w:p>
        </w:tc>
        <w:tc>
          <w:tcPr>
            <w:tcW w:type="dxa" w:w="3413"/>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All six charts display contextual tooltips on mouseover showing the country name, year, and exact values of plotted variables.</w:t>
            </w:r>
          </w:p>
        </w:tc>
        <w:tc>
          <w:tcPr>
            <w:tcW w:type="dxa" w:w="3413"/>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Tooltips implement Shneiderman’s “details on demand” principle. They avoid cluttering the visual with labels while ensuring no information is lost.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bCs/>
                <w:color w:val="333333"/>
                <w:sz w:val="19"/>
                <w:szCs w:val="19"/>
              </w:rPr>
              <w:t xml:space="preserve">Filtering</w:t>
            </w:r>
          </w:p>
        </w:tc>
        <w:tc>
          <w:tcPr>
            <w:tcW w:type="dxa" w:w="34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Global controls in the header bar: year range slider, OECD/OPEC/All toggle, and region dropdown. V3 additionally has two year-point selectors.</w:t>
            </w:r>
          </w:p>
        </w:tc>
        <w:tc>
          <w:tcPr>
            <w:tcW w:type="dxa" w:w="34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Filtering supports Shneiderman’s “filter” step by letting users narrow the dataset to subsets of interest. This follows Cole Nussbaumer’s Affordances principle: controls make it obvious how to interact.</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after="40" w:line="240"/>
              <w:jc w:val="left"/>
            </w:pPr>
            <w:r>
              <w:rPr>
                <w:rFonts w:ascii="Arial" w:cs="Arial" w:eastAsia="Arial" w:hAnsi="Arial"/>
                <w:b/>
                <w:bCs/>
                <w:color w:val="333333"/>
                <w:sz w:val="19"/>
                <w:szCs w:val="19"/>
              </w:rPr>
              <w:t xml:space="preserve">Zoom / Pan</w:t>
            </w:r>
          </w:p>
        </w:tc>
        <w:tc>
          <w:tcPr>
            <w:tcW w:type="dxa" w:w="3413"/>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The choropleth map (V4) supports mouse-wheel zoom and click-drag panning. The sunburst (V2) supports click-to-zoom into sub-hierarchies.</w:t>
            </w:r>
          </w:p>
        </w:tc>
        <w:tc>
          <w:tcPr>
            <w:tcW w:type="dxa" w:w="3413"/>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Zooming satisfies the “zoom” step of the information-seeking mantra. Geographic exploration requires spatial navigation that fixed views cannot provide.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bCs/>
                <w:color w:val="333333"/>
                <w:sz w:val="19"/>
                <w:szCs w:val="19"/>
              </w:rPr>
              <w:t xml:space="preserve">Linked Interactions</w:t>
            </w:r>
          </w:p>
        </w:tc>
        <w:tc>
          <w:tcPr>
            <w:tcW w:type="dxa" w:w="34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Clicking a country in V2 (sunburst) or V4 (map) highlights that country across V1 (bubble) and V5 (connected scatter). The year slider updates all charts simultaneously.</w:t>
            </w:r>
          </w:p>
        </w:tc>
        <w:tc>
          <w:tcPr>
            <w:tcW w:type="dxa" w:w="34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Brushing and linking is identified in Lecture 7 as a fundamental interaction technique. Cross-chart coordination enables multi-perspective analysis of the same data point without context switching.</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after="40" w:line="240"/>
              <w:jc w:val="left"/>
            </w:pPr>
            <w:r>
              <w:rPr>
                <w:rFonts w:ascii="Arial" w:cs="Arial" w:eastAsia="Arial" w:hAnsi="Arial"/>
                <w:b/>
                <w:bCs/>
                <w:color w:val="333333"/>
                <w:sz w:val="19"/>
                <w:szCs w:val="19"/>
              </w:rPr>
              <w:t xml:space="preserve">Animation</w:t>
            </w:r>
          </w:p>
        </w:tc>
        <w:tc>
          <w:tcPr>
            <w:tcW w:type="dxa" w:w="3413"/>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V1 (bubble chart) animates through years 1960–2016 with play, pause, and scrub controls. Bubble transitions use smooth interpolation.</w:t>
            </w:r>
          </w:p>
        </w:tc>
        <w:tc>
          <w:tcPr>
            <w:tcW w:type="dxa" w:w="3413"/>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after="40" w:line="240"/>
              <w:jc w:val="left"/>
            </w:pPr>
            <w:r>
              <w:rPr>
                <w:rFonts w:ascii="Arial" w:cs="Arial" w:eastAsia="Arial" w:hAnsi="Arial"/>
                <w:b w:val="false"/>
                <w:bCs w:val="false"/>
                <w:color w:val="333333"/>
                <w:sz w:val="19"/>
                <w:szCs w:val="19"/>
              </w:rPr>
              <w:t xml:space="preserve">The animation is driven by temporal data as required. It follows Tversky’s Congruence Principle: changes in position correspond to changes in GDP and life expectancy over real time. Interactive controls ensure the animation is exploratory, not purely decorative.</w:t>
            </w:r>
          </w:p>
        </w:tc>
      </w:tr>
    </w:tbl>
    <w:p>
      <w:r>
        <w:br w:type="page"/>
      </w:r>
    </w:p>
    <w:p>
      <w:pPr>
        <w:pStyle w:val="Heading1"/>
        <w:spacing w:after="200" w:before="360"/>
      </w:pPr>
      <w:r>
        <w:rPr>
          <w:rFonts w:ascii="Arial" w:cs="Arial" w:eastAsia="Arial" w:hAnsi="Arial"/>
          <w:b/>
          <w:bCs/>
          <w:color w:val="1F4E79"/>
          <w:sz w:val="28"/>
          <w:szCs w:val="28"/>
        </w:rPr>
        <w:t xml:space="preserve">7. Visualization Design Principles</w:t>
      </w:r>
    </w:p>
    <w:p>
      <w:pPr>
        <w:spacing w:after="160" w:before="0" w:line="276"/>
        <w:jc w:val="both"/>
      </w:pPr>
      <w:r>
        <w:rPr>
          <w:rFonts w:ascii="Arial" w:cs="Arial" w:eastAsia="Arial" w:hAnsi="Arial"/>
          <w:b w:val="false"/>
          <w:bCs w:val="false"/>
          <w:i w:val="false"/>
          <w:iCs w:val="false"/>
          <w:color w:val="333333"/>
          <w:sz w:val="22"/>
          <w:szCs w:val="22"/>
        </w:rPr>
        <w:t xml:space="preserve">The dashboard design is guided by two complementary frameworks from the course: Shaffer’s 4Cs and Cole Nussbaumer’s 4As.</w:t>
      </w:r>
    </w:p>
    <w:p>
      <w:pPr>
        <w:pStyle w:val="Heading2"/>
        <w:spacing w:after="160" w:before="280"/>
      </w:pPr>
      <w:r>
        <w:rPr>
          <w:rFonts w:ascii="Arial" w:cs="Arial" w:eastAsia="Arial" w:hAnsi="Arial"/>
          <w:b/>
          <w:bCs/>
          <w:color w:val="1F4E79"/>
          <w:sz w:val="24"/>
          <w:szCs w:val="24"/>
        </w:rPr>
        <w:t xml:space="preserve">7.1 Shaffer’s 4Cs</w:t>
      </w:r>
    </w:p>
    <w:p>
      <w:pPr>
        <w:spacing w:after="160" w:before="0" w:line="276"/>
        <w:jc w:val="both"/>
      </w:pPr>
      <w:r>
        <w:rPr>
          <w:rFonts w:ascii="Arial" w:cs="Arial" w:eastAsia="Arial" w:hAnsi="Arial"/>
          <w:b/>
          <w:bCs/>
          <w:color w:val="1F4E79"/>
          <w:sz w:val="22"/>
          <w:szCs w:val="22"/>
        </w:rPr>
        <w:t xml:space="preserve">Clear: </w:t>
      </w:r>
      <w:r>
        <w:rPr>
          <w:rFonts w:ascii="Arial" w:cs="Arial" w:eastAsia="Arial" w:hAnsi="Arial"/>
          <w:color w:val="333333"/>
          <w:sz w:val="22"/>
          <w:szCs w:val="22"/>
        </w:rPr>
        <w:t xml:space="preserve">Each visualization addresses one or two specific analytical questions. Titles and annotations are written in plain language. The audience (public health researchers and SDG stakeholders) can immediately understand what each chart shows without requiring a legend lookup.</w:t>
      </w:r>
    </w:p>
    <w:p>
      <w:pPr>
        <w:spacing w:after="160" w:before="0" w:line="276"/>
        <w:jc w:val="both"/>
      </w:pPr>
      <w:r>
        <w:rPr>
          <w:rFonts w:ascii="Arial" w:cs="Arial" w:eastAsia="Arial" w:hAnsi="Arial"/>
          <w:b/>
          <w:bCs/>
          <w:color w:val="1F4E79"/>
          <w:sz w:val="22"/>
          <w:szCs w:val="22"/>
        </w:rPr>
        <w:t xml:space="preserve">Clean: </w:t>
      </w:r>
      <w:r>
        <w:rPr>
          <w:rFonts w:ascii="Arial" w:cs="Arial" w:eastAsia="Arial" w:hAnsi="Arial"/>
          <w:color w:val="333333"/>
          <w:sz w:val="22"/>
          <w:szCs w:val="22"/>
        </w:rPr>
        <w:t xml:space="preserve">Axis labels, gridlines, and colour legends are consistent across all charts. Gridlines are muted to avoid visual noise. Chart types are appropriately matched to data types (position for quantitative, hue for nominal, saturation for sequential). No 3D effects, gratuitous gradients, or chartjunk are used.</w:t>
      </w:r>
    </w:p>
    <w:p>
      <w:pPr>
        <w:spacing w:after="160" w:before="0" w:line="276"/>
        <w:jc w:val="both"/>
      </w:pPr>
      <w:r>
        <w:rPr>
          <w:rFonts w:ascii="Arial" w:cs="Arial" w:eastAsia="Arial" w:hAnsi="Arial"/>
          <w:b/>
          <w:bCs/>
          <w:color w:val="1F4E79"/>
          <w:sz w:val="22"/>
          <w:szCs w:val="22"/>
        </w:rPr>
        <w:t xml:space="preserve">Concise: </w:t>
      </w:r>
      <w:r>
        <w:rPr>
          <w:rFonts w:ascii="Arial" w:cs="Arial" w:eastAsia="Arial" w:hAnsi="Arial"/>
          <w:color w:val="333333"/>
          <w:sz w:val="22"/>
          <w:szCs w:val="22"/>
        </w:rPr>
        <w:t xml:space="preserve">The dashboard presents six focused charts rather than attempting to show every available variable. Tooltips supply detail on demand without cluttering the primary view. Summary statistics are embedded in chart annotations rather than in separate text blocks.</w:t>
      </w:r>
    </w:p>
    <w:p>
      <w:pPr>
        <w:spacing w:after="160" w:before="0" w:line="276"/>
        <w:jc w:val="both"/>
      </w:pPr>
      <w:r>
        <w:rPr>
          <w:rFonts w:ascii="Arial" w:cs="Arial" w:eastAsia="Arial" w:hAnsi="Arial"/>
          <w:b/>
          <w:bCs/>
          <w:color w:val="1F4E79"/>
          <w:sz w:val="22"/>
          <w:szCs w:val="22"/>
        </w:rPr>
        <w:t xml:space="preserve">Captivating: </w:t>
      </w:r>
      <w:r>
        <w:rPr>
          <w:rFonts w:ascii="Arial" w:cs="Arial" w:eastAsia="Arial" w:hAnsi="Arial"/>
          <w:color w:val="333333"/>
          <w:sz w:val="22"/>
          <w:szCs w:val="22"/>
        </w:rPr>
        <w:t xml:space="preserve">The animated bubble chart provides a compelling visual hook. The sunburst chart invites hierarchical exploration. The choropleth map leverages the innate human affinity for geographic representations. Together, the dashboard tells a story that progresses from global overview to specific insight.</w:t>
      </w:r>
    </w:p>
    <w:p>
      <w:pPr>
        <w:pStyle w:val="Heading2"/>
        <w:spacing w:after="160" w:before="280"/>
      </w:pPr>
      <w:r>
        <w:rPr>
          <w:rFonts w:ascii="Arial" w:cs="Arial" w:eastAsia="Arial" w:hAnsi="Arial"/>
          <w:b/>
          <w:bCs/>
          <w:color w:val="1F4E79"/>
          <w:sz w:val="24"/>
          <w:szCs w:val="24"/>
        </w:rPr>
        <w:t xml:space="preserve">7.2 Cole Nussbaumer’s 4As</w:t>
      </w:r>
    </w:p>
    <w:p>
      <w:pPr>
        <w:spacing w:after="160" w:before="0" w:line="276"/>
        <w:jc w:val="both"/>
      </w:pPr>
      <w:r>
        <w:rPr>
          <w:rFonts w:ascii="Arial" w:cs="Arial" w:eastAsia="Arial" w:hAnsi="Arial"/>
          <w:b/>
          <w:bCs/>
          <w:color w:val="1F4E79"/>
          <w:sz w:val="22"/>
          <w:szCs w:val="22"/>
        </w:rPr>
        <w:t xml:space="preserve">Affordances: </w:t>
      </w:r>
      <w:r>
        <w:rPr>
          <w:rFonts w:ascii="Arial" w:cs="Arial" w:eastAsia="Arial" w:hAnsi="Arial"/>
          <w:color w:val="333333"/>
          <w:sz w:val="22"/>
          <w:szCs w:val="22"/>
        </w:rPr>
        <w:t xml:space="preserve">Interactive controls (play button, sliders, dropdowns) are clearly labelled and positioned in a persistent header bar. Hover cursor changes signal clickable elements. The sunburst’s click-to-zoom behaviour is indicated by a subtle hover highlight.</w:t>
      </w:r>
    </w:p>
    <w:p>
      <w:pPr>
        <w:spacing w:after="160" w:before="0" w:line="276"/>
        <w:jc w:val="both"/>
      </w:pPr>
      <w:r>
        <w:rPr>
          <w:rFonts w:ascii="Arial" w:cs="Arial" w:eastAsia="Arial" w:hAnsi="Arial"/>
          <w:b/>
          <w:bCs/>
          <w:color w:val="1F4E79"/>
          <w:sz w:val="22"/>
          <w:szCs w:val="22"/>
        </w:rPr>
        <w:t xml:space="preserve">Accessibility: </w:t>
      </w:r>
      <w:r>
        <w:rPr>
          <w:rFonts w:ascii="Arial" w:cs="Arial" w:eastAsia="Arial" w:hAnsi="Arial"/>
          <w:color w:val="333333"/>
          <w:sz w:val="22"/>
          <w:szCs w:val="22"/>
        </w:rPr>
        <w:t xml:space="preserve">Colour palettes are chosen from colourblind-safe schemes (e.g. ColorBrewer). Sequential scales use lightness variation rather than relying solely on red-green distinction. All chart elements have text alternatives accessible via tooltips. Font sizes meet minimum readability thresholds.</w:t>
      </w:r>
    </w:p>
    <w:p>
      <w:pPr>
        <w:spacing w:after="160" w:before="0" w:line="276"/>
        <w:jc w:val="both"/>
      </w:pPr>
      <w:r>
        <w:rPr>
          <w:rFonts w:ascii="Arial" w:cs="Arial" w:eastAsia="Arial" w:hAnsi="Arial"/>
          <w:b/>
          <w:bCs/>
          <w:color w:val="1F4E79"/>
          <w:sz w:val="22"/>
          <w:szCs w:val="22"/>
        </w:rPr>
        <w:t xml:space="preserve">Aesthetics: </w:t>
      </w:r>
      <w:r>
        <w:rPr>
          <w:rFonts w:ascii="Arial" w:cs="Arial" w:eastAsia="Arial" w:hAnsi="Arial"/>
          <w:color w:val="333333"/>
          <w:sz w:val="22"/>
          <w:szCs w:val="22"/>
        </w:rPr>
        <w:t xml:space="preserve">Consistent alignment, generous white space, and a cohesive colour system create a professional, uncluttered appearance. The layout leverages Gestalt principles of proximity (related charts are grouped in rows) and similarity (consistent colour encoding across charts) to guide the viewer’s attention naturally.</w:t>
      </w:r>
    </w:p>
    <w:p>
      <w:pPr>
        <w:spacing w:after="160" w:before="0" w:line="276"/>
        <w:jc w:val="both"/>
      </w:pPr>
      <w:r>
        <w:rPr>
          <w:rFonts w:ascii="Arial" w:cs="Arial" w:eastAsia="Arial" w:hAnsi="Arial"/>
          <w:b/>
          <w:bCs/>
          <w:color w:val="1F4E79"/>
          <w:sz w:val="22"/>
          <w:szCs w:val="22"/>
        </w:rPr>
        <w:t xml:space="preserve">Acceptance: </w:t>
      </w:r>
      <w:r>
        <w:rPr>
          <w:rFonts w:ascii="Arial" w:cs="Arial" w:eastAsia="Arial" w:hAnsi="Arial"/>
          <w:color w:val="333333"/>
          <w:sz w:val="22"/>
          <w:szCs w:val="22"/>
        </w:rPr>
        <w:t xml:space="preserve">The dashboard presents data objectively without prescribing conclusions. The side-by-side comparison of OECD and OPEC outcomes allows viewers to draw their own inferences. Annotations highlight patterns but phrase findings as observations rather than directives.</w:t>
      </w:r>
    </w:p>
    <w:p>
      <w:pPr>
        <w:pStyle w:val="Heading2"/>
        <w:spacing w:after="160" w:before="280"/>
      </w:pPr>
      <w:r>
        <w:rPr>
          <w:rFonts w:ascii="Arial" w:cs="Arial" w:eastAsia="Arial" w:hAnsi="Arial"/>
          <w:b/>
          <w:bCs/>
          <w:color w:val="1F4E79"/>
          <w:sz w:val="24"/>
          <w:szCs w:val="24"/>
        </w:rPr>
        <w:t xml:space="preserve">7.3 Additional Principles Applied</w:t>
      </w:r>
    </w:p>
    <w:p>
      <w:pPr>
        <w:spacing w:after="160" w:before="0" w:line="276"/>
        <w:jc w:val="both"/>
      </w:pPr>
      <w:r>
        <w:rPr>
          <w:rFonts w:ascii="Arial" w:cs="Arial" w:eastAsia="Arial" w:hAnsi="Arial"/>
          <w:b/>
          <w:bCs/>
          <w:color w:val="333333"/>
          <w:sz w:val="22"/>
          <w:szCs w:val="22"/>
        </w:rPr>
        <w:t xml:space="preserve">Tufte’s Data-Ink Ratio: </w:t>
      </w:r>
      <w:r>
        <w:rPr>
          <w:rFonts w:ascii="Arial" w:cs="Arial" w:eastAsia="Arial" w:hAnsi="Arial"/>
          <w:color w:val="333333"/>
          <w:sz w:val="22"/>
          <w:szCs w:val="22"/>
        </w:rPr>
        <w:t xml:space="preserve">Non-data elements (borders, background fills, decorative elements) are minimised. Every visual mark encodes data. The slope chart (V3) is a particularly ink-efficient design where every line segment carries meaning.</w:t>
      </w:r>
    </w:p>
    <w:p>
      <w:pPr>
        <w:spacing w:after="160" w:before="0" w:line="276"/>
        <w:jc w:val="both"/>
      </w:pPr>
      <w:r>
        <w:rPr>
          <w:rFonts w:ascii="Arial" w:cs="Arial" w:eastAsia="Arial" w:hAnsi="Arial"/>
          <w:b/>
          <w:bCs/>
          <w:color w:val="333333"/>
          <w:sz w:val="22"/>
          <w:szCs w:val="22"/>
        </w:rPr>
        <w:t xml:space="preserve">Mackinlay’s Expressiveness and Effectiveness: </w:t>
      </w:r>
      <w:r>
        <w:rPr>
          <w:rFonts w:ascii="Arial" w:cs="Arial" w:eastAsia="Arial" w:hAnsi="Arial"/>
          <w:color w:val="333333"/>
          <w:sz w:val="22"/>
          <w:szCs w:val="22"/>
        </w:rPr>
        <w:t xml:space="preserve">Visual encodings are matched to data types following Mackinlay’s ranking. Quantitative variables use position (rank 1), size (rank 3), and saturation. Nominal categories use colour hue. Ordinal tiers use sequential colour. No encoding channel is used in a way that would imply false orderings or magnitudes.</w:t>
      </w:r>
    </w:p>
    <w:p>
      <w:pPr>
        <w:spacing w:after="160" w:before="0" w:line="276"/>
        <w:jc w:val="both"/>
      </w:pPr>
      <w:r>
        <w:rPr>
          <w:rFonts w:ascii="Arial" w:cs="Arial" w:eastAsia="Arial" w:hAnsi="Arial"/>
          <w:b/>
          <w:bCs/>
          <w:color w:val="333333"/>
          <w:sz w:val="22"/>
          <w:szCs w:val="22"/>
        </w:rPr>
        <w:t xml:space="preserve">Bertin’s Visual Variables: </w:t>
      </w:r>
      <w:r>
        <w:rPr>
          <w:rFonts w:ascii="Arial" w:cs="Arial" w:eastAsia="Arial" w:hAnsi="Arial"/>
          <w:color w:val="333333"/>
          <w:sz w:val="22"/>
          <w:szCs w:val="22"/>
        </w:rPr>
        <w:t xml:space="preserve">The six charts collectively employ position, size, colour value, colour hue, shape (geographic boundaries), and texture (area fill), demonstrating a considered use of Bertin’s retinal variables appropriate to each data type.</w:t>
      </w:r>
    </w:p>
    <w:p>
      <w:pPr>
        <w:pStyle w:val="Heading1"/>
        <w:spacing w:after="200" w:before="360"/>
      </w:pPr>
      <w:r>
        <w:rPr>
          <w:rFonts w:ascii="Arial" w:cs="Arial" w:eastAsia="Arial" w:hAnsi="Arial"/>
          <w:b/>
          <w:bCs/>
          <w:color w:val="1F4E79"/>
          <w:sz w:val="28"/>
          <w:szCs w:val="28"/>
        </w:rPr>
        <w:t xml:space="preserve">8. Tools and Technologies</w:t>
      </w:r>
    </w:p>
    <w:p>
      <w:pPr>
        <w:spacing w:after="160" w:before="0" w:line="276"/>
        <w:jc w:val="both"/>
      </w:pPr>
      <w:r>
        <w:rPr>
          <w:rFonts w:ascii="Arial" w:cs="Arial" w:eastAsia="Arial" w:hAnsi="Arial"/>
          <w:b/>
          <w:bCs/>
          <w:color w:val="333333"/>
          <w:sz w:val="22"/>
          <w:szCs w:val="22"/>
        </w:rPr>
        <w:t xml:space="preserve">D3.js (v7): </w:t>
      </w:r>
      <w:r>
        <w:rPr>
          <w:rFonts w:ascii="Arial" w:cs="Arial" w:eastAsia="Arial" w:hAnsi="Arial"/>
          <w:color w:val="333333"/>
          <w:sz w:val="22"/>
          <w:szCs w:val="22"/>
        </w:rPr>
        <w:t xml:space="preserve">Primary visualization library for all six charts and the coordinated dashboard. D3’s data-binding model, transition system, and geographic projection utilities (d3-geo) are essential for implementing the animated bubble chart, zoomable sunburst, and choropleth map.</w:t>
      </w:r>
    </w:p>
    <w:p>
      <w:pPr>
        <w:spacing w:after="160" w:before="0" w:line="276"/>
        <w:jc w:val="both"/>
      </w:pPr>
      <w:r>
        <w:rPr>
          <w:rFonts w:ascii="Arial" w:cs="Arial" w:eastAsia="Arial" w:hAnsi="Arial"/>
          <w:b/>
          <w:bCs/>
          <w:color w:val="333333"/>
          <w:sz w:val="22"/>
          <w:szCs w:val="22"/>
        </w:rPr>
        <w:t xml:space="preserve">HTML / CSS / JavaScript: </w:t>
      </w:r>
      <w:r>
        <w:rPr>
          <w:rFonts w:ascii="Arial" w:cs="Arial" w:eastAsia="Arial" w:hAnsi="Arial"/>
          <w:color w:val="333333"/>
          <w:sz w:val="22"/>
          <w:szCs w:val="22"/>
        </w:rPr>
        <w:t xml:space="preserve">For page structure, responsive layout (CSS Grid for the three-zone dashboard), styling, and event handling for user interactions (sliders, dropdowns, play/pause controls).</w:t>
      </w:r>
    </w:p>
    <w:p>
      <w:pPr>
        <w:spacing w:after="160" w:before="0" w:line="276"/>
        <w:jc w:val="both"/>
      </w:pPr>
      <w:r>
        <w:rPr>
          <w:rFonts w:ascii="Arial" w:cs="Arial" w:eastAsia="Arial" w:hAnsi="Arial"/>
          <w:b/>
          <w:bCs/>
          <w:color w:val="333333"/>
          <w:sz w:val="22"/>
          <w:szCs w:val="22"/>
        </w:rPr>
        <w:t xml:space="preserve">Python (pandas): </w:t>
      </w:r>
      <w:r>
        <w:rPr>
          <w:rFonts w:ascii="Arial" w:cs="Arial" w:eastAsia="Arial" w:hAnsi="Arial"/>
          <w:color w:val="333333"/>
          <w:sz w:val="22"/>
          <w:szCs w:val="22"/>
        </w:rPr>
        <w:t xml:space="preserve">For data preprocessing, including joining the primary and supplementary datasets, deriving categorical tiers (GDP tier, mortality tier, economic bloc), handling missing values, and exporting clean JSON files for D3 consumption.</w:t>
      </w:r>
    </w:p>
    <w:p>
      <w:pPr>
        <w:spacing w:after="160" w:before="0" w:line="276"/>
        <w:jc w:val="both"/>
      </w:pPr>
      <w:r>
        <w:rPr>
          <w:rFonts w:ascii="Arial" w:cs="Arial" w:eastAsia="Arial" w:hAnsi="Arial"/>
          <w:b/>
          <w:bCs/>
          <w:color w:val="333333"/>
          <w:sz w:val="22"/>
          <w:szCs w:val="22"/>
        </w:rPr>
        <w:t xml:space="preserve">GitHub: </w:t>
      </w:r>
      <w:r>
        <w:rPr>
          <w:rFonts w:ascii="Arial" w:cs="Arial" w:eastAsia="Arial" w:hAnsi="Arial"/>
          <w:color w:val="333333"/>
          <w:sz w:val="22"/>
          <w:szCs w:val="22"/>
        </w:rPr>
        <w:t xml:space="preserve">For version control, collaborative development, and tracking individual contributions as recommended by the project specification.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spacing w:after="0"/>
    </w:pPr>
    <w:r>
      <w:rPr>
        <w:rFonts w:ascii="Arial" w:cs="Arial" w:eastAsia="Arial" w:hAnsi="Arial"/>
        <w:color w:val="888888"/>
        <w:sz w:val="18"/>
        <w:szCs w:val="18"/>
      </w:rPr>
      <w:t xml:space="preserve">CDS 6324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1F4E79"/>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c9gyzidmfxsq2lpulmcb" Type="http://schemas.openxmlformats.org/officeDocument/2006/relationships/hyperlink" Target="https://www.kaggle.com/datasets/utkarshx27/health-and-income-outcomes" TargetMode="External"/><Relationship Id="rIdpuljfxclysacmkv_z5svm" Type="http://schemas.openxmlformats.org/officeDocument/2006/relationships/hyperlink" Target="https://www.kaggle.com/datasets/miguelroca/global-health-nutrition-mortality-economic-data"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2026-06-11T07:40:37.603Z</dcterms:created>
  <dcterms:modified xsi:type="dcterms:W3CDTF">2026-06-11T07:40:37.603Z</dcterms:modified>
</cp:coreProperties>
</file>

<file path=docProps/custom.xml><?xml version="1.0" encoding="utf-8"?>
<Properties xmlns="http://schemas.openxmlformats.org/officeDocument/2006/custom-properties" xmlns:vt="http://schemas.openxmlformats.org/officeDocument/2006/docPropsVTypes"/>
</file>