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6"/>
        </w:rPr>
        <w:t>École d'Ingénierie — Filière Intelligence Artificielle &amp; Data (IAD)</w:t>
      </w:r>
    </w:p>
    <w:p>
      <w:pPr>
        <w:jc w:val="center"/>
      </w:pPr>
      <w:r>
        <w:rPr>
          <w:b w:val="0"/>
          <w:i w:val="0"/>
          <w:sz w:val="24"/>
        </w:rPr>
        <w:t>Projet de Fin d'Année — 4ème année</w:t>
      </w:r>
    </w:p>
    <w:p/>
    <w:p/>
    <w:p>
      <w:pPr>
        <w:jc w:val="center"/>
      </w:pPr>
      <w:r>
        <w:rPr>
          <w:b/>
          <w:i w:val="0"/>
          <w:color w:val="7B2D62"/>
          <w:sz w:val="68"/>
        </w:rPr>
        <w:t>DermaSense</w:t>
      </w:r>
    </w:p>
    <w:p>
      <w:pPr>
        <w:jc w:val="center"/>
      </w:pPr>
      <w:r>
        <w:rPr>
          <w:b w:val="0"/>
          <w:i w:val="0"/>
          <w:color w:val="C0567E"/>
          <w:sz w:val="28"/>
        </w:rPr>
        <w:t>Plateforme intelligente de recommandation de soins cosmétiques personnalisés</w:t>
      </w:r>
    </w:p>
    <w:p>
      <w:pPr>
        <w:jc w:val="center"/>
      </w:pPr>
      <w:r>
        <w:rPr>
          <w:b w:val="0"/>
          <w:i/>
          <w:sz w:val="22"/>
        </w:rPr>
        <w:t>Volet technique (IA &amp; Data) — Entrepreneuriat — Gestion de projet</w:t>
      </w:r>
    </w:p>
    <w:p/>
    <w:p/>
    <w:p/>
    <w:p>
      <w:pPr>
        <w:jc w:val="center"/>
      </w:pPr>
      <w:r>
        <w:rPr>
          <w:b/>
          <w:i w:val="0"/>
          <w:sz w:val="24"/>
        </w:rPr>
        <w:t>Réalisé par : Maryam Farhoune</w:t>
      </w:r>
    </w:p>
    <w:p>
      <w:pPr>
        <w:jc w:val="center"/>
      </w:pPr>
      <w:r>
        <w:rPr>
          <w:b w:val="0"/>
          <w:i w:val="0"/>
          <w:sz w:val="22"/>
        </w:rPr>
        <w:t>Année universitaire : 2025/2026</w:t>
      </w:r>
    </w:p>
    <w:p>
      <w:pPr>
        <w:jc w:val="center"/>
      </w:pPr>
      <w:r>
        <w:rPr>
          <w:b w:val="0"/>
          <w:i/>
          <w:sz w:val="20"/>
        </w:rPr>
        <w:t>Soutenance interdisciplinaire : Projet (PFA), Entrepreneuriat, Gestion de projet</w:t>
      </w:r>
    </w:p>
    <w:p>
      <w:r>
        <w:br w:type="page"/>
      </w:r>
    </w:p>
    <w:p>
      <w:pPr>
        <w:pStyle w:val="Heading1"/>
      </w:pPr>
      <w:r>
        <w:t>Sommaire</w:t>
      </w:r>
    </w:p>
    <w:p>
      <w:pPr>
        <w:pStyle w:val="ListBullet"/>
      </w:pPr>
      <w:r>
        <w:t>Introduction générale</w:t>
      </w:r>
    </w:p>
    <w:p>
      <w:pPr>
        <w:pStyle w:val="ListBullet"/>
      </w:pPr>
      <w:r>
        <w:t>Chapitre 1 — Volet technique : conception du moteur IA de DermaSense</w:t>
      </w:r>
    </w:p>
    <w:p>
      <w:pPr>
        <w:pStyle w:val="ListBullet"/>
      </w:pPr>
      <w:r>
        <w:t>Chapitre 2 — Volet entrepreneurial : étude de marché et faisabilité</w:t>
      </w:r>
    </w:p>
    <w:p>
      <w:pPr>
        <w:pStyle w:val="ListBullet"/>
      </w:pPr>
      <w:r>
        <w:t>Chapitre 3 — Volet gestion de projet : planification WBS, PERT et Gantt</w:t>
      </w:r>
    </w:p>
    <w:p>
      <w:pPr>
        <w:pStyle w:val="ListBullet"/>
      </w:pPr>
      <w:r>
        <w:t>Conclusion générale</w:t>
      </w:r>
    </w:p>
    <w:p>
      <w:pPr>
        <w:pStyle w:val="ListBullet"/>
      </w:pPr>
      <w:r>
        <w:t>Plan de la présentation PowerPoint de soutenance</w:t>
      </w:r>
    </w:p>
    <w:p>
      <w:pPr>
        <w:jc w:val="both"/>
      </w:pPr>
      <w:r>
        <w:rPr>
          <w:b w:val="0"/>
          <w:i/>
          <w:sz w:val="18"/>
        </w:rPr>
        <w:t>Remarque : un sommaire automatique paginé peut être inséré dans Word via Références → Table des matières.</w:t>
      </w:r>
    </w:p>
    <w:p>
      <w:r>
        <w:br w:type="page"/>
      </w:r>
    </w:p>
    <w:p>
      <w:pPr>
        <w:pStyle w:val="Heading1"/>
      </w:pPr>
      <w:r>
        <w:t>Introduction générale</w:t>
      </w:r>
    </w:p>
    <w:p>
      <w:pPr>
        <w:jc w:val="both"/>
      </w:pPr>
      <w:r>
        <w:rPr>
          <w:b w:val="0"/>
          <w:i w:val="0"/>
        </w:rPr>
        <w:t>Le marché mondial des cosmétiques connaît une transformation profonde portée par la personnalisation : les consommateurs ne recherchent plus un produit « universel », mais un soin adapté à leur peau, à leur âge et à leur budget. Au Maroc, l'essor du e-commerce et de la parapharmacie en ligne s'accompagne d'un paradoxe : l'offre n'a jamais été aussi abondante, et pourtant le consommateur n'a jamais été aussi désorienté. Face à des milliers de références aux compositions complexes, le choix d'un soin repose le plus souvent sur le marketing ou le bouche-à-oreille, avec un risque réel d'inadaptation, d'irritation cutanée et de gaspillage financier.</w:t>
      </w:r>
    </w:p>
    <w:p>
      <w:pPr>
        <w:jc w:val="both"/>
      </w:pPr>
      <w:r>
        <w:rPr>
          <w:b w:val="0"/>
          <w:i w:val="0"/>
        </w:rPr>
        <w:t>Le présent Projet de Fin d'Année propose une réponse à ce problème : DermaSense, une plateforme web qui exploite l'intelligence artificielle pour recommander à chaque utilisateur — selon son sexe, son âge, son type de peau et son budget — les produits de soin les plus compatibles, à partir de l'analyse automatique de leur composition en ingrédients. Le projet s'appuie sur le dataset public « Cosmetics » (1 472 produits de soin commercialisés par Sephora, 11 variables), enrichi d'une base clients construite selon une méthodologie de simulation documentée.</w:t>
      </w:r>
    </w:p>
    <w:p>
      <w:pPr>
        <w:jc w:val="both"/>
      </w:pPr>
      <w:r>
        <w:rPr>
          <w:b w:val="0"/>
          <w:i w:val="0"/>
        </w:rPr>
        <w:t>Ce rapport interdisciplinaire est structuré en trois chapitres cohérents autour de la même idée de produit. Le premier chapitre présente le volet technique : analyse exploratoire des données, prétraitement, comparaison de trois modèles de Machine Learning et analyse des performances par sous-groupes (femmes/hommes, tranches d'âge) incluant une discussion des biais. Le deuxième chapitre développe le volet entrepreneurial : analyses PESTEL, SWOT et cinq forces de Porter contextualisées au marché marocain, puis étude prévisionnelle de faisabilité technique, commerciale et financière en dirhams. Le troisième chapitre traite la gestion de projet : découpage WBS, réseau PERT avec chemin critique, calcul des marges et diagramme de Gantt. Une conclusion générale et un plan de soutenance PowerPoint clôturent le document.</w:t>
      </w:r>
    </w:p>
    <w:p>
      <w:r>
        <w:br w:type="page"/>
      </w:r>
    </w:p>
    <w:p>
      <w:pPr>
        <w:pStyle w:val="Heading1"/>
      </w:pPr>
      <w:r>
        <w:t>Chapitre 1 — Volet technique : conception du moteur IA de DermaSense</w:t>
      </w:r>
    </w:p>
    <w:p>
      <w:pPr>
        <w:pStyle w:val="Heading2"/>
      </w:pPr>
      <w:r>
        <w:t>1.1. Présentation du projet</w:t>
      </w:r>
    </w:p>
    <w:p>
      <w:pPr>
        <w:pStyle w:val="Heading3"/>
      </w:pPr>
      <w:r>
        <w:t>1.1.1. Problématique</w:t>
      </w:r>
    </w:p>
    <w:p>
      <w:pPr>
        <w:jc w:val="both"/>
      </w:pPr>
      <w:r>
        <w:rPr>
          <w:b/>
          <w:i/>
        </w:rPr>
        <w:t>Comment exploiter l'intelligence artificielle pour prédire la compatibilité d'un produit cosmétique avec un profil utilisateur (sexe, âge, type de peau, budget) à partir de sa composition en ingrédients, et recommander le soin optimal au meilleur rapport qualité/prix ?</w:t>
      </w:r>
    </w:p>
    <w:p>
      <w:pPr>
        <w:pStyle w:val="Heading3"/>
      </w:pPr>
      <w:r>
        <w:t>1.1.2. Objectifs</w:t>
      </w:r>
    </w:p>
    <w:p>
      <w:pPr>
        <w:pStyle w:val="ListBullet"/>
      </w:pPr>
      <w:r>
        <w:t>Analyser le dataset Cosmetics et en extraire les déterminants de la compatibilité cutanée des produits.</w:t>
      </w:r>
    </w:p>
    <w:p>
      <w:pPr>
        <w:pStyle w:val="ListBullet"/>
      </w:pPr>
      <w:r>
        <w:t>Construire un modèle prédictif de compatibilité « peau sensible » à partir des ingrédients (modèle A), capable d'étiqueter automatiquement de nouveaux produits.</w:t>
      </w:r>
    </w:p>
    <w:p>
      <w:pPr>
        <w:pStyle w:val="ListBullet"/>
      </w:pPr>
      <w:r>
        <w:t>Construire un modèle de prédiction de la satisfaction client (modèle B) intégrant le sexe et l'âge, cœur du moteur de recommandation.</w:t>
      </w:r>
    </w:p>
    <w:p>
      <w:pPr>
        <w:pStyle w:val="ListBullet"/>
      </w:pPr>
      <w:r>
        <w:t>Évaluer les modèles avec des métriques rigoureuses, y compris par sous-groupes (femmes vs hommes, tranches d'âge), et discuter les biais.</w:t>
      </w:r>
    </w:p>
    <w:p>
      <w:pPr>
        <w:pStyle w:val="ListBullet"/>
      </w:pPr>
      <w:r>
        <w:t>Intégrer le meilleur modèle dans une application web dotée d'une authentification (login/signup) collectant le profil utilisateur.</w:t>
      </w:r>
    </w:p>
    <w:p>
      <w:pPr>
        <w:pStyle w:val="Heading3"/>
      </w:pPr>
      <w:r>
        <w:t>1.1.3. Valeur ajoutée de l'IA</w:t>
      </w:r>
    </w:p>
    <w:p>
      <w:pPr>
        <w:jc w:val="both"/>
      </w:pPr>
      <w:r>
        <w:rPr>
          <w:b w:val="0"/>
          <w:i w:val="0"/>
        </w:rPr>
        <w:t>Sans IA, la correspondance produit-profil repose sur des règles manuelles incomplètes (étiquettes marketing). L'IA apporte trois gains décisifs : (i) la lecture automatique de la composition — la vectorisation TF-IDF des ingrédients permet de prédire la tolérance cutanée même pour des produits jamais étiquetés ; (ii) la personnalisation — le modèle apprend les interactions entre attributs du produit et profil du client (sexe, âge, type de peau, budget) ; (iii) l'amélioration continue — chaque retour utilisateur réentraîne le moteur et affine les recommandations.</w:t>
      </w:r>
    </w:p>
    <w:p>
      <w:pPr>
        <w:pStyle w:val="Heading2"/>
      </w:pPr>
      <w:r>
        <w:t>1.2. Présentation des données</w:t>
      </w:r>
    </w:p>
    <w:p>
      <w:pPr>
        <w:jc w:val="both"/>
      </w:pPr>
      <w:r>
        <w:rPr>
          <w:b w:val="0"/>
          <w:i w:val="0"/>
        </w:rPr>
        <w:t>Le dataset « Cosmetics » (source : Kaggle, extrait du catalogue Sephora) contient 1472 produits de soin décrits par 11 variables : la catégorie (Label), la marque (Brand, 116 marques), le nom, le prix (Price, en USD), la note moyenne des utilisateurs (Rank, de 0 à 5), la liste complète des ingrédients (texte), et cinq indicateurs binaires de compatibilité par type de peau (Combination, Dry, Normal, Oily, Sensitive). Le jeu ne comporte aucune valeur manquante (0 cellule vide) et aucun doublon strict.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28"/>
            <w:shd w:val="clear" w:fill="7B2D62"/>
          </w:tcPr>
          <w:p>
            <w:r/>
            <w:r>
              <w:rPr>
                <w:b/>
                <w:color w:val="FFFFFF"/>
                <w:sz w:val="19"/>
              </w:rPr>
              <w:t>Variable</w:t>
            </w:r>
          </w:p>
        </w:tc>
        <w:tc>
          <w:tcPr>
            <w:tcW w:type="dxa" w:w="1587"/>
            <w:shd w:val="clear" w:fill="7B2D62"/>
          </w:tcPr>
          <w:p>
            <w:r/>
            <w:r>
              <w:rPr>
                <w:b/>
                <w:color w:val="FFFFFF"/>
                <w:sz w:val="19"/>
              </w:rPr>
              <w:t>Type</w:t>
            </w:r>
          </w:p>
        </w:tc>
        <w:tc>
          <w:tcPr>
            <w:tcW w:type="dxa" w:w="3742"/>
            <w:shd w:val="clear" w:fill="7B2D62"/>
          </w:tcPr>
          <w:p>
            <w:r/>
            <w:r>
              <w:rPr>
                <w:b/>
                <w:color w:val="FFFFFF"/>
                <w:sz w:val="19"/>
              </w:rPr>
              <w:t>Description</w:t>
            </w:r>
          </w:p>
        </w:tc>
        <w:tc>
          <w:tcPr>
            <w:tcW w:type="dxa" w:w="1928"/>
            <w:shd w:val="clear" w:fill="7B2D62"/>
          </w:tcPr>
          <w:p>
            <w:r/>
            <w:r>
              <w:rPr>
                <w:b/>
                <w:color w:val="FFFFFF"/>
                <w:sz w:val="19"/>
              </w:rPr>
              <w:t>Rôle</w:t>
            </w:r>
          </w:p>
        </w:tc>
      </w:tr>
      <w:tr>
        <w:tc>
          <w:tcPr>
            <w:tcW w:type="dxa" w:w="1928"/>
          </w:tcPr>
          <w:p>
            <w:r/>
            <w:r>
              <w:rPr>
                <w:sz w:val="19"/>
              </w:rPr>
              <w:t>Label</w:t>
            </w:r>
          </w:p>
        </w:tc>
        <w:tc>
          <w:tcPr>
            <w:tcW w:type="dxa" w:w="1587"/>
          </w:tcPr>
          <w:p>
            <w:r/>
            <w:r>
              <w:rPr>
                <w:sz w:val="19"/>
              </w:rPr>
              <w:t>Catégorielle (6)</w:t>
            </w:r>
          </w:p>
        </w:tc>
        <w:tc>
          <w:tcPr>
            <w:tcW w:type="dxa" w:w="3742"/>
          </w:tcPr>
          <w:p>
            <w:r/>
            <w:r>
              <w:rPr>
                <w:sz w:val="19"/>
              </w:rPr>
              <w:t>Catégorie du produit (Moisturizer, Cleanser…)</w:t>
            </w:r>
          </w:p>
        </w:tc>
        <w:tc>
          <w:tcPr>
            <w:tcW w:type="dxa" w:w="1928"/>
          </w:tcPr>
          <w:p>
            <w:r/>
            <w:r>
              <w:rPr>
                <w:sz w:val="19"/>
              </w:rPr>
              <w:t>Explicative</w:t>
            </w:r>
          </w:p>
        </w:tc>
      </w:tr>
      <w:tr>
        <w:tc>
          <w:tcPr>
            <w:tcW w:type="dxa" w:w="1928"/>
            <w:shd w:val="clear" w:fill="F6EBF1"/>
          </w:tcPr>
          <w:p>
            <w:r/>
            <w:r>
              <w:rPr>
                <w:sz w:val="19"/>
              </w:rPr>
              <w:t>Brand</w:t>
            </w:r>
          </w:p>
        </w:tc>
        <w:tc>
          <w:tcPr>
            <w:tcW w:type="dxa" w:w="1587"/>
            <w:shd w:val="clear" w:fill="F6EBF1"/>
          </w:tcPr>
          <w:p>
            <w:r/>
            <w:r>
              <w:rPr>
                <w:sz w:val="19"/>
              </w:rPr>
              <w:t>Catégorielle (116)</w:t>
            </w:r>
          </w:p>
        </w:tc>
        <w:tc>
          <w:tcPr>
            <w:tcW w:type="dxa" w:w="3742"/>
            <w:shd w:val="clear" w:fill="F6EBF1"/>
          </w:tcPr>
          <w:p>
            <w:r/>
            <w:r>
              <w:rPr>
                <w:sz w:val="19"/>
              </w:rPr>
              <w:t>Marque du produit</w:t>
            </w:r>
          </w:p>
        </w:tc>
        <w:tc>
          <w:tcPr>
            <w:tcW w:type="dxa" w:w="1928"/>
            <w:shd w:val="clear" w:fill="F6EBF1"/>
          </w:tcPr>
          <w:p>
            <w:r/>
            <w:r>
              <w:rPr>
                <w:sz w:val="19"/>
              </w:rPr>
              <w:t>Descriptive</w:t>
            </w:r>
          </w:p>
        </w:tc>
      </w:tr>
      <w:tr>
        <w:tc>
          <w:tcPr>
            <w:tcW w:type="dxa" w:w="1928"/>
          </w:tcPr>
          <w:p>
            <w:r/>
            <w:r>
              <w:rPr>
                <w:sz w:val="19"/>
              </w:rPr>
              <w:t>Price</w:t>
            </w:r>
          </w:p>
        </w:tc>
        <w:tc>
          <w:tcPr>
            <w:tcW w:type="dxa" w:w="1587"/>
          </w:tcPr>
          <w:p>
            <w:r/>
            <w:r>
              <w:rPr>
                <w:sz w:val="19"/>
              </w:rPr>
              <w:t>Numérique</w:t>
            </w:r>
          </w:p>
        </w:tc>
        <w:tc>
          <w:tcPr>
            <w:tcW w:type="dxa" w:w="3742"/>
          </w:tcPr>
          <w:p>
            <w:r/>
            <w:r>
              <w:rPr>
                <w:sz w:val="19"/>
              </w:rPr>
              <w:t>Prix de vente (USD)</w:t>
            </w:r>
          </w:p>
        </w:tc>
        <w:tc>
          <w:tcPr>
            <w:tcW w:type="dxa" w:w="1928"/>
          </w:tcPr>
          <w:p>
            <w:r/>
            <w:r>
              <w:rPr>
                <w:sz w:val="19"/>
              </w:rPr>
              <w:t>Explicative</w:t>
            </w:r>
          </w:p>
        </w:tc>
      </w:tr>
      <w:tr>
        <w:tc>
          <w:tcPr>
            <w:tcW w:type="dxa" w:w="1928"/>
            <w:shd w:val="clear" w:fill="F6EBF1"/>
          </w:tcPr>
          <w:p>
            <w:r/>
            <w:r>
              <w:rPr>
                <w:sz w:val="19"/>
              </w:rPr>
              <w:t>Rank</w:t>
            </w:r>
          </w:p>
        </w:tc>
        <w:tc>
          <w:tcPr>
            <w:tcW w:type="dxa" w:w="1587"/>
            <w:shd w:val="clear" w:fill="F6EBF1"/>
          </w:tcPr>
          <w:p>
            <w:r/>
            <w:r>
              <w:rPr>
                <w:sz w:val="19"/>
              </w:rPr>
              <w:t>Numérique</w:t>
            </w:r>
          </w:p>
        </w:tc>
        <w:tc>
          <w:tcPr>
            <w:tcW w:type="dxa" w:w="3742"/>
            <w:shd w:val="clear" w:fill="F6EBF1"/>
          </w:tcPr>
          <w:p>
            <w:r/>
            <w:r>
              <w:rPr>
                <w:sz w:val="19"/>
              </w:rPr>
              <w:t>Note moyenne des utilisateurs (0–5)</w:t>
            </w:r>
          </w:p>
        </w:tc>
        <w:tc>
          <w:tcPr>
            <w:tcW w:type="dxa" w:w="1928"/>
            <w:shd w:val="clear" w:fill="F6EBF1"/>
          </w:tcPr>
          <w:p>
            <w:r/>
            <w:r>
              <w:rPr>
                <w:sz w:val="19"/>
              </w:rPr>
              <w:t>Explicative</w:t>
            </w:r>
          </w:p>
        </w:tc>
      </w:tr>
      <w:tr>
        <w:tc>
          <w:tcPr>
            <w:tcW w:type="dxa" w:w="1928"/>
          </w:tcPr>
          <w:p>
            <w:r/>
            <w:r>
              <w:rPr>
                <w:sz w:val="19"/>
              </w:rPr>
              <w:t>Ingredients</w:t>
            </w:r>
          </w:p>
        </w:tc>
        <w:tc>
          <w:tcPr>
            <w:tcW w:type="dxa" w:w="1587"/>
          </w:tcPr>
          <w:p>
            <w:r/>
            <w:r>
              <w:rPr>
                <w:sz w:val="19"/>
              </w:rPr>
              <w:t>Texte</w:t>
            </w:r>
          </w:p>
        </w:tc>
        <w:tc>
          <w:tcPr>
            <w:tcW w:type="dxa" w:w="3742"/>
          </w:tcPr>
          <w:p>
            <w:r/>
            <w:r>
              <w:rPr>
                <w:sz w:val="19"/>
              </w:rPr>
              <w:t>Liste des ingrédients (ordre INCI)</w:t>
            </w:r>
          </w:p>
        </w:tc>
        <w:tc>
          <w:tcPr>
            <w:tcW w:type="dxa" w:w="1928"/>
          </w:tcPr>
          <w:p>
            <w:r/>
            <w:r>
              <w:rPr>
                <w:sz w:val="19"/>
              </w:rPr>
              <w:t>Explicative (TF-IDF)</w:t>
            </w:r>
          </w:p>
        </w:tc>
      </w:tr>
      <w:tr>
        <w:tc>
          <w:tcPr>
            <w:tcW w:type="dxa" w:w="1928"/>
            <w:shd w:val="clear" w:fill="F6EBF1"/>
          </w:tcPr>
          <w:p>
            <w:r/>
            <w:r>
              <w:rPr>
                <w:sz w:val="19"/>
              </w:rPr>
              <w:t>Combination…Sensitive</w:t>
            </w:r>
          </w:p>
        </w:tc>
        <w:tc>
          <w:tcPr>
            <w:tcW w:type="dxa" w:w="1587"/>
            <w:shd w:val="clear" w:fill="F6EBF1"/>
          </w:tcPr>
          <w:p>
            <w:r/>
            <w:r>
              <w:rPr>
                <w:sz w:val="19"/>
              </w:rPr>
              <w:t>Binaire ×5</w:t>
            </w:r>
          </w:p>
        </w:tc>
        <w:tc>
          <w:tcPr>
            <w:tcW w:type="dxa" w:w="3742"/>
            <w:shd w:val="clear" w:fill="F6EBF1"/>
          </w:tcPr>
          <w:p>
            <w:r/>
            <w:r>
              <w:rPr>
                <w:sz w:val="19"/>
              </w:rPr>
              <w:t>Compatibilité par type de peau</w:t>
            </w:r>
          </w:p>
        </w:tc>
        <w:tc>
          <w:tcPr>
            <w:tcW w:type="dxa" w:w="1928"/>
            <w:shd w:val="clear" w:fill="F6EBF1"/>
          </w:tcPr>
          <w:p>
            <w:r/>
            <w:r>
              <w:rPr>
                <w:sz w:val="19"/>
              </w:rPr>
              <w:t>Cible (modèle A)</w:t>
            </w:r>
          </w:p>
        </w:tc>
      </w:tr>
      <w:tr>
        <w:tc>
          <w:tcPr>
            <w:tcW w:type="dxa" w:w="1928"/>
          </w:tcPr>
          <w:p>
            <w:r/>
            <w:r>
              <w:rPr>
                <w:sz w:val="19"/>
              </w:rPr>
              <w:t>Sexe, Âge, Budget*</w:t>
            </w:r>
          </w:p>
        </w:tc>
        <w:tc>
          <w:tcPr>
            <w:tcW w:type="dxa" w:w="1587"/>
          </w:tcPr>
          <w:p>
            <w:r/>
            <w:r>
              <w:rPr>
                <w:sz w:val="19"/>
              </w:rPr>
              <w:t>Mixte</w:t>
            </w:r>
          </w:p>
        </w:tc>
        <w:tc>
          <w:tcPr>
            <w:tcW w:type="dxa" w:w="3742"/>
          </w:tcPr>
          <w:p>
            <w:r/>
            <w:r>
              <w:rPr>
                <w:sz w:val="19"/>
              </w:rPr>
              <w:t>Profil collecté à l'inscription (signup)</w:t>
            </w:r>
          </w:p>
        </w:tc>
        <w:tc>
          <w:tcPr>
            <w:tcW w:type="dxa" w:w="1928"/>
          </w:tcPr>
          <w:p>
            <w:r/>
            <w:r>
              <w:rPr>
                <w:sz w:val="19"/>
              </w:rPr>
              <w:t>Explicatives (modèle B)</w:t>
            </w:r>
          </w:p>
        </w:tc>
      </w:tr>
    </w:tbl>
    <w:p/>
    <w:p>
      <w:pPr>
        <w:jc w:val="center"/>
      </w:pPr>
      <w:r>
        <w:rPr>
          <w:i/>
          <w:color w:val="C0567E"/>
          <w:sz w:val="18"/>
        </w:rPr>
        <w:t>Tableau 1.1 — Dictionnaire des variables (* variables du profil client DermaSense)</w:t>
      </w:r>
    </w:p>
    <w:p>
      <w:pPr>
        <w:pStyle w:val="Heading3"/>
      </w:pPr>
      <w:r>
        <w:t>1.2.1. Variables sexe et âge : méthodologie d'enrichissement</w:t>
      </w:r>
    </w:p>
    <w:p>
      <w:pPr>
        <w:jc w:val="both"/>
      </w:pPr>
      <w:r>
        <w:rPr>
          <w:b w:val="0"/>
          <w:i w:val="0"/>
        </w:rPr>
        <w:t>Le dataset Cosmetics décrit des produits et ne contient donc ni le sexe ni l'âge des consommateurs. Ces deux variables, centrales pour DermaSense, sont collectées par l'application au moment de l'inscription. Afin d'entraîner et d'auditer le moteur de recommandation avant le lancement, une base de 3000 clients a été simulée selon une méthodologie documentée et reproductible (graine aléatoire fixée à 42), calibrée sur la structure du marché cosmétique : 71.8 % de femmes, âge moyen de 31.2 ans (distribution normale tronquée 16–70 ans), cinq types de peau et un budget log-normal (8–300 USD). Chaque client est ensuite confronté à quatre produits réels du catalogue, et sa satisfaction est générée par une règle comportementale bruitée combinant la compatibilité cutanée, l'accessibilité budgétaire et la qualité perçue du produit, soit 12000 interactions client-produit (taux de satisfaction global : 55.6 %). Cette démarche, courante en prototypage de systèmes de recommandation (absence de données d'usage avant lancement, dite « cold start »), est explicitement assumée : les performances mesurées sur données simulées constituent une validation de l'architecture, qui sera réévaluée sur les données réelles collectées dès les premiers mois d'exploitation.</w:t>
      </w:r>
    </w:p>
    <w:p>
      <w:pPr>
        <w:pStyle w:val="Heading2"/>
      </w:pPr>
      <w:r>
        <w:t>1.3. Analyse exploratoire des données (EDA)</w:t>
      </w:r>
    </w:p>
    <w:p>
      <w:pPr>
        <w:pStyle w:val="Heading3"/>
      </w:pPr>
      <w:r>
        <w:t>1.3.1. Statistiques descriptives</w:t>
      </w:r>
    </w:p>
    <w:tbl>
      <w:tblPr>
        <w:tblStyle w:val="TableGrid"/>
        <w:tblW w:type="auto" w:w="0"/>
        <w:jc w:val="center"/>
        <w:tblLook w:firstColumn="1" w:firstRow="1" w:lastColumn="0" w:lastRow="0" w:noHBand="0" w:noVBand="1" w:val="04A0"/>
      </w:tblPr>
      <w:tblGrid>
        <w:gridCol w:w="4649"/>
        <w:gridCol w:w="4649"/>
      </w:tblGrid>
      <w:tr>
        <w:tc>
          <w:tcPr>
            <w:tcW w:type="dxa" w:w="4819"/>
            <w:shd w:val="clear" w:fill="7B2D62"/>
          </w:tcPr>
          <w:p>
            <w:r/>
            <w:r>
              <w:rPr>
                <w:b/>
                <w:color w:val="FFFFFF"/>
                <w:sz w:val="19"/>
              </w:rPr>
              <w:t>Indicateur</w:t>
            </w:r>
          </w:p>
        </w:tc>
        <w:tc>
          <w:tcPr>
            <w:tcW w:type="dxa" w:w="3969"/>
            <w:shd w:val="clear" w:fill="7B2D62"/>
          </w:tcPr>
          <w:p>
            <w:r/>
            <w:r>
              <w:rPr>
                <w:b/>
                <w:color w:val="FFFFFF"/>
                <w:sz w:val="19"/>
              </w:rPr>
              <w:t>Valeur</w:t>
            </w:r>
          </w:p>
        </w:tc>
      </w:tr>
      <w:tr>
        <w:tc>
          <w:tcPr>
            <w:tcW w:type="dxa" w:w="4819"/>
          </w:tcPr>
          <w:p>
            <w:r/>
            <w:r>
              <w:rPr>
                <w:sz w:val="19"/>
              </w:rPr>
              <w:t>Nombre de produits</w:t>
            </w:r>
          </w:p>
        </w:tc>
        <w:tc>
          <w:tcPr>
            <w:tcW w:type="dxa" w:w="3969"/>
          </w:tcPr>
          <w:p>
            <w:r/>
            <w:r>
              <w:rPr>
                <w:sz w:val="19"/>
              </w:rPr>
              <w:t>1472</w:t>
            </w:r>
          </w:p>
        </w:tc>
      </w:tr>
      <w:tr>
        <w:tc>
          <w:tcPr>
            <w:tcW w:type="dxa" w:w="4819"/>
            <w:shd w:val="clear" w:fill="F6EBF1"/>
          </w:tcPr>
          <w:p>
            <w:r/>
            <w:r>
              <w:rPr>
                <w:sz w:val="19"/>
              </w:rPr>
              <w:t>Prix moyen / médian</w:t>
            </w:r>
          </w:p>
        </w:tc>
        <w:tc>
          <w:tcPr>
            <w:tcW w:type="dxa" w:w="3969"/>
            <w:shd w:val="clear" w:fill="F6EBF1"/>
          </w:tcPr>
          <w:p>
            <w:r/>
            <w:r>
              <w:rPr>
                <w:sz w:val="19"/>
              </w:rPr>
              <w:t>55.58 $ / 42.5 $</w:t>
            </w:r>
          </w:p>
        </w:tc>
      </w:tr>
      <w:tr>
        <w:tc>
          <w:tcPr>
            <w:tcW w:type="dxa" w:w="4819"/>
          </w:tcPr>
          <w:p>
            <w:r/>
            <w:r>
              <w:rPr>
                <w:sz w:val="19"/>
              </w:rPr>
              <w:t>Note moyenne (Rank)</w:t>
            </w:r>
          </w:p>
        </w:tc>
        <w:tc>
          <w:tcPr>
            <w:tcW w:type="dxa" w:w="3969"/>
          </w:tcPr>
          <w:p>
            <w:r/>
            <w:r>
              <w:rPr>
                <w:sz w:val="19"/>
              </w:rPr>
              <w:t>4.15</w:t>
            </w:r>
          </w:p>
        </w:tc>
      </w:tr>
      <w:tr>
        <w:tc>
          <w:tcPr>
            <w:tcW w:type="dxa" w:w="4819"/>
            <w:shd w:val="clear" w:fill="F6EBF1"/>
          </w:tcPr>
          <w:p>
            <w:r/>
            <w:r>
              <w:rPr>
                <w:sz w:val="19"/>
              </w:rPr>
              <w:t>Catégorie la plus représentée</w:t>
            </w:r>
          </w:p>
        </w:tc>
        <w:tc>
          <w:tcPr>
            <w:tcW w:type="dxa" w:w="3969"/>
            <w:shd w:val="clear" w:fill="F6EBF1"/>
          </w:tcPr>
          <w:p>
            <w:r/>
            <w:r>
              <w:rPr>
                <w:sz w:val="19"/>
              </w:rPr>
              <w:t>Moisturizer (298 produits)</w:t>
            </w:r>
          </w:p>
        </w:tc>
      </w:tr>
      <w:tr>
        <w:tc>
          <w:tcPr>
            <w:tcW w:type="dxa" w:w="4819"/>
          </w:tcPr>
          <w:p>
            <w:r/>
            <w:r>
              <w:rPr>
                <w:sz w:val="19"/>
              </w:rPr>
              <w:t>Valeurs manquantes / doublons</w:t>
            </w:r>
          </w:p>
        </w:tc>
        <w:tc>
          <w:tcPr>
            <w:tcW w:type="dxa" w:w="3969"/>
          </w:tcPr>
          <w:p>
            <w:r/>
            <w:r>
              <w:rPr>
                <w:sz w:val="19"/>
              </w:rPr>
              <w:t>0 / 0</w:t>
            </w:r>
          </w:p>
        </w:tc>
      </w:tr>
      <w:tr>
        <w:tc>
          <w:tcPr>
            <w:tcW w:type="dxa" w:w="4819"/>
            <w:shd w:val="clear" w:fill="F6EBF1"/>
          </w:tcPr>
          <w:p>
            <w:r/>
            <w:r>
              <w:rPr>
                <w:sz w:val="19"/>
              </w:rPr>
              <w:t>Valeurs aberrantes de prix (règle IQR)</w:t>
            </w:r>
          </w:p>
        </w:tc>
        <w:tc>
          <w:tcPr>
            <w:tcW w:type="dxa" w:w="3969"/>
            <w:shd w:val="clear" w:fill="F6EBF1"/>
          </w:tcPr>
          <w:p>
            <w:r/>
            <w:r>
              <w:rPr>
                <w:sz w:val="19"/>
              </w:rPr>
              <w:t>91 produits au-delà de 125.0 $</w:t>
            </w:r>
          </w:p>
        </w:tc>
      </w:tr>
    </w:tbl>
    <w:p/>
    <w:p>
      <w:pPr>
        <w:jc w:val="center"/>
      </w:pPr>
      <w:r>
        <w:rPr>
          <w:i/>
          <w:color w:val="C0567E"/>
          <w:sz w:val="18"/>
        </w:rPr>
        <w:t>Tableau 1.2 — Synthèse descriptive du dataset</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fig1_categories.png"/>
                    <pic:cNvPicPr/>
                  </pic:nvPicPr>
                  <pic:blipFill>
                    <a:blip r:embed="rId10"/>
                    <a:stretch>
                      <a:fillRect/>
                    </a:stretch>
                  </pic:blipFill>
                  <pic:spPr>
                    <a:xfrm>
                      <a:off x="0" y="0"/>
                      <a:ext cx="5580000" cy="3138750"/>
                    </a:xfrm>
                    <a:prstGeom prst="rect"/>
                  </pic:spPr>
                </pic:pic>
              </a:graphicData>
            </a:graphic>
          </wp:inline>
        </w:drawing>
      </w:r>
    </w:p>
    <w:p>
      <w:pPr>
        <w:jc w:val="center"/>
      </w:pPr>
      <w:r>
        <w:rPr>
          <w:i/>
          <w:color w:val="C0567E"/>
          <w:sz w:val="18"/>
        </w:rPr>
        <w:t>Figure 1.1 — Répartition des produits par catégorie</w:t>
      </w:r>
    </w:p>
    <w:p>
      <w:pPr>
        <w:jc w:val="center"/>
      </w:pPr>
      <w:r>
        <w:drawing>
          <wp:inline xmlns:a="http://schemas.openxmlformats.org/drawingml/2006/main" xmlns:pic="http://schemas.openxmlformats.org/drawingml/2006/picture">
            <wp:extent cx="5580000" cy="2092500"/>
            <wp:docPr id="2" name="Picture 2"/>
            <wp:cNvGraphicFramePr>
              <a:graphicFrameLocks noChangeAspect="1"/>
            </wp:cNvGraphicFramePr>
            <a:graphic>
              <a:graphicData uri="http://schemas.openxmlformats.org/drawingml/2006/picture">
                <pic:pic>
                  <pic:nvPicPr>
                    <pic:cNvPr id="0" name="fig2_prix.png"/>
                    <pic:cNvPicPr/>
                  </pic:nvPicPr>
                  <pic:blipFill>
                    <a:blip r:embed="rId11"/>
                    <a:stretch>
                      <a:fillRect/>
                    </a:stretch>
                  </pic:blipFill>
                  <pic:spPr>
                    <a:xfrm>
                      <a:off x="0" y="0"/>
                      <a:ext cx="5580000" cy="2092500"/>
                    </a:xfrm>
                    <a:prstGeom prst="rect"/>
                  </pic:spPr>
                </pic:pic>
              </a:graphicData>
            </a:graphic>
          </wp:inline>
        </w:drawing>
      </w:r>
    </w:p>
    <w:p>
      <w:pPr>
        <w:jc w:val="center"/>
      </w:pPr>
      <w:r>
        <w:rPr>
          <w:i/>
          <w:color w:val="C0567E"/>
          <w:sz w:val="18"/>
        </w:rPr>
        <w:t>Figure 1.2 — Distribution des prix et boxplots par catégorie</w:t>
      </w:r>
    </w:p>
    <w:p>
      <w:pPr>
        <w:jc w:val="both"/>
      </w:pPr>
      <w:r>
        <w:rPr>
          <w:b w:val="0"/>
          <w:i w:val="0"/>
        </w:rPr>
        <w:t>La distribution des prix est fortement asymétrique à droite : la moitié des produits coûte moins de 42.5 $, mais une longue traîne de produits de luxe dépasse 200 $ ; 91 produits sont identifiés comme aberrants au sens de la règle de l'écart interquartile (prix supérieur à 125.0 $). Ces valeurs correspondent à des produits de luxe réels (La Mer, Guerlain…) : elles sont conservées, mais leur influence est neutralisée par la standardisation des variables.</w:t>
      </w:r>
    </w:p>
    <w:p>
      <w:pPr>
        <w:jc w:val="center"/>
      </w:pPr>
      <w:r>
        <w:drawing>
          <wp:inline xmlns:a="http://schemas.openxmlformats.org/drawingml/2006/main" xmlns:pic="http://schemas.openxmlformats.org/drawingml/2006/picture">
            <wp:extent cx="5580000" cy="4464000"/>
            <wp:docPr id="3" name="Picture 3"/>
            <wp:cNvGraphicFramePr>
              <a:graphicFrameLocks noChangeAspect="1"/>
            </wp:cNvGraphicFramePr>
            <a:graphic>
              <a:graphicData uri="http://schemas.openxmlformats.org/drawingml/2006/picture">
                <pic:pic>
                  <pic:nvPicPr>
                    <pic:cNvPr id="0" name="fig3_correlations.png"/>
                    <pic:cNvPicPr/>
                  </pic:nvPicPr>
                  <pic:blipFill>
                    <a:blip r:embed="rId12"/>
                    <a:stretch>
                      <a:fillRect/>
                    </a:stretch>
                  </pic:blipFill>
                  <pic:spPr>
                    <a:xfrm>
                      <a:off x="0" y="0"/>
                      <a:ext cx="5580000" cy="4464000"/>
                    </a:xfrm>
                    <a:prstGeom prst="rect"/>
                  </pic:spPr>
                </pic:pic>
              </a:graphicData>
            </a:graphic>
          </wp:inline>
        </w:drawing>
      </w:r>
    </w:p>
    <w:p>
      <w:pPr>
        <w:jc w:val="center"/>
      </w:pPr>
      <w:r>
        <w:rPr>
          <w:i/>
          <w:color w:val="C0567E"/>
          <w:sz w:val="18"/>
        </w:rPr>
        <w:t>Figure 1.3 — Matrice de corrélations des variables numériques</w:t>
      </w:r>
    </w:p>
    <w:p>
      <w:pPr>
        <w:jc w:val="both"/>
      </w:pPr>
      <w:r>
        <w:rPr>
          <w:b w:val="0"/>
          <w:i w:val="0"/>
        </w:rPr>
        <w:t>La matrice de corrélations révèle deux enseignements. D'une part, les cinq indicateurs de compatibilité cutanée sont fortement corrélés entre eux (par exemple r = 0.93 entre Combination et Normal) : beaucoup de produits sont déclarés « tous types de peau ». D'autre part, le prix est quasiment décorrélé de la note (r = -0.03), un constat majeur pour DermaSense : payer plus cher ne garantit pas un produit mieux noté, ce qui légitime une recommandation pilotée par la composition plutôt que par le prix.</w:t>
      </w:r>
    </w:p>
    <w:p>
      <w:pPr>
        <w:jc w:val="center"/>
      </w:pPr>
      <w:r>
        <w:drawing>
          <wp:inline xmlns:a="http://schemas.openxmlformats.org/drawingml/2006/main" xmlns:pic="http://schemas.openxmlformats.org/drawingml/2006/picture">
            <wp:extent cx="5580000" cy="3188571"/>
            <wp:docPr id="4" name="Picture 4"/>
            <wp:cNvGraphicFramePr>
              <a:graphicFrameLocks noChangeAspect="1"/>
            </wp:cNvGraphicFramePr>
            <a:graphic>
              <a:graphicData uri="http://schemas.openxmlformats.org/drawingml/2006/picture">
                <pic:pic>
                  <pic:nvPicPr>
                    <pic:cNvPr id="0" name="fig4_rank.png"/>
                    <pic:cNvPicPr/>
                  </pic:nvPicPr>
                  <pic:blipFill>
                    <a:blip r:embed="rId13"/>
                    <a:stretch>
                      <a:fillRect/>
                    </a:stretch>
                  </pic:blipFill>
                  <pic:spPr>
                    <a:xfrm>
                      <a:off x="0" y="0"/>
                      <a:ext cx="5580000" cy="3188571"/>
                    </a:xfrm>
                    <a:prstGeom prst="rect"/>
                  </pic:spPr>
                </pic:pic>
              </a:graphicData>
            </a:graphic>
          </wp:inline>
        </w:drawing>
      </w:r>
    </w:p>
    <w:p>
      <w:pPr>
        <w:jc w:val="center"/>
      </w:pPr>
      <w:r>
        <w:rPr>
          <w:i/>
          <w:color w:val="C0567E"/>
          <w:sz w:val="18"/>
        </w:rPr>
        <w:t>Figure 1.4 — Distribution des notes (Rank)</w:t>
      </w:r>
    </w:p>
    <w:p>
      <w:pPr>
        <w:pStyle w:val="Heading3"/>
      </w:pPr>
      <w:r>
        <w:t>1.3.2. Profils clients : distributions par sexe et par âge</w:t>
      </w:r>
    </w:p>
    <w:p>
      <w:pPr>
        <w:jc w:val="center"/>
      </w:pPr>
      <w:r>
        <w:drawing>
          <wp:inline xmlns:a="http://schemas.openxmlformats.org/drawingml/2006/main" xmlns:pic="http://schemas.openxmlformats.org/drawingml/2006/picture">
            <wp:extent cx="5580000" cy="2092500"/>
            <wp:docPr id="5" name="Picture 5"/>
            <wp:cNvGraphicFramePr>
              <a:graphicFrameLocks noChangeAspect="1"/>
            </wp:cNvGraphicFramePr>
            <a:graphic>
              <a:graphicData uri="http://schemas.openxmlformats.org/drawingml/2006/picture">
                <pic:pic>
                  <pic:nvPicPr>
                    <pic:cNvPr id="0" name="fig5_clients.png"/>
                    <pic:cNvPicPr/>
                  </pic:nvPicPr>
                  <pic:blipFill>
                    <a:blip r:embed="rId14"/>
                    <a:stretch>
                      <a:fillRect/>
                    </a:stretch>
                  </pic:blipFill>
                  <pic:spPr>
                    <a:xfrm>
                      <a:off x="0" y="0"/>
                      <a:ext cx="5580000" cy="2092500"/>
                    </a:xfrm>
                    <a:prstGeom prst="rect"/>
                  </pic:spPr>
                </pic:pic>
              </a:graphicData>
            </a:graphic>
          </wp:inline>
        </w:drawing>
      </w:r>
    </w:p>
    <w:p>
      <w:pPr>
        <w:jc w:val="center"/>
      </w:pPr>
      <w:r>
        <w:rPr>
          <w:i/>
          <w:color w:val="C0567E"/>
          <w:sz w:val="18"/>
        </w:rPr>
        <w:t>Figure 1.5 — Base clients : répartition par sexe et distribution des âges</w:t>
      </w:r>
    </w:p>
    <w:tbl>
      <w:tblPr>
        <w:tblStyle w:val="TableGrid"/>
        <w:tblW w:type="auto" w:w="0"/>
        <w:jc w:val="center"/>
        <w:tblLook w:firstColumn="1" w:firstRow="1" w:lastColumn="0" w:lastRow="0" w:noHBand="0" w:noVBand="1" w:val="04A0"/>
      </w:tblPr>
      <w:tblGrid>
        <w:gridCol w:w="3099"/>
        <w:gridCol w:w="3099"/>
        <w:gridCol w:w="3099"/>
      </w:tblGrid>
      <w:tr>
        <w:tc>
          <w:tcPr>
            <w:tcW w:type="dxa" w:w="2835"/>
            <w:shd w:val="clear" w:fill="7B2D62"/>
          </w:tcPr>
          <w:p>
            <w:r/>
            <w:r>
              <w:rPr>
                <w:b/>
                <w:color w:val="FFFFFF"/>
                <w:sz w:val="19"/>
              </w:rPr>
              <w:t>Tranche d'âge</w:t>
            </w:r>
          </w:p>
        </w:tc>
        <w:tc>
          <w:tcPr>
            <w:tcW w:type="dxa" w:w="2835"/>
            <w:shd w:val="clear" w:fill="7B2D62"/>
          </w:tcPr>
          <w:p>
            <w:r/>
            <w:r>
              <w:rPr>
                <w:b/>
                <w:color w:val="FFFFFF"/>
                <w:sz w:val="19"/>
              </w:rPr>
              <w:t>Effectif</w:t>
            </w:r>
          </w:p>
        </w:tc>
        <w:tc>
          <w:tcPr>
            <w:tcW w:type="dxa" w:w="2835"/>
            <w:shd w:val="clear" w:fill="7B2D62"/>
          </w:tcPr>
          <w:p>
            <w:r/>
            <w:r>
              <w:rPr>
                <w:b/>
                <w:color w:val="FFFFFF"/>
                <w:sz w:val="19"/>
              </w:rPr>
              <w:t>Part</w:t>
            </w:r>
          </w:p>
        </w:tc>
      </w:tr>
      <w:tr>
        <w:tc>
          <w:tcPr>
            <w:tcW w:type="dxa" w:w="2835"/>
          </w:tcPr>
          <w:p>
            <w:r/>
            <w:r>
              <w:rPr>
                <w:sz w:val="19"/>
              </w:rPr>
              <w:t>16-25</w:t>
            </w:r>
          </w:p>
        </w:tc>
        <w:tc>
          <w:tcPr>
            <w:tcW w:type="dxa" w:w="2835"/>
          </w:tcPr>
          <w:p>
            <w:r/>
            <w:r>
              <w:rPr>
                <w:sz w:val="19"/>
              </w:rPr>
              <w:t>953</w:t>
            </w:r>
          </w:p>
        </w:tc>
        <w:tc>
          <w:tcPr>
            <w:tcW w:type="dxa" w:w="2835"/>
          </w:tcPr>
          <w:p>
            <w:r/>
            <w:r>
              <w:rPr>
                <w:sz w:val="19"/>
              </w:rPr>
              <w:t>31.8 %</w:t>
            </w:r>
          </w:p>
        </w:tc>
      </w:tr>
      <w:tr>
        <w:tc>
          <w:tcPr>
            <w:tcW w:type="dxa" w:w="2835"/>
            <w:shd w:val="clear" w:fill="F6EBF1"/>
          </w:tcPr>
          <w:p>
            <w:r/>
            <w:r>
              <w:rPr>
                <w:sz w:val="19"/>
              </w:rPr>
              <w:t>26-35</w:t>
            </w:r>
          </w:p>
        </w:tc>
        <w:tc>
          <w:tcPr>
            <w:tcW w:type="dxa" w:w="2835"/>
            <w:shd w:val="clear" w:fill="F6EBF1"/>
          </w:tcPr>
          <w:p>
            <w:r/>
            <w:r>
              <w:rPr>
                <w:sz w:val="19"/>
              </w:rPr>
              <w:t>1029</w:t>
            </w:r>
          </w:p>
        </w:tc>
        <w:tc>
          <w:tcPr>
            <w:tcW w:type="dxa" w:w="2835"/>
            <w:shd w:val="clear" w:fill="F6EBF1"/>
          </w:tcPr>
          <w:p>
            <w:r/>
            <w:r>
              <w:rPr>
                <w:sz w:val="19"/>
              </w:rPr>
              <w:t>34.3 %</w:t>
            </w:r>
          </w:p>
        </w:tc>
      </w:tr>
      <w:tr>
        <w:tc>
          <w:tcPr>
            <w:tcW w:type="dxa" w:w="2835"/>
          </w:tcPr>
          <w:p>
            <w:r/>
            <w:r>
              <w:rPr>
                <w:sz w:val="19"/>
              </w:rPr>
              <w:t>36-50</w:t>
            </w:r>
          </w:p>
        </w:tc>
        <w:tc>
          <w:tcPr>
            <w:tcW w:type="dxa" w:w="2835"/>
          </w:tcPr>
          <w:p>
            <w:r/>
            <w:r>
              <w:rPr>
                <w:sz w:val="19"/>
              </w:rPr>
              <w:t>914</w:t>
            </w:r>
          </w:p>
        </w:tc>
        <w:tc>
          <w:tcPr>
            <w:tcW w:type="dxa" w:w="2835"/>
          </w:tcPr>
          <w:p>
            <w:r/>
            <w:r>
              <w:rPr>
                <w:sz w:val="19"/>
              </w:rPr>
              <w:t>30.5 %</w:t>
            </w:r>
          </w:p>
        </w:tc>
      </w:tr>
      <w:tr>
        <w:tc>
          <w:tcPr>
            <w:tcW w:type="dxa" w:w="2835"/>
            <w:shd w:val="clear" w:fill="F6EBF1"/>
          </w:tcPr>
          <w:p>
            <w:r/>
            <w:r>
              <w:rPr>
                <w:sz w:val="19"/>
              </w:rPr>
              <w:t>51-70</w:t>
            </w:r>
          </w:p>
        </w:tc>
        <w:tc>
          <w:tcPr>
            <w:tcW w:type="dxa" w:w="2835"/>
            <w:shd w:val="clear" w:fill="F6EBF1"/>
          </w:tcPr>
          <w:p>
            <w:r/>
            <w:r>
              <w:rPr>
                <w:sz w:val="19"/>
              </w:rPr>
              <w:t>104</w:t>
            </w:r>
          </w:p>
        </w:tc>
        <w:tc>
          <w:tcPr>
            <w:tcW w:type="dxa" w:w="2835"/>
            <w:shd w:val="clear" w:fill="F6EBF1"/>
          </w:tcPr>
          <w:p>
            <w:r/>
            <w:r>
              <w:rPr>
                <w:sz w:val="19"/>
              </w:rPr>
              <w:t>3.5 %</w:t>
            </w:r>
          </w:p>
        </w:tc>
      </w:tr>
    </w:tbl>
    <w:p/>
    <w:p>
      <w:pPr>
        <w:jc w:val="center"/>
      </w:pPr>
      <w:r>
        <w:rPr>
          <w:i/>
          <w:color w:val="C0567E"/>
          <w:sz w:val="18"/>
        </w:rPr>
        <w:t>Tableau 1.3 — Répartition des clients par tranche d'âge</w:t>
      </w:r>
    </w:p>
    <w:p>
      <w:pPr>
        <w:pStyle w:val="Heading2"/>
      </w:pPr>
      <w:r>
        <w:t>1.4. Prétraitement des données</w:t>
      </w:r>
    </w:p>
    <w:p>
      <w:pPr>
        <w:pStyle w:val="ListBullet"/>
      </w:pPr>
      <w:r>
        <w:t>Nettoyage : vérification des valeurs manquantes (aucune), des doublons (aucun) et des types ; passage des ingrédients en minuscules ; conservation des outliers de prix (produits de luxe réels) neutralisés par standardisation.</w:t>
      </w:r>
    </w:p>
    <w:p>
      <w:pPr>
        <w:pStyle w:val="ListBullet"/>
      </w:pPr>
      <w:r>
        <w:t>Vectorisation du texte : les listes d'ingrédients (séparées par des virgules) sont transformées par TF-IDF sur un vocabulaire des 150 ingrédients les plus fréquents, chaque produit devenant un vecteur normalisé (norme L2). Cette représentation valorise les ingrédients discriminants (parfums, alcools, apaisants) plutôt que les omniprésents (eau, glycérine).</w:t>
      </w:r>
    </w:p>
    <w:p>
      <w:pPr>
        <w:pStyle w:val="ListBullet"/>
      </w:pPr>
      <w:r>
        <w:t>Encodage des variables catégorielles : One-Hot Encoding pour la catégorie de produit, le sexe (Femme/Homme) et le type de peau — un encodage ordinal serait erroné car ces modalités n'ont pas d'ordre.</w:t>
      </w:r>
    </w:p>
    <w:p>
      <w:pPr>
        <w:pStyle w:val="ListBullet"/>
      </w:pPr>
      <w:r>
        <w:t>Normalisation : standardisation (centrage-réduction) des variables numériques (prix, note, âge, budget), indispensable pour la régression logistique.</w:t>
      </w:r>
    </w:p>
    <w:p>
      <w:pPr>
        <w:pStyle w:val="ListBullet"/>
      </w:pPr>
      <w:r>
        <w:t>Gestion du déséquilibre : la cible du modèle A est déséquilibrée (51.4 % de produits adaptés aux peaux sensibles). Deux parades sont appliquées : stratification de la découpe train/test (80/20) et pondération des classes (class_weight='balanced') dans la régression logistique et la forêt aléatoire ; le F1-score et l'AUC sont privilégiés sur l'accuracy.</w:t>
      </w:r>
    </w:p>
    <w:p>
      <w:pPr>
        <w:pStyle w:val="Heading2"/>
      </w:pPr>
      <w:r>
        <w:t>1.5. Modélisation : choix et justification des modèles</w:t>
      </w:r>
    </w:p>
    <w:p>
      <w:pPr>
        <w:jc w:val="both"/>
      </w:pPr>
      <w:r>
        <w:rPr>
          <w:b w:val="0"/>
          <w:i w:val="0"/>
        </w:rPr>
        <w:t>Trois familles de modèles complémentaires sont comparées, sur les deux tâches de classification binaire :</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fill="7B2D62"/>
          </w:tcPr>
          <w:p>
            <w:r/>
            <w:r>
              <w:rPr>
                <w:b/>
                <w:color w:val="FFFFFF"/>
                <w:sz w:val="19"/>
              </w:rPr>
              <w:t>Modèle</w:t>
            </w:r>
          </w:p>
        </w:tc>
        <w:tc>
          <w:tcPr>
            <w:tcW w:type="dxa" w:w="4082"/>
            <w:shd w:val="clear" w:fill="7B2D62"/>
          </w:tcPr>
          <w:p>
            <w:r/>
            <w:r>
              <w:rPr>
                <w:b/>
                <w:color w:val="FFFFFF"/>
                <w:sz w:val="19"/>
              </w:rPr>
              <w:t>Justification du choix</w:t>
            </w:r>
          </w:p>
        </w:tc>
        <w:tc>
          <w:tcPr>
            <w:tcW w:type="dxa" w:w="3061"/>
            <w:shd w:val="clear" w:fill="7B2D62"/>
          </w:tcPr>
          <w:p>
            <w:r/>
            <w:r>
              <w:rPr>
                <w:b/>
                <w:color w:val="FFFFFF"/>
                <w:sz w:val="19"/>
              </w:rPr>
              <w:t>Limites connues</w:t>
            </w:r>
          </w:p>
        </w:tc>
      </w:tr>
      <w:tr>
        <w:tc>
          <w:tcPr>
            <w:tcW w:type="dxa" w:w="2041"/>
          </w:tcPr>
          <w:p>
            <w:r/>
            <w:r>
              <w:rPr>
                <w:sz w:val="19"/>
              </w:rPr>
              <w:t>Régression Logistique</w:t>
            </w:r>
          </w:p>
        </w:tc>
        <w:tc>
          <w:tcPr>
            <w:tcW w:type="dxa" w:w="4082"/>
          </w:tcPr>
          <w:p>
            <w:r/>
            <w:r>
              <w:rPr>
                <w:sz w:val="19"/>
              </w:rPr>
              <w:t>Référence linéaire interprétable (coefficients par ingrédient) ; rapide ; probabilités calibrées ; supporte la pondération de classes.</w:t>
            </w:r>
          </w:p>
        </w:tc>
        <w:tc>
          <w:tcPr>
            <w:tcW w:type="dxa" w:w="3061"/>
          </w:tcPr>
          <w:p>
            <w:r/>
            <w:r>
              <w:rPr>
                <w:sz w:val="19"/>
              </w:rPr>
              <w:t>Frontière linéaire ; interactions non capturées.</w:t>
            </w:r>
          </w:p>
        </w:tc>
      </w:tr>
      <w:tr>
        <w:tc>
          <w:tcPr>
            <w:tcW w:type="dxa" w:w="2041"/>
            <w:shd w:val="clear" w:fill="F6EBF1"/>
          </w:tcPr>
          <w:p>
            <w:r/>
            <w:r>
              <w:rPr>
                <w:sz w:val="19"/>
              </w:rPr>
              <w:t>Random Forest</w:t>
            </w:r>
          </w:p>
        </w:tc>
        <w:tc>
          <w:tcPr>
            <w:tcW w:type="dxa" w:w="4082"/>
            <w:shd w:val="clear" w:fill="F6EBF1"/>
          </w:tcPr>
          <w:p>
            <w:r/>
            <w:r>
              <w:rPr>
                <w:sz w:val="19"/>
              </w:rPr>
              <w:t>Capture les non-linéarités et interactions ; robuste au bruit et aux outliers ; fournit l'importance des variables.</w:t>
            </w:r>
          </w:p>
        </w:tc>
        <w:tc>
          <w:tcPr>
            <w:tcW w:type="dxa" w:w="3061"/>
            <w:shd w:val="clear" w:fill="F6EBF1"/>
          </w:tcPr>
          <w:p>
            <w:r/>
            <w:r>
              <w:rPr>
                <w:sz w:val="19"/>
              </w:rPr>
              <w:t>Moins interprétable ; mémoire plus élevée.</w:t>
            </w:r>
          </w:p>
        </w:tc>
      </w:tr>
      <w:tr>
        <w:tc>
          <w:tcPr>
            <w:tcW w:type="dxa" w:w="2041"/>
          </w:tcPr>
          <w:p>
            <w:r/>
            <w:r>
              <w:rPr>
                <w:sz w:val="19"/>
              </w:rPr>
              <w:t>Gradient Boosting</w:t>
            </w:r>
          </w:p>
        </w:tc>
        <w:tc>
          <w:tcPr>
            <w:tcW w:type="dxa" w:w="4082"/>
          </w:tcPr>
          <w:p>
            <w:r/>
            <w:r>
              <w:rPr>
                <w:sz w:val="19"/>
              </w:rPr>
              <w:t>État de l'art sur données tabulaires ; apprentissage séquentiel des erreurs ; excellent compromis biais-variance.</w:t>
            </w:r>
          </w:p>
        </w:tc>
        <w:tc>
          <w:tcPr>
            <w:tcW w:type="dxa" w:w="3061"/>
          </w:tcPr>
          <w:p>
            <w:r/>
            <w:r>
              <w:rPr>
                <w:sz w:val="19"/>
              </w:rPr>
              <w:t>Sensible aux hyperparamètres ; entraînement plus long.</w:t>
            </w:r>
          </w:p>
        </w:tc>
      </w:tr>
    </w:tbl>
    <w:p/>
    <w:p>
      <w:pPr>
        <w:jc w:val="center"/>
      </w:pPr>
      <w:r>
        <w:rPr>
          <w:i/>
          <w:color w:val="C0567E"/>
          <w:sz w:val="18"/>
        </w:rPr>
        <w:t>Tableau 1.4 — Modèles retenus et justification</w:t>
      </w:r>
    </w:p>
    <w:p>
      <w:pPr>
        <w:jc w:val="both"/>
      </w:pPr>
      <w:r>
        <w:rPr>
          <w:b w:val="0"/>
          <w:i w:val="0"/>
        </w:rPr>
        <w:t>Modèle A (compatibilité « peau sensible ») : entrée = TF-IDF des ingrédients + catégorie encodée + prix et note standardisés ; cible = indicateur Sensitive. Modèle B (satisfaction client) : entrée = profil client (sexe, âge, budget, type de peau) + attributs du produit (catégorie, prix, note, compatibilité) ; cible = satisfaction binaire. Découpe 80/20 stratifiée, graine fixée (42) pour la reproductibilité.</w:t>
      </w:r>
    </w:p>
    <w:p>
      <w:pPr>
        <w:pStyle w:val="Heading2"/>
      </w:pPr>
      <w:r>
        <w:t>1.6. Évaluation et analyse comparative</w:t>
      </w:r>
    </w:p>
    <w:p>
      <w:pPr>
        <w:pStyle w:val="Heading3"/>
      </w:pPr>
      <w:r>
        <w:t>1.6.1. Modèle A — compatibilité peau sensible (données réelles)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608"/>
            <w:shd w:val="clear" w:fill="7B2D62"/>
          </w:tcPr>
          <w:p>
            <w:r/>
            <w:r>
              <w:rPr>
                <w:b/>
                <w:color w:val="FFFFFF"/>
                <w:sz w:val="19"/>
              </w:rPr>
              <w:t>Modèle</w:t>
            </w:r>
          </w:p>
        </w:tc>
        <w:tc>
          <w:tcPr>
            <w:tcW w:type="dxa" w:w="1304"/>
            <w:shd w:val="clear" w:fill="7B2D62"/>
          </w:tcPr>
          <w:p>
            <w:r/>
            <w:r>
              <w:rPr>
                <w:b/>
                <w:color w:val="FFFFFF"/>
                <w:sz w:val="19"/>
              </w:rPr>
              <w:t>Accuracy</w:t>
            </w:r>
          </w:p>
        </w:tc>
        <w:tc>
          <w:tcPr>
            <w:tcW w:type="dxa" w:w="1304"/>
            <w:shd w:val="clear" w:fill="7B2D62"/>
          </w:tcPr>
          <w:p>
            <w:r/>
            <w:r>
              <w:rPr>
                <w:b/>
                <w:color w:val="FFFFFF"/>
                <w:sz w:val="19"/>
              </w:rPr>
              <w:t>Précision</w:t>
            </w:r>
          </w:p>
        </w:tc>
        <w:tc>
          <w:tcPr>
            <w:tcW w:type="dxa" w:w="1304"/>
            <w:shd w:val="clear" w:fill="7B2D62"/>
          </w:tcPr>
          <w:p>
            <w:r/>
            <w:r>
              <w:rPr>
                <w:b/>
                <w:color w:val="FFFFFF"/>
                <w:sz w:val="19"/>
              </w:rPr>
              <w:t>Rappel</w:t>
            </w:r>
          </w:p>
        </w:tc>
        <w:tc>
          <w:tcPr>
            <w:tcW w:type="dxa" w:w="1304"/>
            <w:shd w:val="clear" w:fill="7B2D62"/>
          </w:tcPr>
          <w:p>
            <w:r/>
            <w:r>
              <w:rPr>
                <w:b/>
                <w:color w:val="FFFFFF"/>
                <w:sz w:val="19"/>
              </w:rPr>
              <w:t>F1-score</w:t>
            </w:r>
          </w:p>
        </w:tc>
        <w:tc>
          <w:tcPr>
            <w:tcW w:type="dxa" w:w="1304"/>
            <w:shd w:val="clear" w:fill="7B2D62"/>
          </w:tcPr>
          <w:p>
            <w:r/>
            <w:r>
              <w:rPr>
                <w:b/>
                <w:color w:val="FFFFFF"/>
                <w:sz w:val="19"/>
              </w:rPr>
              <w:t>AUC</w:t>
            </w:r>
          </w:p>
        </w:tc>
      </w:tr>
      <w:tr>
        <w:tc>
          <w:tcPr>
            <w:tcW w:type="dxa" w:w="2608"/>
          </w:tcPr>
          <w:p>
            <w:r/>
            <w:r>
              <w:rPr>
                <w:sz w:val="19"/>
              </w:rPr>
              <w:t>Régression Logistique</w:t>
            </w:r>
          </w:p>
        </w:tc>
        <w:tc>
          <w:tcPr>
            <w:tcW w:type="dxa" w:w="1304"/>
          </w:tcPr>
          <w:p>
            <w:r/>
            <w:r>
              <w:rPr>
                <w:sz w:val="19"/>
              </w:rPr>
              <w:t>0.558</w:t>
            </w:r>
          </w:p>
        </w:tc>
        <w:tc>
          <w:tcPr>
            <w:tcW w:type="dxa" w:w="1304"/>
          </w:tcPr>
          <w:p>
            <w:r/>
            <w:r>
              <w:rPr>
                <w:sz w:val="19"/>
              </w:rPr>
              <w:t>0.567</w:t>
            </w:r>
          </w:p>
        </w:tc>
        <w:tc>
          <w:tcPr>
            <w:tcW w:type="dxa" w:w="1304"/>
          </w:tcPr>
          <w:p>
            <w:r/>
            <w:r>
              <w:rPr>
                <w:sz w:val="19"/>
              </w:rPr>
              <w:t>0.589</w:t>
            </w:r>
          </w:p>
        </w:tc>
        <w:tc>
          <w:tcPr>
            <w:tcW w:type="dxa" w:w="1304"/>
          </w:tcPr>
          <w:p>
            <w:r/>
            <w:r>
              <w:rPr>
                <w:sz w:val="19"/>
              </w:rPr>
              <w:t>0.578</w:t>
            </w:r>
          </w:p>
        </w:tc>
        <w:tc>
          <w:tcPr>
            <w:tcW w:type="dxa" w:w="1304"/>
          </w:tcPr>
          <w:p>
            <w:r/>
            <w:r>
              <w:rPr>
                <w:sz w:val="19"/>
              </w:rPr>
              <w:t>0.628</w:t>
            </w:r>
          </w:p>
        </w:tc>
      </w:tr>
      <w:tr>
        <w:tc>
          <w:tcPr>
            <w:tcW w:type="dxa" w:w="2608"/>
            <w:shd w:val="clear" w:fill="F6EBF1"/>
          </w:tcPr>
          <w:p>
            <w:r/>
            <w:r>
              <w:rPr>
                <w:sz w:val="19"/>
              </w:rPr>
              <w:t>Random Forest</w:t>
            </w:r>
          </w:p>
        </w:tc>
        <w:tc>
          <w:tcPr>
            <w:tcW w:type="dxa" w:w="1304"/>
            <w:shd w:val="clear" w:fill="F6EBF1"/>
          </w:tcPr>
          <w:p>
            <w:r/>
            <w:r>
              <w:rPr>
                <w:sz w:val="19"/>
              </w:rPr>
              <w:t>0.595</w:t>
            </w:r>
          </w:p>
        </w:tc>
        <w:tc>
          <w:tcPr>
            <w:tcW w:type="dxa" w:w="1304"/>
            <w:shd w:val="clear" w:fill="F6EBF1"/>
          </w:tcPr>
          <w:p>
            <w:r/>
            <w:r>
              <w:rPr>
                <w:sz w:val="19"/>
              </w:rPr>
              <w:t>0.616</w:t>
            </w:r>
          </w:p>
        </w:tc>
        <w:tc>
          <w:tcPr>
            <w:tcW w:type="dxa" w:w="1304"/>
            <w:shd w:val="clear" w:fill="F6EBF1"/>
          </w:tcPr>
          <w:p>
            <w:r/>
            <w:r>
              <w:rPr>
                <w:sz w:val="19"/>
              </w:rPr>
              <w:t>0.563</w:t>
            </w:r>
          </w:p>
        </w:tc>
        <w:tc>
          <w:tcPr>
            <w:tcW w:type="dxa" w:w="1304"/>
            <w:shd w:val="clear" w:fill="F6EBF1"/>
          </w:tcPr>
          <w:p>
            <w:r/>
            <w:r>
              <w:rPr>
                <w:sz w:val="19"/>
              </w:rPr>
              <w:t>0.588</w:t>
            </w:r>
          </w:p>
        </w:tc>
        <w:tc>
          <w:tcPr>
            <w:tcW w:type="dxa" w:w="1304"/>
            <w:shd w:val="clear" w:fill="F6EBF1"/>
          </w:tcPr>
          <w:p>
            <w:r/>
            <w:r>
              <w:rPr>
                <w:sz w:val="19"/>
              </w:rPr>
              <w:t>0.636</w:t>
            </w:r>
          </w:p>
        </w:tc>
      </w:tr>
      <w:tr>
        <w:tc>
          <w:tcPr>
            <w:tcW w:type="dxa" w:w="2608"/>
          </w:tcPr>
          <w:p>
            <w:r/>
            <w:r>
              <w:rPr>
                <w:sz w:val="19"/>
              </w:rPr>
              <w:t>Gradient Boosting</w:t>
            </w:r>
          </w:p>
        </w:tc>
        <w:tc>
          <w:tcPr>
            <w:tcW w:type="dxa" w:w="1304"/>
          </w:tcPr>
          <w:p>
            <w:r/>
            <w:r>
              <w:rPr>
                <w:sz w:val="19"/>
              </w:rPr>
              <w:t>0.595</w:t>
            </w:r>
          </w:p>
        </w:tc>
        <w:tc>
          <w:tcPr>
            <w:tcW w:type="dxa" w:w="1304"/>
          </w:tcPr>
          <w:p>
            <w:r/>
            <w:r>
              <w:rPr>
                <w:sz w:val="19"/>
              </w:rPr>
              <w:t>0.611</w:t>
            </w:r>
          </w:p>
        </w:tc>
        <w:tc>
          <w:tcPr>
            <w:tcW w:type="dxa" w:w="1304"/>
          </w:tcPr>
          <w:p>
            <w:r/>
            <w:r>
              <w:rPr>
                <w:sz w:val="19"/>
              </w:rPr>
              <w:t>0.583</w:t>
            </w:r>
          </w:p>
        </w:tc>
        <w:tc>
          <w:tcPr>
            <w:tcW w:type="dxa" w:w="1304"/>
          </w:tcPr>
          <w:p>
            <w:r/>
            <w:r>
              <w:rPr>
                <w:sz w:val="19"/>
              </w:rPr>
              <w:t>0.597</w:t>
            </w:r>
          </w:p>
        </w:tc>
        <w:tc>
          <w:tcPr>
            <w:tcW w:type="dxa" w:w="1304"/>
          </w:tcPr>
          <w:p>
            <w:r/>
            <w:r>
              <w:rPr>
                <w:sz w:val="19"/>
              </w:rPr>
              <w:t>0.677</w:t>
            </w:r>
          </w:p>
        </w:tc>
      </w:tr>
    </w:tbl>
    <w:p/>
    <w:p>
      <w:pPr>
        <w:jc w:val="center"/>
      </w:pPr>
      <w:r>
        <w:rPr>
          <w:i/>
          <w:color w:val="C0567E"/>
          <w:sz w:val="18"/>
        </w:rPr>
        <w:t>Tableau 1.5 — Performances des trois modèles (modèle A, jeu de test)</w:t>
      </w:r>
    </w:p>
    <w:p>
      <w:pPr>
        <w:jc w:val="center"/>
      </w:pPr>
      <w:r>
        <w:drawing>
          <wp:inline xmlns:a="http://schemas.openxmlformats.org/drawingml/2006/main" xmlns:pic="http://schemas.openxmlformats.org/drawingml/2006/picture">
            <wp:extent cx="5580000" cy="2232000"/>
            <wp:docPr id="6" name="Picture 6"/>
            <wp:cNvGraphicFramePr>
              <a:graphicFrameLocks noChangeAspect="1"/>
            </wp:cNvGraphicFramePr>
            <a:graphic>
              <a:graphicData uri="http://schemas.openxmlformats.org/drawingml/2006/picture">
                <pic:pic>
                  <pic:nvPicPr>
                    <pic:cNvPr id="0" name="fig6_modeleA.png"/>
                    <pic:cNvPicPr/>
                  </pic:nvPicPr>
                  <pic:blipFill>
                    <a:blip r:embed="rId15"/>
                    <a:stretch>
                      <a:fillRect/>
                    </a:stretch>
                  </pic:blipFill>
                  <pic:spPr>
                    <a:xfrm>
                      <a:off x="0" y="0"/>
                      <a:ext cx="5580000" cy="2232000"/>
                    </a:xfrm>
                    <a:prstGeom prst="rect"/>
                  </pic:spPr>
                </pic:pic>
              </a:graphicData>
            </a:graphic>
          </wp:inline>
        </w:drawing>
      </w:r>
    </w:p>
    <w:p>
      <w:pPr>
        <w:jc w:val="center"/>
      </w:pPr>
      <w:r>
        <w:rPr>
          <w:i/>
          <w:color w:val="C0567E"/>
          <w:sz w:val="18"/>
        </w:rPr>
        <w:t>Figure 1.6 — Matrice de confusion (Gradient Boosting) et courbes ROC — modèle A</w:t>
      </w:r>
    </w:p>
    <w:p>
      <w:pPr>
        <w:jc w:val="both"/>
      </w:pPr>
      <w:r>
        <w:rPr>
          <w:b w:val="0"/>
          <w:i w:val="0"/>
        </w:rPr>
        <w:t>Le meilleur compromis est obtenu par le modèle « Gradient Boosting » (F1 = 0.597, AUC = 0.677). La tâche est intrinsèquement difficile : l'étiquette « peau sensible » du catalogue dépend en partie de déclarations marketing hétérogènes. Le modèle apprend néanmoins des régularités chimiques pertinentes — la présence de parfums, d'alcool dénaturé ou d'huiles essentielles pénalise la compatibilité sensible, tandis que les formulations courtes et apaisantes la favorisent.</w:t>
      </w:r>
    </w:p>
    <w:p>
      <w:pPr>
        <w:pStyle w:val="Heading3"/>
      </w:pPr>
      <w:r>
        <w:t>1.6.2. Modèle B — satisfaction client (moteur de recommandation)</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608"/>
            <w:shd w:val="clear" w:fill="7B2D62"/>
          </w:tcPr>
          <w:p>
            <w:r/>
            <w:r>
              <w:rPr>
                <w:b/>
                <w:color w:val="FFFFFF"/>
                <w:sz w:val="19"/>
              </w:rPr>
              <w:t>Modèle</w:t>
            </w:r>
          </w:p>
        </w:tc>
        <w:tc>
          <w:tcPr>
            <w:tcW w:type="dxa" w:w="1304"/>
            <w:shd w:val="clear" w:fill="7B2D62"/>
          </w:tcPr>
          <w:p>
            <w:r/>
            <w:r>
              <w:rPr>
                <w:b/>
                <w:color w:val="FFFFFF"/>
                <w:sz w:val="19"/>
              </w:rPr>
              <w:t>Accuracy</w:t>
            </w:r>
          </w:p>
        </w:tc>
        <w:tc>
          <w:tcPr>
            <w:tcW w:type="dxa" w:w="1304"/>
            <w:shd w:val="clear" w:fill="7B2D62"/>
          </w:tcPr>
          <w:p>
            <w:r/>
            <w:r>
              <w:rPr>
                <w:b/>
                <w:color w:val="FFFFFF"/>
                <w:sz w:val="19"/>
              </w:rPr>
              <w:t>Précision</w:t>
            </w:r>
          </w:p>
        </w:tc>
        <w:tc>
          <w:tcPr>
            <w:tcW w:type="dxa" w:w="1304"/>
            <w:shd w:val="clear" w:fill="7B2D62"/>
          </w:tcPr>
          <w:p>
            <w:r/>
            <w:r>
              <w:rPr>
                <w:b/>
                <w:color w:val="FFFFFF"/>
                <w:sz w:val="19"/>
              </w:rPr>
              <w:t>Rappel</w:t>
            </w:r>
          </w:p>
        </w:tc>
        <w:tc>
          <w:tcPr>
            <w:tcW w:type="dxa" w:w="1304"/>
            <w:shd w:val="clear" w:fill="7B2D62"/>
          </w:tcPr>
          <w:p>
            <w:r/>
            <w:r>
              <w:rPr>
                <w:b/>
                <w:color w:val="FFFFFF"/>
                <w:sz w:val="19"/>
              </w:rPr>
              <w:t>F1-score</w:t>
            </w:r>
          </w:p>
        </w:tc>
        <w:tc>
          <w:tcPr>
            <w:tcW w:type="dxa" w:w="1304"/>
            <w:shd w:val="clear" w:fill="7B2D62"/>
          </w:tcPr>
          <w:p>
            <w:r/>
            <w:r>
              <w:rPr>
                <w:b/>
                <w:color w:val="FFFFFF"/>
                <w:sz w:val="19"/>
              </w:rPr>
              <w:t>AUC</w:t>
            </w:r>
          </w:p>
        </w:tc>
      </w:tr>
      <w:tr>
        <w:tc>
          <w:tcPr>
            <w:tcW w:type="dxa" w:w="2608"/>
          </w:tcPr>
          <w:p>
            <w:r/>
            <w:r>
              <w:rPr>
                <w:sz w:val="19"/>
              </w:rPr>
              <w:t>Régression Logistique</w:t>
            </w:r>
          </w:p>
        </w:tc>
        <w:tc>
          <w:tcPr>
            <w:tcW w:type="dxa" w:w="1304"/>
          </w:tcPr>
          <w:p>
            <w:r/>
            <w:r>
              <w:rPr>
                <w:sz w:val="19"/>
              </w:rPr>
              <w:t>0.785</w:t>
            </w:r>
          </w:p>
        </w:tc>
        <w:tc>
          <w:tcPr>
            <w:tcW w:type="dxa" w:w="1304"/>
          </w:tcPr>
          <w:p>
            <w:r/>
            <w:r>
              <w:rPr>
                <w:sz w:val="19"/>
              </w:rPr>
              <w:t>0.791</w:t>
            </w:r>
          </w:p>
        </w:tc>
        <w:tc>
          <w:tcPr>
            <w:tcW w:type="dxa" w:w="1304"/>
          </w:tcPr>
          <w:p>
            <w:r/>
            <w:r>
              <w:rPr>
                <w:sz w:val="19"/>
              </w:rPr>
              <w:t>0.834</w:t>
            </w:r>
          </w:p>
        </w:tc>
        <w:tc>
          <w:tcPr>
            <w:tcW w:type="dxa" w:w="1304"/>
          </w:tcPr>
          <w:p>
            <w:r/>
            <w:r>
              <w:rPr>
                <w:sz w:val="19"/>
              </w:rPr>
              <w:t>0.812</w:t>
            </w:r>
          </w:p>
        </w:tc>
        <w:tc>
          <w:tcPr>
            <w:tcW w:type="dxa" w:w="1304"/>
          </w:tcPr>
          <w:p>
            <w:r/>
            <w:r>
              <w:rPr>
                <w:sz w:val="19"/>
              </w:rPr>
              <w:t>0.876</w:t>
            </w:r>
          </w:p>
        </w:tc>
      </w:tr>
      <w:tr>
        <w:tc>
          <w:tcPr>
            <w:tcW w:type="dxa" w:w="2608"/>
            <w:shd w:val="clear" w:fill="F6EBF1"/>
          </w:tcPr>
          <w:p>
            <w:r/>
            <w:r>
              <w:rPr>
                <w:sz w:val="19"/>
              </w:rPr>
              <w:t>Random Forest</w:t>
            </w:r>
          </w:p>
        </w:tc>
        <w:tc>
          <w:tcPr>
            <w:tcW w:type="dxa" w:w="1304"/>
            <w:shd w:val="clear" w:fill="F6EBF1"/>
          </w:tcPr>
          <w:p>
            <w:r/>
            <w:r>
              <w:rPr>
                <w:sz w:val="19"/>
              </w:rPr>
              <w:t>0.811</w:t>
            </w:r>
          </w:p>
        </w:tc>
        <w:tc>
          <w:tcPr>
            <w:tcW w:type="dxa" w:w="1304"/>
            <w:shd w:val="clear" w:fill="F6EBF1"/>
          </w:tcPr>
          <w:p>
            <w:r/>
            <w:r>
              <w:rPr>
                <w:sz w:val="19"/>
              </w:rPr>
              <w:t>0.824</w:t>
            </w:r>
          </w:p>
        </w:tc>
        <w:tc>
          <w:tcPr>
            <w:tcW w:type="dxa" w:w="1304"/>
            <w:shd w:val="clear" w:fill="F6EBF1"/>
          </w:tcPr>
          <w:p>
            <w:r/>
            <w:r>
              <w:rPr>
                <w:sz w:val="19"/>
              </w:rPr>
              <w:t>0.84</w:t>
            </w:r>
          </w:p>
        </w:tc>
        <w:tc>
          <w:tcPr>
            <w:tcW w:type="dxa" w:w="1304"/>
            <w:shd w:val="clear" w:fill="F6EBF1"/>
          </w:tcPr>
          <w:p>
            <w:r/>
            <w:r>
              <w:rPr>
                <w:sz w:val="19"/>
              </w:rPr>
              <w:t>0.831</w:t>
            </w:r>
          </w:p>
        </w:tc>
        <w:tc>
          <w:tcPr>
            <w:tcW w:type="dxa" w:w="1304"/>
            <w:shd w:val="clear" w:fill="F6EBF1"/>
          </w:tcPr>
          <w:p>
            <w:r/>
            <w:r>
              <w:rPr>
                <w:sz w:val="19"/>
              </w:rPr>
              <w:t>0.899</w:t>
            </w:r>
          </w:p>
        </w:tc>
      </w:tr>
      <w:tr>
        <w:tc>
          <w:tcPr>
            <w:tcW w:type="dxa" w:w="2608"/>
          </w:tcPr>
          <w:p>
            <w:r/>
            <w:r>
              <w:rPr>
                <w:sz w:val="19"/>
              </w:rPr>
              <w:t>Gradient Boosting</w:t>
            </w:r>
          </w:p>
        </w:tc>
        <w:tc>
          <w:tcPr>
            <w:tcW w:type="dxa" w:w="1304"/>
          </w:tcPr>
          <w:p>
            <w:r/>
            <w:r>
              <w:rPr>
                <w:sz w:val="19"/>
              </w:rPr>
              <w:t>0.804</w:t>
            </w:r>
          </w:p>
        </w:tc>
        <w:tc>
          <w:tcPr>
            <w:tcW w:type="dxa" w:w="1304"/>
          </w:tcPr>
          <w:p>
            <w:r/>
            <w:r>
              <w:rPr>
                <w:sz w:val="19"/>
              </w:rPr>
              <w:t>0.808</w:t>
            </w:r>
          </w:p>
        </w:tc>
        <w:tc>
          <w:tcPr>
            <w:tcW w:type="dxa" w:w="1304"/>
          </w:tcPr>
          <w:p>
            <w:r/>
            <w:r>
              <w:rPr>
                <w:sz w:val="19"/>
              </w:rPr>
              <w:t>0.849</w:t>
            </w:r>
          </w:p>
        </w:tc>
        <w:tc>
          <w:tcPr>
            <w:tcW w:type="dxa" w:w="1304"/>
          </w:tcPr>
          <w:p>
            <w:r/>
            <w:r>
              <w:rPr>
                <w:sz w:val="19"/>
              </w:rPr>
              <w:t>0.828</w:t>
            </w:r>
          </w:p>
        </w:tc>
        <w:tc>
          <w:tcPr>
            <w:tcW w:type="dxa" w:w="1304"/>
          </w:tcPr>
          <w:p>
            <w:r/>
            <w:r>
              <w:rPr>
                <w:sz w:val="19"/>
              </w:rPr>
              <w:t>0.897</w:t>
            </w:r>
          </w:p>
        </w:tc>
      </w:tr>
    </w:tbl>
    <w:p/>
    <w:p>
      <w:pPr>
        <w:jc w:val="center"/>
      </w:pPr>
      <w:r>
        <w:rPr>
          <w:i/>
          <w:color w:val="C0567E"/>
          <w:sz w:val="18"/>
        </w:rPr>
        <w:t>Tableau 1.6 — Performances des trois modèles (modèle B, jeu de test)</w:t>
      </w:r>
    </w:p>
    <w:p>
      <w:pPr>
        <w:jc w:val="center"/>
      </w:pPr>
      <w:r>
        <w:drawing>
          <wp:inline xmlns:a="http://schemas.openxmlformats.org/drawingml/2006/main" xmlns:pic="http://schemas.openxmlformats.org/drawingml/2006/picture">
            <wp:extent cx="5580000" cy="2232000"/>
            <wp:docPr id="7" name="Picture 7"/>
            <wp:cNvGraphicFramePr>
              <a:graphicFrameLocks noChangeAspect="1"/>
            </wp:cNvGraphicFramePr>
            <a:graphic>
              <a:graphicData uri="http://schemas.openxmlformats.org/drawingml/2006/picture">
                <pic:pic>
                  <pic:nvPicPr>
                    <pic:cNvPr id="0" name="fig7_modeleB.png"/>
                    <pic:cNvPicPr/>
                  </pic:nvPicPr>
                  <pic:blipFill>
                    <a:blip r:embed="rId16"/>
                    <a:stretch>
                      <a:fillRect/>
                    </a:stretch>
                  </pic:blipFill>
                  <pic:spPr>
                    <a:xfrm>
                      <a:off x="0" y="0"/>
                      <a:ext cx="5580000" cy="2232000"/>
                    </a:xfrm>
                    <a:prstGeom prst="rect"/>
                  </pic:spPr>
                </pic:pic>
              </a:graphicData>
            </a:graphic>
          </wp:inline>
        </w:drawing>
      </w:r>
    </w:p>
    <w:p>
      <w:pPr>
        <w:jc w:val="center"/>
      </w:pPr>
      <w:r>
        <w:rPr>
          <w:i/>
          <w:color w:val="C0567E"/>
          <w:sz w:val="18"/>
        </w:rPr>
        <w:t>Figure 1.7 — Matrice de confusion (Random Forest) et comparaison des F1-scores</w:t>
      </w:r>
    </w:p>
    <w:p>
      <w:pPr>
        <w:jc w:val="center"/>
      </w:pPr>
      <w:r>
        <w:drawing>
          <wp:inline xmlns:a="http://schemas.openxmlformats.org/drawingml/2006/main" xmlns:pic="http://schemas.openxmlformats.org/drawingml/2006/picture">
            <wp:extent cx="5580000" cy="2954118"/>
            <wp:docPr id="8" name="Picture 8"/>
            <wp:cNvGraphicFramePr>
              <a:graphicFrameLocks noChangeAspect="1"/>
            </wp:cNvGraphicFramePr>
            <a:graphic>
              <a:graphicData uri="http://schemas.openxmlformats.org/drawingml/2006/picture">
                <pic:pic>
                  <pic:nvPicPr>
                    <pic:cNvPr id="0" name="fig9_importance.png"/>
                    <pic:cNvPicPr/>
                  </pic:nvPicPr>
                  <pic:blipFill>
                    <a:blip r:embed="rId17"/>
                    <a:stretch>
                      <a:fillRect/>
                    </a:stretch>
                  </pic:blipFill>
                  <pic:spPr>
                    <a:xfrm>
                      <a:off x="0" y="0"/>
                      <a:ext cx="5580000" cy="2954118"/>
                    </a:xfrm>
                    <a:prstGeom prst="rect"/>
                  </pic:spPr>
                </pic:pic>
              </a:graphicData>
            </a:graphic>
          </wp:inline>
        </w:drawing>
      </w:r>
    </w:p>
    <w:p>
      <w:pPr>
        <w:jc w:val="center"/>
      </w:pPr>
      <w:r>
        <w:rPr>
          <w:i/>
          <w:color w:val="C0567E"/>
          <w:sz w:val="18"/>
        </w:rPr>
        <w:t>Figure 1.8 — Importance des variables (Random Forest, modèle B)</w:t>
      </w:r>
    </w:p>
    <w:p>
      <w:pPr>
        <w:jc w:val="both"/>
      </w:pPr>
      <w:r>
        <w:rPr>
          <w:b w:val="0"/>
          <w:i w:val="0"/>
        </w:rPr>
        <w:t>L'importance des variables confirme la logique métier : la compatibilité produit-type de peau et l'adéquation prix-budget dominent la prédiction, suivies de la note du produit ; le sexe et l'âge jouent un rôle de modulation (préférences de catégories, tolérance aux prix élevés).</w:t>
      </w:r>
    </w:p>
    <w:p>
      <w:pPr>
        <w:pStyle w:val="Heading3"/>
      </w:pPr>
      <w:r>
        <w:t>1.6.3. Analyse par sous-groupes et discussion des biais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701"/>
            <w:shd w:val="clear" w:fill="7B2D62"/>
          </w:tcPr>
          <w:p>
            <w:r/>
            <w:r>
              <w:rPr>
                <w:b/>
                <w:color w:val="FFFFFF"/>
                <w:sz w:val="19"/>
              </w:rPr>
              <w:t>Sous-groupe</w:t>
            </w:r>
          </w:p>
        </w:tc>
        <w:tc>
          <w:tcPr>
            <w:tcW w:type="dxa" w:w="1361"/>
            <w:shd w:val="clear" w:fill="7B2D62"/>
          </w:tcPr>
          <w:p>
            <w:r/>
            <w:r>
              <w:rPr>
                <w:b/>
                <w:color w:val="FFFFFF"/>
                <w:sz w:val="19"/>
              </w:rPr>
              <w:t>Effectif test</w:t>
            </w:r>
          </w:p>
        </w:tc>
        <w:tc>
          <w:tcPr>
            <w:tcW w:type="dxa" w:w="1361"/>
            <w:shd w:val="clear" w:fill="7B2D62"/>
          </w:tcPr>
          <w:p>
            <w:r/>
            <w:r>
              <w:rPr>
                <w:b/>
                <w:color w:val="FFFFFF"/>
                <w:sz w:val="19"/>
              </w:rPr>
              <w:t>Accuracy</w:t>
            </w:r>
          </w:p>
        </w:tc>
        <w:tc>
          <w:tcPr>
            <w:tcW w:type="dxa" w:w="1361"/>
            <w:shd w:val="clear" w:fill="7B2D62"/>
          </w:tcPr>
          <w:p>
            <w:r/>
            <w:r>
              <w:rPr>
                <w:b/>
                <w:color w:val="FFFFFF"/>
                <w:sz w:val="19"/>
              </w:rPr>
              <w:t>F1-score</w:t>
            </w:r>
          </w:p>
        </w:tc>
        <w:tc>
          <w:tcPr>
            <w:tcW w:type="dxa" w:w="1361"/>
            <w:shd w:val="clear" w:fill="7B2D62"/>
          </w:tcPr>
          <w:p>
            <w:r/>
            <w:r>
              <w:rPr>
                <w:b/>
                <w:color w:val="FFFFFF"/>
                <w:sz w:val="19"/>
              </w:rPr>
              <w:t>Rappel</w:t>
            </w:r>
          </w:p>
        </w:tc>
        <w:tc>
          <w:tcPr>
            <w:tcW w:type="dxa" w:w="2041"/>
            <w:shd w:val="clear" w:fill="7B2D62"/>
          </w:tcPr>
          <w:p>
            <w:r/>
            <w:r>
              <w:rPr>
                <w:b/>
                <w:color w:val="FFFFFF"/>
                <w:sz w:val="19"/>
              </w:rPr>
              <w:t>Taux de satisfaction réel</w:t>
            </w:r>
          </w:p>
        </w:tc>
      </w:tr>
      <w:tr>
        <w:tc>
          <w:tcPr>
            <w:tcW w:type="dxa" w:w="1701"/>
          </w:tcPr>
          <w:p>
            <w:r/>
            <w:r>
              <w:rPr>
                <w:sz w:val="19"/>
              </w:rPr>
              <w:t>Femme</w:t>
            </w:r>
          </w:p>
        </w:tc>
        <w:tc>
          <w:tcPr>
            <w:tcW w:type="dxa" w:w="1361"/>
          </w:tcPr>
          <w:p>
            <w:r/>
            <w:r>
              <w:rPr>
                <w:sz w:val="19"/>
              </w:rPr>
              <w:t>1707</w:t>
            </w:r>
          </w:p>
        </w:tc>
        <w:tc>
          <w:tcPr>
            <w:tcW w:type="dxa" w:w="1361"/>
          </w:tcPr>
          <w:p>
            <w:r/>
            <w:r>
              <w:rPr>
                <w:sz w:val="19"/>
              </w:rPr>
              <w:t>0.812</w:t>
            </w:r>
          </w:p>
        </w:tc>
        <w:tc>
          <w:tcPr>
            <w:tcW w:type="dxa" w:w="1361"/>
          </w:tcPr>
          <w:p>
            <w:r/>
            <w:r>
              <w:rPr>
                <w:sz w:val="19"/>
              </w:rPr>
              <w:t>0.833</w:t>
            </w:r>
          </w:p>
        </w:tc>
        <w:tc>
          <w:tcPr>
            <w:tcW w:type="dxa" w:w="1361"/>
          </w:tcPr>
          <w:p>
            <w:r/>
            <w:r>
              <w:rPr>
                <w:sz w:val="19"/>
              </w:rPr>
              <w:t>0.84</w:t>
            </w:r>
          </w:p>
        </w:tc>
        <w:tc>
          <w:tcPr>
            <w:tcW w:type="dxa" w:w="2041"/>
          </w:tcPr>
          <w:p>
            <w:r/>
            <w:r>
              <w:rPr>
                <w:sz w:val="19"/>
              </w:rPr>
              <w:t>0.557</w:t>
            </w:r>
          </w:p>
        </w:tc>
      </w:tr>
      <w:tr>
        <w:tc>
          <w:tcPr>
            <w:tcW w:type="dxa" w:w="1701"/>
            <w:shd w:val="clear" w:fill="F6EBF1"/>
          </w:tcPr>
          <w:p>
            <w:r/>
            <w:r>
              <w:rPr>
                <w:sz w:val="19"/>
              </w:rPr>
              <w:t>Homme</w:t>
            </w:r>
          </w:p>
        </w:tc>
        <w:tc>
          <w:tcPr>
            <w:tcW w:type="dxa" w:w="1361"/>
            <w:shd w:val="clear" w:fill="F6EBF1"/>
          </w:tcPr>
          <w:p>
            <w:r/>
            <w:r>
              <w:rPr>
                <w:sz w:val="19"/>
              </w:rPr>
              <w:t>693</w:t>
            </w:r>
          </w:p>
        </w:tc>
        <w:tc>
          <w:tcPr>
            <w:tcW w:type="dxa" w:w="1361"/>
            <w:shd w:val="clear" w:fill="F6EBF1"/>
          </w:tcPr>
          <w:p>
            <w:r/>
            <w:r>
              <w:rPr>
                <w:sz w:val="19"/>
              </w:rPr>
              <w:t>0.808</w:t>
            </w:r>
          </w:p>
        </w:tc>
        <w:tc>
          <w:tcPr>
            <w:tcW w:type="dxa" w:w="1361"/>
            <w:shd w:val="clear" w:fill="F6EBF1"/>
          </w:tcPr>
          <w:p>
            <w:r/>
            <w:r>
              <w:rPr>
                <w:sz w:val="19"/>
              </w:rPr>
              <w:t>0.829</w:t>
            </w:r>
          </w:p>
        </w:tc>
        <w:tc>
          <w:tcPr>
            <w:tcW w:type="dxa" w:w="1361"/>
            <w:shd w:val="clear" w:fill="F6EBF1"/>
          </w:tcPr>
          <w:p>
            <w:r/>
            <w:r>
              <w:rPr>
                <w:sz w:val="19"/>
              </w:rPr>
              <w:t>0.839</w:t>
            </w:r>
          </w:p>
        </w:tc>
        <w:tc>
          <w:tcPr>
            <w:tcW w:type="dxa" w:w="2041"/>
            <w:shd w:val="clear" w:fill="F6EBF1"/>
          </w:tcPr>
          <w:p>
            <w:r/>
            <w:r>
              <w:rPr>
                <w:sz w:val="19"/>
              </w:rPr>
              <w:t>0.554</w:t>
            </w:r>
          </w:p>
        </w:tc>
      </w:tr>
      <w:tr>
        <w:tc>
          <w:tcPr>
            <w:tcW w:type="dxa" w:w="1701"/>
          </w:tcPr>
          <w:p>
            <w:r/>
            <w:r>
              <w:rPr>
                <w:sz w:val="19"/>
              </w:rPr>
              <w:t>16-25</w:t>
            </w:r>
          </w:p>
        </w:tc>
        <w:tc>
          <w:tcPr>
            <w:tcW w:type="dxa" w:w="1361"/>
          </w:tcPr>
          <w:p>
            <w:r/>
            <w:r>
              <w:rPr>
                <w:sz w:val="19"/>
              </w:rPr>
              <w:t>795</w:t>
            </w:r>
          </w:p>
        </w:tc>
        <w:tc>
          <w:tcPr>
            <w:tcW w:type="dxa" w:w="1361"/>
          </w:tcPr>
          <w:p>
            <w:r/>
            <w:r>
              <w:rPr>
                <w:sz w:val="19"/>
              </w:rPr>
              <w:t>0.799</w:t>
            </w:r>
          </w:p>
        </w:tc>
        <w:tc>
          <w:tcPr>
            <w:tcW w:type="dxa" w:w="1361"/>
          </w:tcPr>
          <w:p>
            <w:r/>
            <w:r>
              <w:rPr>
                <w:sz w:val="19"/>
              </w:rPr>
              <w:t>0.823</w:t>
            </w:r>
          </w:p>
        </w:tc>
        <w:tc>
          <w:tcPr>
            <w:tcW w:type="dxa" w:w="1361"/>
          </w:tcPr>
          <w:p>
            <w:r/>
            <w:r>
              <w:rPr>
                <w:sz w:val="19"/>
              </w:rPr>
              <w:t>0.845</w:t>
            </w:r>
          </w:p>
        </w:tc>
        <w:tc>
          <w:tcPr>
            <w:tcW w:type="dxa" w:w="2041"/>
          </w:tcPr>
          <w:p>
            <w:r/>
            <w:r>
              <w:rPr>
                <w:sz w:val="19"/>
              </w:rPr>
              <w:t>0.552</w:t>
            </w:r>
          </w:p>
        </w:tc>
      </w:tr>
      <w:tr>
        <w:tc>
          <w:tcPr>
            <w:tcW w:type="dxa" w:w="1701"/>
            <w:shd w:val="clear" w:fill="F6EBF1"/>
          </w:tcPr>
          <w:p>
            <w:r/>
            <w:r>
              <w:rPr>
                <w:sz w:val="19"/>
              </w:rPr>
              <w:t>26-35</w:t>
            </w:r>
          </w:p>
        </w:tc>
        <w:tc>
          <w:tcPr>
            <w:tcW w:type="dxa" w:w="1361"/>
            <w:shd w:val="clear" w:fill="F6EBF1"/>
          </w:tcPr>
          <w:p>
            <w:r/>
            <w:r>
              <w:rPr>
                <w:sz w:val="19"/>
              </w:rPr>
              <w:t>836</w:t>
            </w:r>
          </w:p>
        </w:tc>
        <w:tc>
          <w:tcPr>
            <w:tcW w:type="dxa" w:w="1361"/>
            <w:shd w:val="clear" w:fill="F6EBF1"/>
          </w:tcPr>
          <w:p>
            <w:r/>
            <w:r>
              <w:rPr>
                <w:sz w:val="19"/>
              </w:rPr>
              <w:t>0.818</w:t>
            </w:r>
          </w:p>
        </w:tc>
        <w:tc>
          <w:tcPr>
            <w:tcW w:type="dxa" w:w="1361"/>
            <w:shd w:val="clear" w:fill="F6EBF1"/>
          </w:tcPr>
          <w:p>
            <w:r/>
            <w:r>
              <w:rPr>
                <w:sz w:val="19"/>
              </w:rPr>
              <w:t>0.837</w:t>
            </w:r>
          </w:p>
        </w:tc>
        <w:tc>
          <w:tcPr>
            <w:tcW w:type="dxa" w:w="1361"/>
            <w:shd w:val="clear" w:fill="F6EBF1"/>
          </w:tcPr>
          <w:p>
            <w:r/>
            <w:r>
              <w:rPr>
                <w:sz w:val="19"/>
              </w:rPr>
              <w:t>0.838</w:t>
            </w:r>
          </w:p>
        </w:tc>
        <w:tc>
          <w:tcPr>
            <w:tcW w:type="dxa" w:w="2041"/>
            <w:shd w:val="clear" w:fill="F6EBF1"/>
          </w:tcPr>
          <w:p>
            <w:r/>
            <w:r>
              <w:rPr>
                <w:sz w:val="19"/>
              </w:rPr>
              <w:t>0.555</w:t>
            </w:r>
          </w:p>
        </w:tc>
      </w:tr>
      <w:tr>
        <w:tc>
          <w:tcPr>
            <w:tcW w:type="dxa" w:w="1701"/>
          </w:tcPr>
          <w:p>
            <w:r/>
            <w:r>
              <w:rPr>
                <w:sz w:val="19"/>
              </w:rPr>
              <w:t>36-50</w:t>
            </w:r>
          </w:p>
        </w:tc>
        <w:tc>
          <w:tcPr>
            <w:tcW w:type="dxa" w:w="1361"/>
          </w:tcPr>
          <w:p>
            <w:r/>
            <w:r>
              <w:rPr>
                <w:sz w:val="19"/>
              </w:rPr>
              <w:t>686</w:t>
            </w:r>
          </w:p>
        </w:tc>
        <w:tc>
          <w:tcPr>
            <w:tcW w:type="dxa" w:w="1361"/>
          </w:tcPr>
          <w:p>
            <w:r/>
            <w:r>
              <w:rPr>
                <w:sz w:val="19"/>
              </w:rPr>
              <w:t>0.813</w:t>
            </w:r>
          </w:p>
        </w:tc>
        <w:tc>
          <w:tcPr>
            <w:tcW w:type="dxa" w:w="1361"/>
          </w:tcPr>
          <w:p>
            <w:r/>
            <w:r>
              <w:rPr>
                <w:sz w:val="19"/>
              </w:rPr>
              <w:t>0.831</w:t>
            </w:r>
          </w:p>
        </w:tc>
        <w:tc>
          <w:tcPr>
            <w:tcW w:type="dxa" w:w="1361"/>
          </w:tcPr>
          <w:p>
            <w:r/>
            <w:r>
              <w:rPr>
                <w:sz w:val="19"/>
              </w:rPr>
              <w:t>0.828</w:t>
            </w:r>
          </w:p>
        </w:tc>
        <w:tc>
          <w:tcPr>
            <w:tcW w:type="dxa" w:w="2041"/>
          </w:tcPr>
          <w:p>
            <w:r/>
            <w:r>
              <w:rPr>
                <w:sz w:val="19"/>
              </w:rPr>
              <w:t>0.552</w:t>
            </w:r>
          </w:p>
        </w:tc>
      </w:tr>
      <w:tr>
        <w:tc>
          <w:tcPr>
            <w:tcW w:type="dxa" w:w="1701"/>
            <w:shd w:val="clear" w:fill="F6EBF1"/>
          </w:tcPr>
          <w:p>
            <w:r/>
            <w:r>
              <w:rPr>
                <w:sz w:val="19"/>
              </w:rPr>
              <w:t>51-70</w:t>
            </w:r>
          </w:p>
        </w:tc>
        <w:tc>
          <w:tcPr>
            <w:tcW w:type="dxa" w:w="1361"/>
            <w:shd w:val="clear" w:fill="F6EBF1"/>
          </w:tcPr>
          <w:p>
            <w:r/>
            <w:r>
              <w:rPr>
                <w:sz w:val="19"/>
              </w:rPr>
              <w:t>83</w:t>
            </w:r>
          </w:p>
        </w:tc>
        <w:tc>
          <w:tcPr>
            <w:tcW w:type="dxa" w:w="1361"/>
            <w:shd w:val="clear" w:fill="F6EBF1"/>
          </w:tcPr>
          <w:p>
            <w:r/>
            <w:r>
              <w:rPr>
                <w:sz w:val="19"/>
              </w:rPr>
              <w:t>0.831</w:t>
            </w:r>
          </w:p>
        </w:tc>
        <w:tc>
          <w:tcPr>
            <w:tcW w:type="dxa" w:w="1361"/>
            <w:shd w:val="clear" w:fill="F6EBF1"/>
          </w:tcPr>
          <w:p>
            <w:r/>
            <w:r>
              <w:rPr>
                <w:sz w:val="19"/>
              </w:rPr>
              <w:t>0.868</w:t>
            </w:r>
          </w:p>
        </w:tc>
        <w:tc>
          <w:tcPr>
            <w:tcW w:type="dxa" w:w="1361"/>
            <w:shd w:val="clear" w:fill="F6EBF1"/>
          </w:tcPr>
          <w:p>
            <w:r/>
            <w:r>
              <w:rPr>
                <w:sz w:val="19"/>
              </w:rPr>
              <w:t>0.885</w:t>
            </w:r>
          </w:p>
        </w:tc>
        <w:tc>
          <w:tcPr>
            <w:tcW w:type="dxa" w:w="2041"/>
            <w:shd w:val="clear" w:fill="F6EBF1"/>
          </w:tcPr>
          <w:p>
            <w:r/>
            <w:r>
              <w:rPr>
                <w:sz w:val="19"/>
              </w:rPr>
              <w:t>0.627</w:t>
            </w:r>
          </w:p>
        </w:tc>
      </w:tr>
    </w:tbl>
    <w:p/>
    <w:p>
      <w:pPr>
        <w:jc w:val="center"/>
      </w:pPr>
      <w:r>
        <w:rPr>
          <w:i/>
          <w:color w:val="C0567E"/>
          <w:sz w:val="18"/>
        </w:rPr>
        <w:t>Tableau 1.7 — Performances du meilleur modèle B par sexe et par tranche d'âge</w:t>
      </w:r>
    </w:p>
    <w:p>
      <w:pPr>
        <w:jc w:val="center"/>
      </w:pPr>
      <w:r>
        <w:drawing>
          <wp:inline xmlns:a="http://schemas.openxmlformats.org/drawingml/2006/main" xmlns:pic="http://schemas.openxmlformats.org/drawingml/2006/picture">
            <wp:extent cx="5580000" cy="2092500"/>
            <wp:docPr id="9" name="Picture 9"/>
            <wp:cNvGraphicFramePr>
              <a:graphicFrameLocks noChangeAspect="1"/>
            </wp:cNvGraphicFramePr>
            <a:graphic>
              <a:graphicData uri="http://schemas.openxmlformats.org/drawingml/2006/picture">
                <pic:pic>
                  <pic:nvPicPr>
                    <pic:cNvPr id="0" name="fig8_sousgroupes.png"/>
                    <pic:cNvPicPr/>
                  </pic:nvPicPr>
                  <pic:blipFill>
                    <a:blip r:embed="rId18"/>
                    <a:stretch>
                      <a:fillRect/>
                    </a:stretch>
                  </pic:blipFill>
                  <pic:spPr>
                    <a:xfrm>
                      <a:off x="0" y="0"/>
                      <a:ext cx="5580000" cy="2092500"/>
                    </a:xfrm>
                    <a:prstGeom prst="rect"/>
                  </pic:spPr>
                </pic:pic>
              </a:graphicData>
            </a:graphic>
          </wp:inline>
        </w:drawing>
      </w:r>
    </w:p>
    <w:p>
      <w:pPr>
        <w:jc w:val="center"/>
      </w:pPr>
      <w:r>
        <w:rPr>
          <w:i/>
          <w:color w:val="C0567E"/>
          <w:sz w:val="18"/>
        </w:rPr>
        <w:t>Figure 1.9 — Performances par sexe et par tranche d'âge</w:t>
      </w:r>
    </w:p>
    <w:p>
      <w:pPr>
        <w:jc w:val="both"/>
      </w:pPr>
      <w:r>
        <w:rPr>
          <w:b w:val="0"/>
          <w:i w:val="0"/>
        </w:rPr>
        <w:t>L'écart d'accuracy entre femmes et hommes est de 0.004 point, et les écarts entre tranches d'âge restent contenus. Trois sources de biais potentiels doivent néanmoins être surveillées en production. Premièrement, un biais de représentation : les hommes ne constituent que 28 % de la base ; un modèle entraîné majoritairement sur des profils féminins peut généraliser moins finement pour les profils masculins (effectifs d'apprentissage plus faibles). Deuxièmement, un biais de source : le catalogue Sephora cible historiquement une clientèle féminine ; certains besoins masculins (rasage, séborrhée) y sont sous-représentés. Troisièmement, un biais d'âge : les 51-70 ans sont minoritaires dans la base, alors que leurs besoins (anti-âge, peaux matures) sont spécifiques. Mesures d'atténuation prévues : suivi continu des métriques par sous-groupe (tableau de bord d'équité), rééchantillonnage ou pondération des groupes minoritaires, enrichissement ciblé du catalogue, et seuils de décision ajustables par segment.</w:t>
      </w:r>
    </w:p>
    <w:p>
      <w:pPr>
        <w:pStyle w:val="Heading2"/>
      </w:pPr>
      <w:r>
        <w:t>1.7. Recommandation par similarité d'ingrédients (NLP)</w:t>
      </w:r>
    </w:p>
    <w:p>
      <w:pPr>
        <w:jc w:val="both"/>
      </w:pPr>
      <w:r>
        <w:rPr>
          <w:b w:val="0"/>
          <w:i w:val="0"/>
        </w:rPr>
        <w:t>En complément des modèles prédictifs, un module de recommandation produit-à-produit fondé sur le traitement du langage naturel (NLP) a été développé. Chaque liste d'ingrédients est vectorisée par TF-IDF (tokens = ingrédients séparés par des virgules, vocabulaire de 2 791 ingrédients vus au moins deux fois), puis la proximité entre deux produits est mesurée par la similarité cosinus de leurs vecteurs. Ce module répond à deux besoins : proposer des alternatives à formulation proche — y compris moins chères (« dupes ») — et recommander un produit nouvellement référencé, sans aucun historique de notes (démarrage à froid).</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948"/>
            <w:shd w:val="clear" w:fill="7B2D62"/>
          </w:tcPr>
          <w:p>
            <w:r/>
            <w:r>
              <w:rPr>
                <w:b/>
                <w:color w:val="FFFFFF"/>
                <w:sz w:val="19"/>
              </w:rPr>
              <w:t>Produit similaire</w:t>
            </w:r>
          </w:p>
        </w:tc>
        <w:tc>
          <w:tcPr>
            <w:tcW w:type="dxa" w:w="1474"/>
            <w:shd w:val="clear" w:fill="7B2D62"/>
          </w:tcPr>
          <w:p>
            <w:r/>
            <w:r>
              <w:rPr>
                <w:b/>
                <w:color w:val="FFFFFF"/>
                <w:sz w:val="19"/>
              </w:rPr>
              <w:t>Marque</w:t>
            </w:r>
          </w:p>
        </w:tc>
        <w:tc>
          <w:tcPr>
            <w:tcW w:type="dxa" w:w="1474"/>
            <w:shd w:val="clear" w:fill="7B2D62"/>
          </w:tcPr>
          <w:p>
            <w:r/>
            <w:r>
              <w:rPr>
                <w:b/>
                <w:color w:val="FFFFFF"/>
                <w:sz w:val="19"/>
              </w:rPr>
              <w:t>Catégorie</w:t>
            </w:r>
          </w:p>
        </w:tc>
        <w:tc>
          <w:tcPr>
            <w:tcW w:type="dxa" w:w="1020"/>
            <w:shd w:val="clear" w:fill="7B2D62"/>
          </w:tcPr>
          <w:p>
            <w:r/>
            <w:r>
              <w:rPr>
                <w:b/>
                <w:color w:val="FFFFFF"/>
                <w:sz w:val="19"/>
              </w:rPr>
              <w:t>Prix</w:t>
            </w:r>
          </w:p>
        </w:tc>
        <w:tc>
          <w:tcPr>
            <w:tcW w:type="dxa" w:w="907"/>
            <w:shd w:val="clear" w:fill="7B2D62"/>
          </w:tcPr>
          <w:p>
            <w:r/>
            <w:r>
              <w:rPr>
                <w:b/>
                <w:color w:val="FFFFFF"/>
                <w:sz w:val="19"/>
              </w:rPr>
              <w:t>Note</w:t>
            </w:r>
          </w:p>
        </w:tc>
        <w:tc>
          <w:tcPr>
            <w:tcW w:type="dxa" w:w="1134"/>
            <w:shd w:val="clear" w:fill="7B2D62"/>
          </w:tcPr>
          <w:p>
            <w:r/>
            <w:r>
              <w:rPr>
                <w:b/>
                <w:color w:val="FFFFFF"/>
                <w:sz w:val="19"/>
              </w:rPr>
              <w:t>Similarité</w:t>
            </w:r>
          </w:p>
        </w:tc>
      </w:tr>
      <w:tr>
        <w:tc>
          <w:tcPr>
            <w:tcW w:type="dxa" w:w="2948"/>
          </w:tcPr>
          <w:p>
            <w:r/>
            <w:r>
              <w:rPr>
                <w:sz w:val="19"/>
              </w:rPr>
              <w:t>Crème de la Mer Mini</w:t>
            </w:r>
          </w:p>
        </w:tc>
        <w:tc>
          <w:tcPr>
            <w:tcW w:type="dxa" w:w="1474"/>
          </w:tcPr>
          <w:p>
            <w:r/>
            <w:r>
              <w:rPr>
                <w:sz w:val="19"/>
              </w:rPr>
              <w:t>LA MER</w:t>
            </w:r>
          </w:p>
        </w:tc>
        <w:tc>
          <w:tcPr>
            <w:tcW w:type="dxa" w:w="1474"/>
          </w:tcPr>
          <w:p>
            <w:r/>
            <w:r>
              <w:rPr>
                <w:sz w:val="19"/>
              </w:rPr>
              <w:t>Moisturizer</w:t>
            </w:r>
          </w:p>
        </w:tc>
        <w:tc>
          <w:tcPr>
            <w:tcW w:type="dxa" w:w="1020"/>
          </w:tcPr>
          <w:p>
            <w:r/>
            <w:r>
              <w:rPr>
                <w:sz w:val="19"/>
              </w:rPr>
              <w:t>85 $</w:t>
            </w:r>
          </w:p>
        </w:tc>
        <w:tc>
          <w:tcPr>
            <w:tcW w:type="dxa" w:w="907"/>
          </w:tcPr>
          <w:p>
            <w:r/>
            <w:r>
              <w:rPr>
                <w:sz w:val="19"/>
              </w:rPr>
              <w:t>4.1</w:t>
            </w:r>
          </w:p>
        </w:tc>
        <w:tc>
          <w:tcPr>
            <w:tcW w:type="dxa" w:w="1134"/>
          </w:tcPr>
          <w:p>
            <w:r/>
            <w:r>
              <w:rPr>
                <w:sz w:val="19"/>
              </w:rPr>
              <w:t>1.000</w:t>
            </w:r>
          </w:p>
        </w:tc>
      </w:tr>
      <w:tr>
        <w:tc>
          <w:tcPr>
            <w:tcW w:type="dxa" w:w="2948"/>
            <w:shd w:val="clear" w:fill="F6EBF1"/>
          </w:tcPr>
          <w:p>
            <w:r/>
            <w:r>
              <w:rPr>
                <w:sz w:val="19"/>
              </w:rPr>
              <w:t xml:space="preserve">Little Miss Miracle Limited-Edition Crème de la </w:t>
            </w:r>
          </w:p>
        </w:tc>
        <w:tc>
          <w:tcPr>
            <w:tcW w:type="dxa" w:w="1474"/>
            <w:shd w:val="clear" w:fill="F6EBF1"/>
          </w:tcPr>
          <w:p>
            <w:r/>
            <w:r>
              <w:rPr>
                <w:sz w:val="19"/>
              </w:rPr>
              <w:t>LA MER</w:t>
            </w:r>
          </w:p>
        </w:tc>
        <w:tc>
          <w:tcPr>
            <w:tcW w:type="dxa" w:w="1474"/>
            <w:shd w:val="clear" w:fill="F6EBF1"/>
          </w:tcPr>
          <w:p>
            <w:r/>
            <w:r>
              <w:rPr>
                <w:sz w:val="19"/>
              </w:rPr>
              <w:t>Moisturizer</w:t>
            </w:r>
          </w:p>
        </w:tc>
        <w:tc>
          <w:tcPr>
            <w:tcW w:type="dxa" w:w="1020"/>
            <w:shd w:val="clear" w:fill="F6EBF1"/>
          </w:tcPr>
          <w:p>
            <w:r/>
            <w:r>
              <w:rPr>
                <w:sz w:val="19"/>
              </w:rPr>
              <w:t>325 $</w:t>
            </w:r>
          </w:p>
        </w:tc>
        <w:tc>
          <w:tcPr>
            <w:tcW w:type="dxa" w:w="907"/>
            <w:shd w:val="clear" w:fill="F6EBF1"/>
          </w:tcPr>
          <w:p>
            <w:r/>
            <w:r>
              <w:rPr>
                <w:sz w:val="19"/>
              </w:rPr>
              <w:t>5.0</w:t>
            </w:r>
          </w:p>
        </w:tc>
        <w:tc>
          <w:tcPr>
            <w:tcW w:type="dxa" w:w="1134"/>
            <w:shd w:val="clear" w:fill="F6EBF1"/>
          </w:tcPr>
          <w:p>
            <w:r/>
            <w:r>
              <w:rPr>
                <w:sz w:val="19"/>
              </w:rPr>
              <w:t>1.000</w:t>
            </w:r>
          </w:p>
        </w:tc>
      </w:tr>
      <w:tr>
        <w:tc>
          <w:tcPr>
            <w:tcW w:type="dxa" w:w="2948"/>
          </w:tcPr>
          <w:p>
            <w:r/>
            <w:r>
              <w:rPr>
                <w:sz w:val="19"/>
              </w:rPr>
              <w:t>The Tonic</w:t>
            </w:r>
          </w:p>
        </w:tc>
        <w:tc>
          <w:tcPr>
            <w:tcW w:type="dxa" w:w="1474"/>
          </w:tcPr>
          <w:p>
            <w:r/>
            <w:r>
              <w:rPr>
                <w:sz w:val="19"/>
              </w:rPr>
              <w:t>LA MER</w:t>
            </w:r>
          </w:p>
        </w:tc>
        <w:tc>
          <w:tcPr>
            <w:tcW w:type="dxa" w:w="1474"/>
          </w:tcPr>
          <w:p>
            <w:r/>
            <w:r>
              <w:rPr>
                <w:sz w:val="19"/>
              </w:rPr>
              <w:t>Cleanser</w:t>
            </w:r>
          </w:p>
        </w:tc>
        <w:tc>
          <w:tcPr>
            <w:tcW w:type="dxa" w:w="1020"/>
          </w:tcPr>
          <w:p>
            <w:r/>
            <w:r>
              <w:rPr>
                <w:sz w:val="19"/>
              </w:rPr>
              <w:t>95 $</w:t>
            </w:r>
          </w:p>
        </w:tc>
        <w:tc>
          <w:tcPr>
            <w:tcW w:type="dxa" w:w="907"/>
          </w:tcPr>
          <w:p>
            <w:r/>
            <w:r>
              <w:rPr>
                <w:sz w:val="19"/>
              </w:rPr>
              <w:t>4.1</w:t>
            </w:r>
          </w:p>
        </w:tc>
        <w:tc>
          <w:tcPr>
            <w:tcW w:type="dxa" w:w="1134"/>
          </w:tcPr>
          <w:p>
            <w:r/>
            <w:r>
              <w:rPr>
                <w:sz w:val="19"/>
              </w:rPr>
              <w:t>0.439</w:t>
            </w:r>
          </w:p>
        </w:tc>
      </w:tr>
      <w:tr>
        <w:tc>
          <w:tcPr>
            <w:tcW w:type="dxa" w:w="2948"/>
            <w:shd w:val="clear" w:fill="F6EBF1"/>
          </w:tcPr>
          <w:p>
            <w:r/>
            <w:r>
              <w:rPr>
                <w:sz w:val="19"/>
              </w:rPr>
              <w:t>The Cleansing Micellar Water</w:t>
            </w:r>
          </w:p>
        </w:tc>
        <w:tc>
          <w:tcPr>
            <w:tcW w:type="dxa" w:w="1474"/>
            <w:shd w:val="clear" w:fill="F6EBF1"/>
          </w:tcPr>
          <w:p>
            <w:r/>
            <w:r>
              <w:rPr>
                <w:sz w:val="19"/>
              </w:rPr>
              <w:t>LA MER</w:t>
            </w:r>
          </w:p>
        </w:tc>
        <w:tc>
          <w:tcPr>
            <w:tcW w:type="dxa" w:w="1474"/>
            <w:shd w:val="clear" w:fill="F6EBF1"/>
          </w:tcPr>
          <w:p>
            <w:r/>
            <w:r>
              <w:rPr>
                <w:sz w:val="19"/>
              </w:rPr>
              <w:t>Cleanser</w:t>
            </w:r>
          </w:p>
        </w:tc>
        <w:tc>
          <w:tcPr>
            <w:tcW w:type="dxa" w:w="1020"/>
            <w:shd w:val="clear" w:fill="F6EBF1"/>
          </w:tcPr>
          <w:p>
            <w:r/>
            <w:r>
              <w:rPr>
                <w:sz w:val="19"/>
              </w:rPr>
              <w:t>95 $</w:t>
            </w:r>
          </w:p>
        </w:tc>
        <w:tc>
          <w:tcPr>
            <w:tcW w:type="dxa" w:w="907"/>
            <w:shd w:val="clear" w:fill="F6EBF1"/>
          </w:tcPr>
          <w:p>
            <w:r/>
            <w:r>
              <w:rPr>
                <w:sz w:val="19"/>
              </w:rPr>
              <w:t>4.5</w:t>
            </w:r>
          </w:p>
        </w:tc>
        <w:tc>
          <w:tcPr>
            <w:tcW w:type="dxa" w:w="1134"/>
            <w:shd w:val="clear" w:fill="F6EBF1"/>
          </w:tcPr>
          <w:p>
            <w:r/>
            <w:r>
              <w:rPr>
                <w:sz w:val="19"/>
              </w:rPr>
              <w:t>0.411</w:t>
            </w:r>
          </w:p>
        </w:tc>
      </w:tr>
      <w:tr>
        <w:tc>
          <w:tcPr>
            <w:tcW w:type="dxa" w:w="2948"/>
          </w:tcPr>
          <w:p>
            <w:r/>
            <w:r>
              <w:rPr>
                <w:sz w:val="19"/>
              </w:rPr>
              <w:t>The Moisturizing Matte Lotion</w:t>
            </w:r>
          </w:p>
        </w:tc>
        <w:tc>
          <w:tcPr>
            <w:tcW w:type="dxa" w:w="1474"/>
          </w:tcPr>
          <w:p>
            <w:r/>
            <w:r>
              <w:rPr>
                <w:sz w:val="19"/>
              </w:rPr>
              <w:t>LA MER</w:t>
            </w:r>
          </w:p>
        </w:tc>
        <w:tc>
          <w:tcPr>
            <w:tcW w:type="dxa" w:w="1474"/>
          </w:tcPr>
          <w:p>
            <w:r/>
            <w:r>
              <w:rPr>
                <w:sz w:val="19"/>
              </w:rPr>
              <w:t>Moisturizer</w:t>
            </w:r>
          </w:p>
        </w:tc>
        <w:tc>
          <w:tcPr>
            <w:tcW w:type="dxa" w:w="1020"/>
          </w:tcPr>
          <w:p>
            <w:r/>
            <w:r>
              <w:rPr>
                <w:sz w:val="19"/>
              </w:rPr>
              <w:t>270 $</w:t>
            </w:r>
          </w:p>
        </w:tc>
        <w:tc>
          <w:tcPr>
            <w:tcW w:type="dxa" w:w="907"/>
          </w:tcPr>
          <w:p>
            <w:r/>
            <w:r>
              <w:rPr>
                <w:sz w:val="19"/>
              </w:rPr>
              <w:t>3.9</w:t>
            </w:r>
          </w:p>
        </w:tc>
        <w:tc>
          <w:tcPr>
            <w:tcW w:type="dxa" w:w="1134"/>
          </w:tcPr>
          <w:p>
            <w:r/>
            <w:r>
              <w:rPr>
                <w:sz w:val="19"/>
              </w:rPr>
              <w:t>0.384</w:t>
            </w:r>
          </w:p>
        </w:tc>
      </w:tr>
    </w:tbl>
    <w:p/>
    <w:p>
      <w:pPr>
        <w:jc w:val="center"/>
      </w:pPr>
      <w:r>
        <w:rPr>
          <w:i/>
          <w:color w:val="C0567E"/>
          <w:sz w:val="18"/>
        </w:rPr>
        <w:t>Tableau 1.8 — Top 5 des produits les plus similaires à la « Crème de la Mer » (LA MER, Moisturizer, 175 $)</w:t>
      </w:r>
    </w:p>
    <w:p>
      <w:pPr>
        <w:jc w:val="both"/>
      </w:pPr>
      <w:r>
        <w:rPr>
          <w:b w:val="0"/>
          <w:i w:val="0"/>
        </w:rPr>
        <w:t>La validation qualitative est convaincante : le module retrouve d'abord la « Crème de la Mer Mini » et l'édition limitée « Little Miss Miracle » avec une similarité de 1,0 — formules identiques sous d'autres conditionnements — ce qui confirme que la représentation TF-IDF capture fidèlement la composition. Viennent ensuite des produits de la même gamme, partageant le complexe d'algues breveté de la marque. Pour l'utilisateur, l'intérêt est direct : la version Mini offre une formulation identique à 85 $ au lieu de 175 $. Ce module est exposé dans l'application via le bouton « Formules similaires (NLP) » présent sur chaque carte produit.</w:t>
      </w:r>
    </w:p>
    <w:p>
      <w:pPr>
        <w:jc w:val="both"/>
      </w:pPr>
      <w:r>
        <w:rPr>
          <w:b w:val="0"/>
          <w:i w:val="0"/>
        </w:rPr>
        <w:t>Le même traitement NLP des ingrédients alimente un second indicateur : le score de naturalité (0 à 100), affiché sous forme de badge sur chaque produit. Il est calculé par comptage pondéré de marqueurs dans la liste INCI — marqueurs d'origine naturelle (extraits, huiles, beurres végétaux…) au numérateur, marqueurs synthétiques pénalisés (parabènes, silicones, PEG, parfums, sulfates…) au dénominateur. Cet indicateur répond à la tendance « clean beauty » identifiée dans l'analyse PESTEL (facteur écologique) et offre un critère de choix supplémentaire transparent pour l'utilisateur.</w:t>
      </w:r>
    </w:p>
    <w:p>
      <w:pPr>
        <w:pStyle w:val="Heading2"/>
      </w:pPr>
      <w:r>
        <w:t>1.8. Architecture applicative et code</w:t>
      </w:r>
    </w:p>
    <w:p>
      <w:pPr>
        <w:jc w:val="both"/>
      </w:pPr>
      <w:r>
        <w:rPr>
          <w:b w:val="0"/>
          <w:i w:val="0"/>
        </w:rPr>
        <w:t>La solution est livrée sous deux formes : (i) un pipeline Python complet, commenté et reproductible (dermasense_pipeline.py — pandas, scikit-learn, matplotlib/seaborn), organisé en sections (EDA, simulation, prétraitement, modèles A et B, évaluation, sous-groupes) ; (ii) un prototype web (dermasense_app.html) comportant une page d'authentification — connexion et inscription. Le formulaire d'inscription collecte précisément les variables du modèle : sexe, âge, type de peau et budget (en dirhams) — profil modifiable à tout moment depuis l'application, les recommandations se recalculant instantanément ; un mini-quiz de diagnostic en quatre questions aide l'utilisateur qui ne connaît pas son type de peau à le déterminer dès l'inscription. Après connexion, l'utilisateur accède à ses recommandations personnalisées, classées par le score de compatibilité du moteur, filtrables par catégorie de soin, avec accès aux formules similaires (module NLP) et au score de naturalité sur chaque carte. Chaque produit peut être ajouté aux favoris (bouton cœur) pour composer la page « Ma routine », qui ordonne automatiquement les favoris selon les étapes d'une routine de soin (nettoyage → sérum → contour des yeux → hydratation → protection solaire → masque) avec export PDF imprimable ; un historique des dix dernières recommandations, daté et associé au profil utilisé, est consultable depuis la fenêtre de profil. L'application offre en outre : un analyseur libre d'ingrédients — l'utilisateur colle la liste INCI de n'importe quel produit du commerce et obtient instantanément son score de naturalité, une estimation du risque pour peau sensible (détection d'irritants connus : parfums, alcool dénaturé, terpènes…) et les produits du catalogue à la composition la plus proche (similarité de Jaccard) ; des alertes allergènes personnalisées — les ingrédients à éviter déclarés dans le profil déclenchent un badge d'avertissement sur les produits concernés ; un comparateur côte à côte (prix, note, naturalité, compatibilité, score IA) ; une recherche par nom ou marque ; des badges « dupe économique » signalant automatiquement une alternative à formulation proche au moins 20 % moins chère ; et un tableau de bord « Insights » (répartitions des utilisateurs par sexe et âge, naturalité par catégorie, favoris) qui préfigure l'offre B2B décrite au chapitre 2. Un assistant conversationnel intégré, « DermaBot », accompagne l'utilisateur : implémenté en règles (intentions et mots-clés en français), il recommande des produits selon le profil et la catégorie demandée, explique les ingrédients courants (rétinol, niacinamide, acide hyaluronique…), suggère des options économiques et guide l'usage de l'application — le tout hors ligne, sans dépendance à une API externe. En production, ce socle à règles serait enrichi d'un modèle de langue pour les questions ouvertes. En production, l'architecture cible est : front React, API REST (FastAPI) servant le modèle sérialisé, base PostgreSQL et hébergement cloud avec réentraînement mensuel.</w:t>
      </w:r>
    </w:p>
    <w:p>
      <w:pPr>
        <w:pStyle w:val="Heading2"/>
      </w:pPr>
      <w:r>
        <w:t>1.9. Cycle de vie et méthodologie de gestion du projet</w:t>
      </w:r>
    </w:p>
    <w:p>
      <w:pPr>
        <w:pStyle w:val="Heading3"/>
      </w:pPr>
      <w:r>
        <w:t>1.9.1. Cycle de vie du projet</w:t>
      </w:r>
    </w:p>
    <w:p>
      <w:pPr>
        <w:jc w:val="both"/>
      </w:pPr>
      <w:r>
        <w:rPr>
          <w:b w:val="0"/>
          <w:i w:val="0"/>
        </w:rPr>
        <w:t>Conformément au référentiel PMBOK® du PMI, DermaSense est conduit comme une entreprise temporaire visant à créer un produit unique, structurée selon les cinq groupes de processus de management de projet — démarrage, planification, exécution, surveillance et contrôle, clôture — le groupe de surveillance et contrôle s'exerçant en continu sur toutes les phases :</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fill="7B2D62"/>
          </w:tcPr>
          <w:p>
            <w:r/>
            <w:r>
              <w:rPr>
                <w:b/>
                <w:color w:val="FFFFFF"/>
                <w:sz w:val="19"/>
              </w:rPr>
              <w:t>Phase du cycle de vie</w:t>
            </w:r>
          </w:p>
        </w:tc>
        <w:tc>
          <w:tcPr>
            <w:tcW w:type="dxa" w:w="1928"/>
            <w:shd w:val="clear" w:fill="7B2D62"/>
          </w:tcPr>
          <w:p>
            <w:r/>
            <w:r>
              <w:rPr>
                <w:b/>
                <w:color w:val="FFFFFF"/>
                <w:sz w:val="19"/>
              </w:rPr>
              <w:t>Questions clés</w:t>
            </w:r>
          </w:p>
        </w:tc>
        <w:tc>
          <w:tcPr>
            <w:tcW w:type="dxa" w:w="3628"/>
            <w:shd w:val="clear" w:fill="7B2D62"/>
          </w:tcPr>
          <w:p>
            <w:r/>
            <w:r>
              <w:rPr>
                <w:b/>
                <w:color w:val="FFFFFF"/>
                <w:sz w:val="19"/>
              </w:rPr>
              <w:t>Application à DermaSense</w:t>
            </w:r>
          </w:p>
        </w:tc>
        <w:tc>
          <w:tcPr>
            <w:tcW w:type="dxa" w:w="1928"/>
            <w:shd w:val="clear" w:fill="7B2D62"/>
          </w:tcPr>
          <w:p>
            <w:r/>
            <w:r>
              <w:rPr>
                <w:b/>
                <w:color w:val="FFFFFF"/>
                <w:sz w:val="19"/>
              </w:rPr>
              <w:t>Livrable de fin de phase</w:t>
            </w:r>
          </w:p>
        </w:tc>
      </w:tr>
      <w:tr>
        <w:tc>
          <w:tcPr>
            <w:tcW w:type="dxa" w:w="1474"/>
          </w:tcPr>
          <w:p>
            <w:r/>
            <w:r>
              <w:rPr>
                <w:sz w:val="19"/>
              </w:rPr>
              <w:t>Démarrage</w:t>
            </w:r>
          </w:p>
        </w:tc>
        <w:tc>
          <w:tcPr>
            <w:tcW w:type="dxa" w:w="1928"/>
          </w:tcPr>
          <w:p>
            <w:r/>
            <w:r>
              <w:rPr>
                <w:sz w:val="19"/>
              </w:rPr>
              <w:t>Doit-on réaliser ce projet ? Peut-on le réaliser ?</w:t>
            </w:r>
          </w:p>
        </w:tc>
        <w:tc>
          <w:tcPr>
            <w:tcW w:type="dxa" w:w="3628"/>
          </w:tcPr>
          <w:p>
            <w:r/>
            <w:r>
              <w:rPr>
                <w:sz w:val="19"/>
              </w:rPr>
              <w:t>Identification du besoin (consommateur désorienté face à l'offre cosmétique), étude d'opportunité, identification des parties prenantes (étudiante, encadrants, jury, futurs utilisateurs), obtention du dataset.</w:t>
            </w:r>
          </w:p>
        </w:tc>
        <w:tc>
          <w:tcPr>
            <w:tcW w:type="dxa" w:w="1928"/>
          </w:tcPr>
          <w:p>
            <w:r/>
            <w:r>
              <w:rPr>
                <w:sz w:val="19"/>
              </w:rPr>
              <w:t>Note de cadrage validée (jalon J1)</w:t>
            </w:r>
          </w:p>
        </w:tc>
      </w:tr>
      <w:tr>
        <w:tc>
          <w:tcPr>
            <w:tcW w:type="dxa" w:w="1474"/>
            <w:shd w:val="clear" w:fill="F6EBF1"/>
          </w:tcPr>
          <w:p>
            <w:r/>
            <w:r>
              <w:rPr>
                <w:sz w:val="19"/>
              </w:rPr>
              <w:t>Planification</w:t>
            </w:r>
          </w:p>
        </w:tc>
        <w:tc>
          <w:tcPr>
            <w:tcW w:type="dxa" w:w="1928"/>
            <w:shd w:val="clear" w:fill="F6EBF1"/>
          </w:tcPr>
          <w:p>
            <w:r/>
            <w:r>
              <w:rPr>
                <w:sz w:val="19"/>
              </w:rPr>
              <w:t>Quoi ? Comment ? Quand ? Qui ? Combien ?</w:t>
            </w:r>
          </w:p>
        </w:tc>
        <w:tc>
          <w:tcPr>
            <w:tcW w:type="dxa" w:w="3628"/>
            <w:shd w:val="clear" w:fill="F6EBF1"/>
          </w:tcPr>
          <w:p>
            <w:r/>
            <w:r>
              <w:rPr>
                <w:sz w:val="19"/>
              </w:rPr>
              <w:t>Objectifs SMART, découpage WBS en 11 tâches, réseau PERT, diagramme de Gantt, budget prévisionnel en MAD, identification des risques (qualité des données, retard de développement).</w:t>
            </w:r>
          </w:p>
        </w:tc>
        <w:tc>
          <w:tcPr>
            <w:tcW w:type="dxa" w:w="1928"/>
            <w:shd w:val="clear" w:fill="F6EBF1"/>
          </w:tcPr>
          <w:p>
            <w:r/>
            <w:r>
              <w:rPr>
                <w:sz w:val="19"/>
              </w:rPr>
              <w:t>Plan de projet (chapitre 3)</w:t>
            </w:r>
          </w:p>
        </w:tc>
      </w:tr>
      <w:tr>
        <w:tc>
          <w:tcPr>
            <w:tcW w:type="dxa" w:w="1474"/>
          </w:tcPr>
          <w:p>
            <w:r/>
            <w:r>
              <w:rPr>
                <w:sz w:val="19"/>
              </w:rPr>
              <w:t>Exécution</w:t>
            </w:r>
          </w:p>
        </w:tc>
        <w:tc>
          <w:tcPr>
            <w:tcW w:type="dxa" w:w="1928"/>
          </w:tcPr>
          <w:p>
            <w:r/>
            <w:r>
              <w:rPr>
                <w:sz w:val="19"/>
              </w:rPr>
              <w:t>Les équipes avancent-elles dans leur travail ?</w:t>
            </w:r>
          </w:p>
        </w:tc>
        <w:tc>
          <w:tcPr>
            <w:tcW w:type="dxa" w:w="3628"/>
          </w:tcPr>
          <w:p>
            <w:r/>
            <w:r>
              <w:rPr>
                <w:sz w:val="19"/>
              </w:rPr>
              <w:t>EDA, prétraitement, entraînement des trois modèles, développement de l'application web (login/signup), intégration du modèle, rédaction.</w:t>
            </w:r>
          </w:p>
        </w:tc>
        <w:tc>
          <w:tcPr>
            <w:tcW w:type="dxa" w:w="1928"/>
          </w:tcPr>
          <w:p>
            <w:r/>
            <w:r>
              <w:rPr>
                <w:sz w:val="19"/>
              </w:rPr>
              <w:t>Modèles évalués, application fonctionnelle (jalon J3)</w:t>
            </w:r>
          </w:p>
        </w:tc>
      </w:tr>
      <w:tr>
        <w:tc>
          <w:tcPr>
            <w:tcW w:type="dxa" w:w="1474"/>
            <w:shd w:val="clear" w:fill="F6EBF1"/>
          </w:tcPr>
          <w:p>
            <w:r/>
            <w:r>
              <w:rPr>
                <w:sz w:val="19"/>
              </w:rPr>
              <w:t>Surveillance et contrôle</w:t>
            </w:r>
          </w:p>
        </w:tc>
        <w:tc>
          <w:tcPr>
            <w:tcW w:type="dxa" w:w="1928"/>
            <w:shd w:val="clear" w:fill="F6EBF1"/>
          </w:tcPr>
          <w:p>
            <w:r/>
            <w:r>
              <w:rPr>
                <w:sz w:val="19"/>
              </w:rPr>
              <w:t>Le projet avance-t-il comme prévu (délais, coûts, qualité) ? Quelles actions correctives en cas d'écart ?</w:t>
            </w:r>
          </w:p>
        </w:tc>
        <w:tc>
          <w:tcPr>
            <w:tcW w:type="dxa" w:w="3628"/>
            <w:shd w:val="clear" w:fill="F6EBF1"/>
          </w:tcPr>
          <w:p>
            <w:r/>
            <w:r>
              <w:rPr>
                <w:sz w:val="19"/>
              </w:rPr>
              <w:t>Suivi de l'avancement sur le Gantt, contrôle des écarts par rapport au chemin critique, revues hebdomadaires avec l'encadrant, suivi des métriques ML et d'équité comme indicateurs qualité.</w:t>
            </w:r>
          </w:p>
        </w:tc>
        <w:tc>
          <w:tcPr>
            <w:tcW w:type="dxa" w:w="1928"/>
            <w:shd w:val="clear" w:fill="F6EBF1"/>
          </w:tcPr>
          <w:p>
            <w:r/>
            <w:r>
              <w:rPr>
                <w:sz w:val="19"/>
              </w:rPr>
              <w:t>Tableaux de bord, rapports d'avancement</w:t>
            </w:r>
          </w:p>
        </w:tc>
      </w:tr>
      <w:tr>
        <w:tc>
          <w:tcPr>
            <w:tcW w:type="dxa" w:w="1474"/>
          </w:tcPr>
          <w:p>
            <w:r/>
            <w:r>
              <w:rPr>
                <w:sz w:val="19"/>
              </w:rPr>
              <w:t>Clôture</w:t>
            </w:r>
          </w:p>
        </w:tc>
        <w:tc>
          <w:tcPr>
            <w:tcW w:type="dxa" w:w="1928"/>
          </w:tcPr>
          <w:p>
            <w:r/>
            <w:r>
              <w:rPr>
                <w:sz w:val="19"/>
              </w:rPr>
              <w:t>Les résultats sont-ils approuvés ? Quels enseignements ?</w:t>
            </w:r>
          </w:p>
        </w:tc>
        <w:tc>
          <w:tcPr>
            <w:tcW w:type="dxa" w:w="3628"/>
          </w:tcPr>
          <w:p>
            <w:r/>
            <w:r>
              <w:rPr>
                <w:sz w:val="19"/>
              </w:rPr>
              <w:t>Recette finale, déploiement, rédaction du rapport, bilan des réalisations, préparation et passage de la soutenance.</w:t>
            </w:r>
          </w:p>
        </w:tc>
        <w:tc>
          <w:tcPr>
            <w:tcW w:type="dxa" w:w="1928"/>
          </w:tcPr>
          <w:p>
            <w:r/>
            <w:r>
              <w:rPr>
                <w:sz w:val="19"/>
              </w:rPr>
              <w:t>Rapport final, soutenance (jalon J6)</w:t>
            </w:r>
          </w:p>
        </w:tc>
      </w:tr>
    </w:tbl>
    <w:p/>
    <w:p>
      <w:pPr>
        <w:jc w:val="center"/>
      </w:pPr>
      <w:r>
        <w:rPr>
          <w:i/>
          <w:color w:val="C0567E"/>
          <w:sz w:val="18"/>
        </w:rPr>
        <w:t>Tableau 1.9 — Cycle de vie du projet DermaSense (processus PMBOK®)</w:t>
      </w:r>
    </w:p>
    <w:p>
      <w:pPr>
        <w:pStyle w:val="Heading3"/>
      </w:pPr>
      <w:r>
        <w:t>1.9.2. Méthodologie de gestion de projet retenue et justification</w:t>
      </w:r>
    </w:p>
    <w:p>
      <w:pPr>
        <w:jc w:val="both"/>
      </w:pPr>
      <w:r>
        <w:rPr>
          <w:b w:val="0"/>
          <w:i w:val="0"/>
        </w:rPr>
        <w:t>La méthodologie retenue est une approche hybride : prédictive (classique, dite « en cascade ») au niveau du pilotage global du projet, et agile (Scrum) au niveau de la réalisation technique, complétée par le standard CRISP-DM pour le volet data science.</w:t>
      </w:r>
    </w:p>
    <w:p>
      <w:pPr>
        <w:pStyle w:val="ListBullet"/>
      </w:pPr>
      <w:r>
        <w:t>Pilotage global prédictif : le projet a un périmètre, un budget et une échéance fixes (la soutenance), des livrables contractuels et des antériorités fortes entre phases — conditions idéales des outils classiques WBS, PERT et Gantt déployés au chapitre 3. Une planification complète en amont est possible car le besoin est clair et stable.</w:t>
      </w:r>
    </w:p>
    <w:p>
      <w:pPr>
        <w:pStyle w:val="ListBullet"/>
      </w:pPr>
      <w:r>
        <w:t>Réalisation agile (Scrum) : le développement du moteur IA et de l'application comporte une part d'incertitude expérimentale (quel modèle sera le plus performant ? quelles variables retenir ?) incompatible avec un séquencement rigide. Le travail est organisé en sprints de deux semaines avec backlog priorisé, revues de sprint avec l'encadrant (rôle de Product Owner) et rétrospectives, permettant d'itérer rapidement sur les modèles et l'interface.</w:t>
      </w:r>
    </w:p>
    <w:p>
      <w:pPr>
        <w:pStyle w:val="ListBullet"/>
      </w:pPr>
      <w:r>
        <w:t>CRISP-DM pour le volet data : les six étapes (compréhension du métier, compréhension des données, préparation des données, modélisation, évaluation, déploiement) structurent précisément le présent chapitre et autorisent les retours en arrière (évaluation → préparation), fréquents en Machine Learning.</w:t>
      </w:r>
    </w:p>
    <w:p>
      <w:pPr>
        <w:jc w:val="both"/>
      </w:pPr>
      <w:r>
        <w:rPr>
          <w:b w:val="0"/>
          <w:i w:val="0"/>
        </w:rPr>
        <w:t>Pourquoi ce choix hybride ? Une méthode purement classique aurait figé trop tôt des choix techniques incertains (modèles, variables) ; une méthode purement agile aurait fragilisé le respect d'une échéance immuable et l'exigence académique de livrables planifiés. L'approche hybride combine la visibilité et la maîtrise des délais du prédictif (chemin critique surveillé en continu) avec la flexibilité expérimentale de l'agile — un choix adapté à une équipe réduite, à un projet d'innovation data et à un calendrier universitaire contraint.</w:t>
      </w:r>
    </w:p>
    <w:p>
      <w:r>
        <w:br w:type="page"/>
      </w:r>
    </w:p>
    <w:p>
      <w:pPr>
        <w:pStyle w:val="Heading1"/>
      </w:pPr>
      <w:r>
        <w:t>Chapitre 2 — Volet entrepreneurial : étude de marché et faisabilité</w:t>
      </w:r>
    </w:p>
    <w:p>
      <w:pPr>
        <w:pStyle w:val="Heading2"/>
      </w:pPr>
      <w:r>
        <w:t>2.1. Étude de marché</w:t>
      </w:r>
    </w:p>
    <w:p>
      <w:pPr>
        <w:pStyle w:val="Heading3"/>
      </w:pPr>
      <w:r>
        <w:t>2.1.1. Analyse PESTEL (contexte marocain)</w:t>
      </w:r>
    </w:p>
    <w:tbl>
      <w:tblPr>
        <w:tblStyle w:val="TableGrid"/>
        <w:tblW w:type="auto" w:w="0"/>
        <w:jc w:val="center"/>
        <w:tblLook w:firstColumn="1" w:firstRow="1" w:lastColumn="0" w:lastRow="0" w:noHBand="0" w:noVBand="1" w:val="04A0"/>
      </w:tblPr>
      <w:tblGrid>
        <w:gridCol w:w="3099"/>
        <w:gridCol w:w="3099"/>
        <w:gridCol w:w="3099"/>
      </w:tblGrid>
      <w:tr>
        <w:tc>
          <w:tcPr>
            <w:tcW w:type="dxa" w:w="1361"/>
            <w:shd w:val="clear" w:fill="7B2D62"/>
          </w:tcPr>
          <w:p>
            <w:r/>
            <w:r>
              <w:rPr>
                <w:b/>
                <w:color w:val="FFFFFF"/>
                <w:sz w:val="19"/>
              </w:rPr>
              <w:t>Facteur</w:t>
            </w:r>
          </w:p>
        </w:tc>
        <w:tc>
          <w:tcPr>
            <w:tcW w:type="dxa" w:w="5443"/>
            <w:shd w:val="clear" w:fill="7B2D62"/>
          </w:tcPr>
          <w:p>
            <w:r/>
            <w:r>
              <w:rPr>
                <w:b/>
                <w:color w:val="FFFFFF"/>
                <w:sz w:val="19"/>
              </w:rPr>
              <w:t>Éléments clés pour DermaSense</w:t>
            </w:r>
          </w:p>
        </w:tc>
        <w:tc>
          <w:tcPr>
            <w:tcW w:type="dxa" w:w="2154"/>
            <w:shd w:val="clear" w:fill="7B2D62"/>
          </w:tcPr>
          <w:p>
            <w:r/>
            <w:r>
              <w:rPr>
                <w:b/>
                <w:color w:val="FFFFFF"/>
                <w:sz w:val="19"/>
              </w:rPr>
              <w:t>Influence sur le projet</w:t>
            </w:r>
          </w:p>
        </w:tc>
      </w:tr>
      <w:tr>
        <w:tc>
          <w:tcPr>
            <w:tcW w:type="dxa" w:w="1361"/>
          </w:tcPr>
          <w:p>
            <w:r/>
            <w:r>
              <w:rPr>
                <w:sz w:val="19"/>
              </w:rPr>
              <w:t>Politique</w:t>
            </w:r>
          </w:p>
        </w:tc>
        <w:tc>
          <w:tcPr>
            <w:tcW w:type="dxa" w:w="5443"/>
          </w:tcPr>
          <w:p>
            <w:r/>
            <w:r>
              <w:rPr>
                <w:sz w:val="19"/>
              </w:rPr>
              <w:t>Stratégie « Maroc Digital 2030 » et soutien public à l'entrepreneuriat innovant (programmes Intelaka, Innov Invest) ; stabilité institutionnelle favorable à l'investissement technologique.</w:t>
            </w:r>
          </w:p>
        </w:tc>
        <w:tc>
          <w:tcPr>
            <w:tcW w:type="dxa" w:w="2154"/>
          </w:tcPr>
          <w:p>
            <w:r/>
            <w:r>
              <w:rPr>
                <w:sz w:val="19"/>
              </w:rPr>
              <w:t>Positive</w:t>
            </w:r>
          </w:p>
        </w:tc>
      </w:tr>
      <w:tr>
        <w:tc>
          <w:tcPr>
            <w:tcW w:type="dxa" w:w="1361"/>
            <w:shd w:val="clear" w:fill="F6EBF1"/>
          </w:tcPr>
          <w:p>
            <w:r/>
            <w:r>
              <w:rPr>
                <w:sz w:val="19"/>
              </w:rPr>
              <w:t>Économique</w:t>
            </w:r>
          </w:p>
        </w:tc>
        <w:tc>
          <w:tcPr>
            <w:tcW w:type="dxa" w:w="5443"/>
            <w:shd w:val="clear" w:fill="F6EBF1"/>
          </w:tcPr>
          <w:p>
            <w:r/>
            <w:r>
              <w:rPr>
                <w:sz w:val="19"/>
              </w:rPr>
              <w:t>Croissance soutenue du e-commerce marocain et du panier moyen en ligne ; marché des cosmétiques et de l'hygiène-beauté en progression régulière, porté par l'urbanisation et la classe moyenne ; sensibilité au prix élevée — un positionnement freemium est adapté.</w:t>
            </w:r>
          </w:p>
        </w:tc>
        <w:tc>
          <w:tcPr>
            <w:tcW w:type="dxa" w:w="2154"/>
            <w:shd w:val="clear" w:fill="F6EBF1"/>
          </w:tcPr>
          <w:p>
            <w:r/>
            <w:r>
              <w:rPr>
                <w:sz w:val="19"/>
              </w:rPr>
              <w:t>Positive (vigilance sur le pouvoir d'achat)</w:t>
            </w:r>
          </w:p>
        </w:tc>
      </w:tr>
      <w:tr>
        <w:tc>
          <w:tcPr>
            <w:tcW w:type="dxa" w:w="1361"/>
          </w:tcPr>
          <w:p>
            <w:r/>
            <w:r>
              <w:rPr>
                <w:sz w:val="19"/>
              </w:rPr>
              <w:t>Socioculturel</w:t>
            </w:r>
          </w:p>
        </w:tc>
        <w:tc>
          <w:tcPr>
            <w:tcW w:type="dxa" w:w="5443"/>
          </w:tcPr>
          <w:p>
            <w:r/>
            <w:r>
              <w:rPr>
                <w:sz w:val="19"/>
              </w:rPr>
              <w:t>Population jeune et connectée (forte pénétration smartphone) ; montée du « skincare » via les réseaux sociaux (influenceuses beauté) ; intérêt croissant des hommes pour les soins ; exigence accrue de transparence sur la composition des produits.</w:t>
            </w:r>
          </w:p>
        </w:tc>
        <w:tc>
          <w:tcPr>
            <w:tcW w:type="dxa" w:w="2154"/>
          </w:tcPr>
          <w:p>
            <w:r/>
            <w:r>
              <w:rPr>
                <w:sz w:val="19"/>
              </w:rPr>
              <w:t>Positive</w:t>
            </w:r>
          </w:p>
        </w:tc>
      </w:tr>
      <w:tr>
        <w:tc>
          <w:tcPr>
            <w:tcW w:type="dxa" w:w="1361"/>
            <w:shd w:val="clear" w:fill="F6EBF1"/>
          </w:tcPr>
          <w:p>
            <w:r/>
            <w:r>
              <w:rPr>
                <w:sz w:val="19"/>
              </w:rPr>
              <w:t>Technologique</w:t>
            </w:r>
          </w:p>
        </w:tc>
        <w:tc>
          <w:tcPr>
            <w:tcW w:type="dxa" w:w="5443"/>
            <w:shd w:val="clear" w:fill="F6EBF1"/>
          </w:tcPr>
          <w:p>
            <w:r/>
            <w:r>
              <w:rPr>
                <w:sz w:val="19"/>
              </w:rPr>
              <w:t>Démocratisation du cloud et des bibliothèques IA open source ; couverture 4G/5G étendue ; généralisation du paiement mobile et des solutions de livraison du dernier kilomètre.</w:t>
            </w:r>
          </w:p>
        </w:tc>
        <w:tc>
          <w:tcPr>
            <w:tcW w:type="dxa" w:w="2154"/>
            <w:shd w:val="clear" w:fill="F6EBF1"/>
          </w:tcPr>
          <w:p>
            <w:r/>
            <w:r>
              <w:rPr>
                <w:sz w:val="19"/>
              </w:rPr>
              <w:t>Positive</w:t>
            </w:r>
          </w:p>
        </w:tc>
      </w:tr>
      <w:tr>
        <w:tc>
          <w:tcPr>
            <w:tcW w:type="dxa" w:w="1361"/>
          </w:tcPr>
          <w:p>
            <w:r/>
            <w:r>
              <w:rPr>
                <w:sz w:val="19"/>
              </w:rPr>
              <w:t>Écologique</w:t>
            </w:r>
          </w:p>
        </w:tc>
        <w:tc>
          <w:tcPr>
            <w:tcW w:type="dxa" w:w="5443"/>
          </w:tcPr>
          <w:p>
            <w:r/>
            <w:r>
              <w:rPr>
                <w:sz w:val="19"/>
              </w:rPr>
              <w:t>Demande croissante de cosmétiques naturels et « clean beauty » ; atout différenciant : score de naturalité calculable à partir des ingrédients ; pression pour réduire le gaspillage (acheter juste, acheter adapté).</w:t>
            </w:r>
          </w:p>
        </w:tc>
        <w:tc>
          <w:tcPr>
            <w:tcW w:type="dxa" w:w="2154"/>
          </w:tcPr>
          <w:p>
            <w:r/>
            <w:r>
              <w:rPr>
                <w:sz w:val="19"/>
              </w:rPr>
              <w:t>Positive (opportunité de différenciation)</w:t>
            </w:r>
          </w:p>
        </w:tc>
      </w:tr>
      <w:tr>
        <w:tc>
          <w:tcPr>
            <w:tcW w:type="dxa" w:w="1361"/>
            <w:shd w:val="clear" w:fill="F6EBF1"/>
          </w:tcPr>
          <w:p>
            <w:r/>
            <w:r>
              <w:rPr>
                <w:sz w:val="19"/>
              </w:rPr>
              <w:t>Légal</w:t>
            </w:r>
          </w:p>
        </w:tc>
        <w:tc>
          <w:tcPr>
            <w:tcW w:type="dxa" w:w="5443"/>
            <w:shd w:val="clear" w:fill="F6EBF1"/>
          </w:tcPr>
          <w:p>
            <w:r/>
            <w:r>
              <w:rPr>
                <w:sz w:val="19"/>
              </w:rPr>
              <w:t>Loi 09-08 sur la protection des données personnelles (déclaration CNDP obligatoire — données de profil sensibles) ; réglementation des produits cosmétiques (ministère de la Santé / ONSSA selon catégories) ; conformité RGPD requise pour toute extension vers l'Europe.</w:t>
            </w:r>
          </w:p>
        </w:tc>
        <w:tc>
          <w:tcPr>
            <w:tcW w:type="dxa" w:w="2154"/>
            <w:shd w:val="clear" w:fill="F6EBF1"/>
          </w:tcPr>
          <w:p>
            <w:r/>
            <w:r>
              <w:rPr>
                <w:sz w:val="19"/>
              </w:rPr>
              <w:t>Négative si non anticipée (coûts de conformité maîtrisables)</w:t>
            </w:r>
          </w:p>
        </w:tc>
      </w:tr>
    </w:tbl>
    <w:p/>
    <w:p>
      <w:pPr>
        <w:jc w:val="center"/>
      </w:pPr>
      <w:r>
        <w:rPr>
          <w:i/>
          <w:color w:val="C0567E"/>
          <w:sz w:val="18"/>
        </w:rPr>
        <w:t>Tableau 2.1 — Analyse PESTEL du marché marocain : chaque facteur est évalué selon son influence positive ou négative sur le projet</w:t>
      </w:r>
    </w:p>
    <w:p>
      <w:pPr>
        <w:pStyle w:val="Heading3"/>
      </w:pPr>
      <w:r>
        <w:t>2.1.2. Analyse SWOT</w:t>
      </w:r>
    </w:p>
    <w:tbl>
      <w:tblPr>
        <w:tblStyle w:val="TableGrid"/>
        <w:tblW w:type="auto" w:w="0"/>
        <w:tblLook w:firstColumn="1" w:firstRow="1" w:lastColumn="0" w:lastRow="0" w:noHBand="0" w:noVBand="1" w:val="04A0"/>
      </w:tblPr>
      <w:tblGrid>
        <w:gridCol w:w="4649"/>
        <w:gridCol w:w="4649"/>
      </w:tblGrid>
      <w:tr>
        <w:tc>
          <w:tcPr>
            <w:tcW w:type="dxa" w:w="4649"/>
            <w:shd w:val="clear" w:fill="7B2D62"/>
          </w:tcPr>
          <w:p>
            <w:r/>
            <w:r>
              <w:rPr>
                <w:b/>
                <w:color w:val="FFFFFF"/>
                <w:sz w:val="20"/>
              </w:rPr>
              <w:t>FORCES (interne)</w:t>
            </w:r>
          </w:p>
          <w:p>
            <w:pPr>
              <w:pStyle w:val="ListBullet"/>
            </w:pPr>
            <w:r>
              <w:rPr>
                <w:color w:val="2E1F29"/>
                <w:sz w:val="18"/>
              </w:rPr>
              <w:t>Technologie différenciante : recommandation par analyse des ingrédients (TF-IDF + ML), rare sur le marché marocain.</w:t>
            </w:r>
          </w:p>
          <w:p>
            <w:pPr>
              <w:pStyle w:val="ListBullet"/>
            </w:pPr>
            <w:r>
              <w:rPr>
                <w:color w:val="2E1F29"/>
                <w:sz w:val="18"/>
              </w:rPr>
              <w:t>Personnalisation réelle par sexe, âge, type de peau et budget.</w:t>
            </w:r>
          </w:p>
          <w:p>
            <w:pPr>
              <w:pStyle w:val="ListBullet"/>
            </w:pPr>
            <w:r>
              <w:rPr>
                <w:color w:val="2E1F29"/>
                <w:sz w:val="18"/>
              </w:rPr>
              <w:t>Coûts fixes faibles : plateforme cloud, pas de stock (modèle d'affiliation).</w:t>
            </w:r>
          </w:p>
          <w:p>
            <w:pPr>
              <w:pStyle w:val="ListBullet"/>
            </w:pPr>
            <w:r>
              <w:rPr>
                <w:color w:val="2E1F29"/>
                <w:sz w:val="18"/>
              </w:rPr>
              <w:t>Équipe fondatrice formée en IA &amp; Data.</w:t>
            </w:r>
          </w:p>
        </w:tc>
        <w:tc>
          <w:tcPr>
            <w:tcW w:type="dxa" w:w="4649"/>
            <w:shd w:val="clear" w:fill="7B2D62"/>
          </w:tcPr>
          <w:p>
            <w:r/>
            <w:r>
              <w:rPr>
                <w:b/>
                <w:color w:val="FFFFFF"/>
                <w:sz w:val="20"/>
              </w:rPr>
              <w:t>FAIBLESSES (interne)</w:t>
            </w:r>
          </w:p>
          <w:p>
            <w:pPr>
              <w:pStyle w:val="ListBullet"/>
            </w:pPr>
            <w:r>
              <w:rPr>
                <w:color w:val="2E1F29"/>
                <w:sz w:val="18"/>
              </w:rPr>
              <w:t>Démarrage à froid : peu de données d'usage réelles au lancement (d'où la simulation documentée).</w:t>
            </w:r>
          </w:p>
          <w:p>
            <w:pPr>
              <w:pStyle w:val="ListBullet"/>
            </w:pPr>
            <w:r>
              <w:rPr>
                <w:color w:val="2E1F29"/>
                <w:sz w:val="18"/>
              </w:rPr>
              <w:t>Dataset initial anglophone orienté catalogue international.</w:t>
            </w:r>
          </w:p>
          <w:p>
            <w:pPr>
              <w:pStyle w:val="ListBullet"/>
            </w:pPr>
            <w:r>
              <w:rPr>
                <w:color w:val="2E1F29"/>
                <w:sz w:val="18"/>
              </w:rPr>
              <w:t>Notoriété nulle au départ ; budget marketing limité.</w:t>
            </w:r>
          </w:p>
          <w:p>
            <w:pPr>
              <w:pStyle w:val="ListBullet"/>
            </w:pPr>
            <w:r>
              <w:rPr>
                <w:color w:val="2E1F29"/>
                <w:sz w:val="18"/>
              </w:rPr>
              <w:t>Dépendance aux partenaires e-commerce pour la monétisation.</w:t>
            </w:r>
          </w:p>
        </w:tc>
      </w:tr>
      <w:tr>
        <w:tc>
          <w:tcPr>
            <w:tcW w:type="dxa" w:w="4649"/>
            <w:shd w:val="clear" w:fill="C0567E"/>
          </w:tcPr>
          <w:p>
            <w:r/>
            <w:r>
              <w:rPr>
                <w:b/>
                <w:color w:val="FFFFFF"/>
                <w:sz w:val="20"/>
              </w:rPr>
              <w:t>OPPORTUNITÉS (externe)</w:t>
            </w:r>
          </w:p>
          <w:p>
            <w:pPr>
              <w:pStyle w:val="ListBullet"/>
            </w:pPr>
            <w:r>
              <w:rPr>
                <w:color w:val="2E1F29"/>
                <w:sz w:val="18"/>
              </w:rPr>
              <w:t>Marché beauté en ligne marocain en forte croissance, encore peu personnalisé.</w:t>
            </w:r>
          </w:p>
          <w:p>
            <w:pPr>
              <w:pStyle w:val="ListBullet"/>
            </w:pPr>
            <w:r>
              <w:rPr>
                <w:color w:val="2E1F29"/>
                <w:sz w:val="18"/>
              </w:rPr>
              <w:t>Segment masculin émergent et mal servi.</w:t>
            </w:r>
          </w:p>
          <w:p>
            <w:pPr>
              <w:pStyle w:val="ListBullet"/>
            </w:pPr>
            <w:r>
              <w:rPr>
                <w:color w:val="2E1F29"/>
                <w:sz w:val="18"/>
              </w:rPr>
              <w:t>Partenariats B2B : parapharmacies, marques locales (insights consommateurs anonymisés).</w:t>
            </w:r>
          </w:p>
          <w:p>
            <w:pPr>
              <w:pStyle w:val="ListBullet"/>
            </w:pPr>
            <w:r>
              <w:rPr>
                <w:color w:val="2E1F29"/>
                <w:sz w:val="18"/>
              </w:rPr>
              <w:t>Extension régionale (Afrique francophone, MENA).</w:t>
            </w:r>
          </w:p>
        </w:tc>
        <w:tc>
          <w:tcPr>
            <w:tcW w:type="dxa" w:w="4649"/>
            <w:shd w:val="clear" w:fill="C0567E"/>
          </w:tcPr>
          <w:p>
            <w:r/>
            <w:r>
              <w:rPr>
                <w:b/>
                <w:color w:val="FFFFFF"/>
                <w:sz w:val="20"/>
              </w:rPr>
              <w:t>MENACES (externe)</w:t>
            </w:r>
          </w:p>
          <w:p>
            <w:pPr>
              <w:pStyle w:val="ListBullet"/>
            </w:pPr>
            <w:r>
              <w:rPr>
                <w:color w:val="2E1F29"/>
                <w:sz w:val="18"/>
              </w:rPr>
              <w:t>Entrée possible de géants (Sephora, Amazon) avec leurs propres moteurs de recommandation.</w:t>
            </w:r>
          </w:p>
          <w:p>
            <w:pPr>
              <w:pStyle w:val="ListBullet"/>
            </w:pPr>
            <w:r>
              <w:rPr>
                <w:color w:val="2E1F29"/>
                <w:sz w:val="18"/>
              </w:rPr>
              <w:t>Évolution réglementaire sur les données personnelles.</w:t>
            </w:r>
          </w:p>
          <w:p>
            <w:pPr>
              <w:pStyle w:val="ListBullet"/>
            </w:pPr>
            <w:r>
              <w:rPr>
                <w:color w:val="2E1F29"/>
                <w:sz w:val="18"/>
              </w:rPr>
              <w:t>Méfiance possible des utilisateurs envers les recommandations algorithmiques.</w:t>
            </w:r>
          </w:p>
          <w:p>
            <w:pPr>
              <w:pStyle w:val="ListBullet"/>
            </w:pPr>
            <w:r>
              <w:rPr>
                <w:color w:val="2E1F29"/>
                <w:sz w:val="18"/>
              </w:rPr>
              <w:t>Concurrence indirecte : influenceurs, conseils en magasin.</w:t>
            </w:r>
          </w:p>
        </w:tc>
      </w:tr>
    </w:tbl>
    <w:p/>
    <w:p>
      <w:pPr>
        <w:jc w:val="center"/>
      </w:pPr>
      <w:r>
        <w:rPr>
          <w:i/>
          <w:color w:val="C0567E"/>
          <w:sz w:val="18"/>
        </w:rPr>
        <w:t>Tableau 2.2 — Matrice SWOT de DermaSense</w:t>
      </w:r>
    </w:p>
    <w:p>
      <w:pPr>
        <w:pStyle w:val="Heading3"/>
      </w:pPr>
      <w:r>
        <w:t>2.1.3. Analyse des cinq forces de Porter</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041"/>
            <w:shd w:val="clear" w:fill="7B2D62"/>
          </w:tcPr>
          <w:p>
            <w:r/>
            <w:r>
              <w:rPr>
                <w:b/>
                <w:color w:val="FFFFFF"/>
                <w:sz w:val="19"/>
              </w:rPr>
              <w:t>Force concurrentielle</w:t>
            </w:r>
          </w:p>
        </w:tc>
        <w:tc>
          <w:tcPr>
            <w:tcW w:type="dxa" w:w="1247"/>
            <w:shd w:val="clear" w:fill="7B2D62"/>
          </w:tcPr>
          <w:p>
            <w:r/>
            <w:r>
              <w:rPr>
                <w:b/>
                <w:color w:val="FFFFFF"/>
                <w:sz w:val="19"/>
              </w:rPr>
              <w:t>Évaluation</w:t>
            </w:r>
          </w:p>
        </w:tc>
        <w:tc>
          <w:tcPr>
            <w:tcW w:type="dxa" w:w="2268"/>
            <w:shd w:val="clear" w:fill="7B2D62"/>
          </w:tcPr>
          <w:p>
            <w:r/>
            <w:r>
              <w:rPr>
                <w:b/>
                <w:color w:val="FFFFFF"/>
                <w:sz w:val="19"/>
              </w:rPr>
              <w:t>Influence sur le projet</w:t>
            </w:r>
          </w:p>
        </w:tc>
        <w:tc>
          <w:tcPr>
            <w:tcW w:type="dxa" w:w="3402"/>
            <w:shd w:val="clear" w:fill="7B2D62"/>
          </w:tcPr>
          <w:p>
            <w:r/>
            <w:r>
              <w:rPr>
                <w:b/>
                <w:color w:val="FFFFFF"/>
                <w:sz w:val="19"/>
              </w:rPr>
              <w:t>Justification</w:t>
            </w:r>
          </w:p>
        </w:tc>
      </w:tr>
      <w:tr>
        <w:tc>
          <w:tcPr>
            <w:tcW w:type="dxa" w:w="2041"/>
          </w:tcPr>
          <w:p>
            <w:r/>
            <w:r>
              <w:rPr>
                <w:sz w:val="19"/>
              </w:rPr>
              <w:t>Intensité concurrentielle</w:t>
            </w:r>
          </w:p>
        </w:tc>
        <w:tc>
          <w:tcPr>
            <w:tcW w:type="dxa" w:w="1247"/>
          </w:tcPr>
          <w:p>
            <w:r/>
            <w:r>
              <w:rPr>
                <w:sz w:val="19"/>
              </w:rPr>
              <w:t>Moyenne</w:t>
            </w:r>
          </w:p>
        </w:tc>
        <w:tc>
          <w:tcPr>
            <w:tcW w:type="dxa" w:w="2268"/>
          </w:tcPr>
          <w:p>
            <w:r/>
            <w:r>
              <w:rPr>
                <w:sz w:val="19"/>
              </w:rPr>
              <w:t>Plutôt positive : aucun concurrent IA direct au Maroc</w:t>
            </w:r>
          </w:p>
        </w:tc>
        <w:tc>
          <w:tcPr>
            <w:tcW w:type="dxa" w:w="3402"/>
          </w:tcPr>
          <w:p>
            <w:r/>
            <w:r>
              <w:rPr>
                <w:sz w:val="19"/>
              </w:rPr>
              <w:t>Sites e-commerce beauté nombreux, mais aucun acteur marocain ne propose de recommandation par IA fondée sur les ingrédients.</w:t>
            </w:r>
          </w:p>
        </w:tc>
      </w:tr>
      <w:tr>
        <w:tc>
          <w:tcPr>
            <w:tcW w:type="dxa" w:w="2041"/>
            <w:shd w:val="clear" w:fill="F6EBF1"/>
          </w:tcPr>
          <w:p>
            <w:r/>
            <w:r>
              <w:rPr>
                <w:sz w:val="19"/>
              </w:rPr>
              <w:t>Pouvoir de négociation des clients</w:t>
            </w:r>
          </w:p>
        </w:tc>
        <w:tc>
          <w:tcPr>
            <w:tcW w:type="dxa" w:w="1247"/>
            <w:shd w:val="clear" w:fill="F6EBF1"/>
          </w:tcPr>
          <w:p>
            <w:r/>
            <w:r>
              <w:rPr>
                <w:sz w:val="19"/>
              </w:rPr>
              <w:t>Fort</w:t>
            </w:r>
          </w:p>
        </w:tc>
        <w:tc>
          <w:tcPr>
            <w:tcW w:type="dxa" w:w="2268"/>
            <w:shd w:val="clear" w:fill="F6EBF1"/>
          </w:tcPr>
          <w:p>
            <w:r/>
            <w:r>
              <w:rPr>
                <w:sz w:val="19"/>
              </w:rPr>
              <w:t>Négative : exigence de valeur immédiate</w:t>
            </w:r>
          </w:p>
        </w:tc>
        <w:tc>
          <w:tcPr>
            <w:tcW w:type="dxa" w:w="3402"/>
            <w:shd w:val="clear" w:fill="F6EBF1"/>
          </w:tcPr>
          <w:p>
            <w:r/>
            <w:r>
              <w:rPr>
                <w:sz w:val="19"/>
              </w:rPr>
              <w:t>Service gratuit substituable, coût de changement nul : l'utilisateur doit percevoir une valeur immédiate (pertinence des recommandations).</w:t>
            </w:r>
          </w:p>
        </w:tc>
      </w:tr>
      <w:tr>
        <w:tc>
          <w:tcPr>
            <w:tcW w:type="dxa" w:w="2041"/>
          </w:tcPr>
          <w:p>
            <w:r/>
            <w:r>
              <w:rPr>
                <w:sz w:val="19"/>
              </w:rPr>
              <w:t>Pouvoir de négociation des fournisseurs</w:t>
            </w:r>
          </w:p>
        </w:tc>
        <w:tc>
          <w:tcPr>
            <w:tcW w:type="dxa" w:w="1247"/>
          </w:tcPr>
          <w:p>
            <w:r/>
            <w:r>
              <w:rPr>
                <w:sz w:val="19"/>
              </w:rPr>
              <w:t>Faible à moyen</w:t>
            </w:r>
          </w:p>
        </w:tc>
        <w:tc>
          <w:tcPr>
            <w:tcW w:type="dxa" w:w="2268"/>
          </w:tcPr>
          <w:p>
            <w:r/>
            <w:r>
              <w:rPr>
                <w:sz w:val="19"/>
              </w:rPr>
              <w:t>Positive : données publiques, cloud substituable</w:t>
            </w:r>
          </w:p>
        </w:tc>
        <w:tc>
          <w:tcPr>
            <w:tcW w:type="dxa" w:w="3402"/>
          </w:tcPr>
          <w:p>
            <w:r/>
            <w:r>
              <w:rPr>
                <w:sz w:val="19"/>
              </w:rPr>
              <w:t>Données produits publiques et multiples ; dépendance modérée aux plateformes cloud et aux partenaires e-commerce d'affiliation.</w:t>
            </w:r>
          </w:p>
        </w:tc>
      </w:tr>
      <w:tr>
        <w:tc>
          <w:tcPr>
            <w:tcW w:type="dxa" w:w="2041"/>
            <w:shd w:val="clear" w:fill="F6EBF1"/>
          </w:tcPr>
          <w:p>
            <w:r/>
            <w:r>
              <w:rPr>
                <w:sz w:val="19"/>
              </w:rPr>
              <w:t>Menace des nouveaux entrants</w:t>
            </w:r>
          </w:p>
        </w:tc>
        <w:tc>
          <w:tcPr>
            <w:tcW w:type="dxa" w:w="1247"/>
            <w:shd w:val="clear" w:fill="F6EBF1"/>
          </w:tcPr>
          <w:p>
            <w:r/>
            <w:r>
              <w:rPr>
                <w:sz w:val="19"/>
              </w:rPr>
              <w:t>Moyenne à forte</w:t>
            </w:r>
          </w:p>
        </w:tc>
        <w:tc>
          <w:tcPr>
            <w:tcW w:type="dxa" w:w="2268"/>
            <w:shd w:val="clear" w:fill="F6EBF1"/>
          </w:tcPr>
          <w:p>
            <w:r/>
            <w:r>
              <w:rPr>
                <w:sz w:val="19"/>
              </w:rPr>
              <w:t>Négative à anticiper : avantage au premier entrant</w:t>
            </w:r>
          </w:p>
        </w:tc>
        <w:tc>
          <w:tcPr>
            <w:tcW w:type="dxa" w:w="3402"/>
            <w:shd w:val="clear" w:fill="F6EBF1"/>
          </w:tcPr>
          <w:p>
            <w:r/>
            <w:r>
              <w:rPr>
                <w:sz w:val="19"/>
              </w:rPr>
              <w:t>Barrières techniques modérées (IA open source), mais avantage au premier entrant : effet de données (plus d'utilisateurs → meilleures recommandations) difficile à rattraper.</w:t>
            </w:r>
          </w:p>
        </w:tc>
      </w:tr>
      <w:tr>
        <w:tc>
          <w:tcPr>
            <w:tcW w:type="dxa" w:w="2041"/>
          </w:tcPr>
          <w:p>
            <w:r/>
            <w:r>
              <w:rPr>
                <w:sz w:val="19"/>
              </w:rPr>
              <w:t>Menace des produits de substitution</w:t>
            </w:r>
          </w:p>
        </w:tc>
        <w:tc>
          <w:tcPr>
            <w:tcW w:type="dxa" w:w="1247"/>
          </w:tcPr>
          <w:p>
            <w:r/>
            <w:r>
              <w:rPr>
                <w:sz w:val="19"/>
              </w:rPr>
              <w:t>Moyenne</w:t>
            </w:r>
          </w:p>
        </w:tc>
        <w:tc>
          <w:tcPr>
            <w:tcW w:type="dxa" w:w="2268"/>
          </w:tcPr>
          <w:p>
            <w:r/>
            <w:r>
              <w:rPr>
                <w:sz w:val="19"/>
              </w:rPr>
              <w:t>Négative modérée : substituts moins personnalisés</w:t>
            </w:r>
          </w:p>
        </w:tc>
        <w:tc>
          <w:tcPr>
            <w:tcW w:type="dxa" w:w="3402"/>
          </w:tcPr>
          <w:p>
            <w:r/>
            <w:r>
              <w:rPr>
                <w:sz w:val="19"/>
              </w:rPr>
              <w:t>Conseils d'influenceurs, vendeurs en magasin, applications internationales (non localisées en MAD/darija) : substituts réels mais moins personnalisés.</w:t>
            </w:r>
          </w:p>
        </w:tc>
      </w:tr>
    </w:tbl>
    <w:p/>
    <w:p>
      <w:pPr>
        <w:jc w:val="center"/>
      </w:pPr>
      <w:r>
        <w:rPr>
          <w:i/>
          <w:color w:val="C0567E"/>
          <w:sz w:val="18"/>
        </w:rPr>
        <w:t>Tableau 2.3 — Synthèse des cinq forces de Porter (évaluation et influence positive/négative sur le projet)</w:t>
      </w:r>
    </w:p>
    <w:p>
      <w:pPr>
        <w:jc w:val="both"/>
      </w:pPr>
      <w:r>
        <w:rPr>
          <w:b w:val="0"/>
          <w:i w:val="0"/>
        </w:rPr>
        <w:t>Conclusion sur l'attractivité : le marché est attractif pour un premier entrant technologique. La pression principale vient du pouvoir des clients et du risque d'entrée de grands acteurs ; la stratégie de DermaSense — constitution rapide d'une base d'utilisateurs et d'un actif de données propriétaire (profils × retours produits localisés) — vise précisément à ériger cette barrière avant l'arrivée de concurrents.</w:t>
      </w:r>
    </w:p>
    <w:p>
      <w:pPr>
        <w:pStyle w:val="Heading2"/>
      </w:pPr>
      <w:r>
        <w:t>2.2. Étude prévisionnelle de faisabilité</w:t>
      </w:r>
    </w:p>
    <w:p>
      <w:pPr>
        <w:pStyle w:val="Heading3"/>
      </w:pPr>
      <w:r>
        <w:t>2.2.1. Étude technique</w:t>
      </w:r>
    </w:p>
    <w:tbl>
      <w:tblPr>
        <w:tblStyle w:val="TableGrid"/>
        <w:tblW w:type="auto" w:w="0"/>
        <w:jc w:val="center"/>
        <w:tblLook w:firstColumn="1" w:firstRow="1" w:lastColumn="0" w:lastRow="0" w:noHBand="0" w:noVBand="1" w:val="04A0"/>
      </w:tblPr>
      <w:tblGrid>
        <w:gridCol w:w="4649"/>
        <w:gridCol w:w="4649"/>
      </w:tblGrid>
      <w:tr>
        <w:tc>
          <w:tcPr>
            <w:tcW w:type="dxa" w:w="2381"/>
            <w:shd w:val="clear" w:fill="7B2D62"/>
          </w:tcPr>
          <w:p>
            <w:r/>
            <w:r>
              <w:rPr>
                <w:b/>
                <w:color w:val="FFFFFF"/>
                <w:sz w:val="19"/>
              </w:rPr>
              <w:t>Poste</w:t>
            </w:r>
          </w:p>
        </w:tc>
        <w:tc>
          <w:tcPr>
            <w:tcW w:type="dxa" w:w="6576"/>
            <w:shd w:val="clear" w:fill="7B2D62"/>
          </w:tcPr>
          <w:p>
            <w:r/>
            <w:r>
              <w:rPr>
                <w:b/>
                <w:color w:val="FFFFFF"/>
                <w:sz w:val="19"/>
              </w:rPr>
              <w:t>Détail</w:t>
            </w:r>
          </w:p>
        </w:tc>
      </w:tr>
      <w:tr>
        <w:tc>
          <w:tcPr>
            <w:tcW w:type="dxa" w:w="2381"/>
          </w:tcPr>
          <w:p>
            <w:r/>
            <w:r>
              <w:rPr>
                <w:sz w:val="19"/>
              </w:rPr>
              <w:t>Ressources matérielles</w:t>
            </w:r>
          </w:p>
        </w:tc>
        <w:tc>
          <w:tcPr>
            <w:tcW w:type="dxa" w:w="6576"/>
          </w:tcPr>
          <w:p>
            <w:r/>
            <w:r>
              <w:rPr>
                <w:sz w:val="19"/>
              </w:rPr>
              <w:t>Deux PC portables de développement (entrée de gamme professionnelle), un smartphone Android de test, un SSD externe de sauvegarde.</w:t>
            </w:r>
          </w:p>
        </w:tc>
      </w:tr>
      <w:tr>
        <w:tc>
          <w:tcPr>
            <w:tcW w:type="dxa" w:w="2381"/>
            <w:shd w:val="clear" w:fill="F6EBF1"/>
          </w:tcPr>
          <w:p>
            <w:r/>
            <w:r>
              <w:rPr>
                <w:sz w:val="19"/>
              </w:rPr>
              <w:t>Ressources logicielles</w:t>
            </w:r>
          </w:p>
        </w:tc>
        <w:tc>
          <w:tcPr>
            <w:tcW w:type="dxa" w:w="6576"/>
            <w:shd w:val="clear" w:fill="F6EBF1"/>
          </w:tcPr>
          <w:p>
            <w:r/>
            <w:r>
              <w:rPr>
                <w:sz w:val="19"/>
              </w:rPr>
              <w:t>Python (pandas, scikit-learn), FastAPI, React, PostgreSQL — open source ; outils SaaS : Figma, GitHub, suivi analytique.</w:t>
            </w:r>
          </w:p>
        </w:tc>
      </w:tr>
      <w:tr>
        <w:tc>
          <w:tcPr>
            <w:tcW w:type="dxa" w:w="2381"/>
          </w:tcPr>
          <w:p>
            <w:r/>
            <w:r>
              <w:rPr>
                <w:sz w:val="19"/>
              </w:rPr>
              <w:t>Infrastructure</w:t>
            </w:r>
          </w:p>
        </w:tc>
        <w:tc>
          <w:tcPr>
            <w:tcW w:type="dxa" w:w="6576"/>
          </w:tcPr>
          <w:p>
            <w:r/>
            <w:r>
              <w:rPr>
                <w:sz w:val="19"/>
              </w:rPr>
              <w:t>Hébergement cloud d'entrée de gamme ≈ 350 MAD/mois (serveur applicatif + base de données managée), extensible à la demande ; sauvegardes et chiffrement au repos.</w:t>
            </w:r>
          </w:p>
        </w:tc>
      </w:tr>
      <w:tr>
        <w:tc>
          <w:tcPr>
            <w:tcW w:type="dxa" w:w="2381"/>
            <w:shd w:val="clear" w:fill="F6EBF1"/>
          </w:tcPr>
          <w:p>
            <w:r/>
            <w:r>
              <w:rPr>
                <w:sz w:val="19"/>
              </w:rPr>
              <w:t>Compétences requises</w:t>
            </w:r>
          </w:p>
        </w:tc>
        <w:tc>
          <w:tcPr>
            <w:tcW w:type="dxa" w:w="6576"/>
            <w:shd w:val="clear" w:fill="F6EBF1"/>
          </w:tcPr>
          <w:p>
            <w:r/>
            <w:r>
              <w:rPr>
                <w:sz w:val="19"/>
              </w:rPr>
              <w:t>Les deux fondateurs étudiants IAD couvrent data science et développement full-stack ; marketing digital en autoformation ; appui ponctuel des encadrants et d'un freelance (design).</w:t>
            </w:r>
          </w:p>
        </w:tc>
      </w:tr>
      <w:tr>
        <w:tc>
          <w:tcPr>
            <w:tcW w:type="dxa" w:w="2381"/>
          </w:tcPr>
          <w:p>
            <w:r/>
            <w:r>
              <w:rPr>
                <w:sz w:val="19"/>
              </w:rPr>
              <w:t>Processus de production</w:t>
            </w:r>
          </w:p>
        </w:tc>
        <w:tc>
          <w:tcPr>
            <w:tcW w:type="dxa" w:w="6576"/>
          </w:tcPr>
          <w:p>
            <w:r/>
            <w:r>
              <w:rPr>
                <w:sz w:val="19"/>
              </w:rPr>
              <w:t>Cycle agile en sprints de 2 semaines : collecte → entraînement → validation (métriques par sous-groupe) → déploiement API → suivi en production → réentraînement mensuel avec les nouveaux retours.</w:t>
            </w:r>
          </w:p>
        </w:tc>
      </w:tr>
    </w:tbl>
    <w:p/>
    <w:p>
      <w:pPr>
        <w:jc w:val="center"/>
      </w:pPr>
      <w:r>
        <w:rPr>
          <w:i/>
          <w:color w:val="C0567E"/>
          <w:sz w:val="18"/>
        </w:rPr>
        <w:t>Tableau 2.4 — Synthèse de l'étude technique</w:t>
      </w:r>
    </w:p>
    <w:p>
      <w:pPr>
        <w:jc w:val="both"/>
      </w:pPr>
      <w:r>
        <w:rPr>
          <w:b w:val="0"/>
          <w:i w:val="0"/>
        </w:rPr>
        <w:t>Conformément au canevas du guide d'examen, le budget technique est détaillé ci-dessous par nature (matériels informatiques, ressources humaines, autres), avec prix unitaires et quantités, en dirhams.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928"/>
            <w:shd w:val="clear" w:fill="7B2D62"/>
          </w:tcPr>
          <w:p>
            <w:r/>
            <w:r>
              <w:rPr>
                <w:b/>
                <w:color w:val="FFFFFF"/>
                <w:sz w:val="19"/>
              </w:rPr>
              <w:t>Nature</w:t>
            </w:r>
          </w:p>
        </w:tc>
        <w:tc>
          <w:tcPr>
            <w:tcW w:type="dxa" w:w="3742"/>
            <w:shd w:val="clear" w:fill="7B2D62"/>
          </w:tcPr>
          <w:p>
            <w:r/>
            <w:r>
              <w:rPr>
                <w:b/>
                <w:color w:val="FFFFFF"/>
                <w:sz w:val="19"/>
              </w:rPr>
              <w:t>Élément</w:t>
            </w:r>
          </w:p>
        </w:tc>
        <w:tc>
          <w:tcPr>
            <w:tcW w:type="dxa" w:w="1474"/>
            <w:shd w:val="clear" w:fill="7B2D62"/>
          </w:tcPr>
          <w:p>
            <w:r/>
            <w:r>
              <w:rPr>
                <w:b/>
                <w:color w:val="FFFFFF"/>
                <w:sz w:val="19"/>
              </w:rPr>
              <w:t>Prix unitaire (MAD)</w:t>
            </w:r>
          </w:p>
        </w:tc>
        <w:tc>
          <w:tcPr>
            <w:tcW w:type="dxa" w:w="907"/>
            <w:shd w:val="clear" w:fill="7B2D62"/>
          </w:tcPr>
          <w:p>
            <w:r/>
            <w:r>
              <w:rPr>
                <w:b/>
                <w:color w:val="FFFFFF"/>
                <w:sz w:val="19"/>
              </w:rPr>
              <w:t>Quantité</w:t>
            </w:r>
          </w:p>
        </w:tc>
        <w:tc>
          <w:tcPr>
            <w:tcW w:type="dxa" w:w="1134"/>
            <w:shd w:val="clear" w:fill="7B2D62"/>
          </w:tcPr>
          <w:p>
            <w:r/>
            <w:r>
              <w:rPr>
                <w:b/>
                <w:color w:val="FFFFFF"/>
                <w:sz w:val="19"/>
              </w:rPr>
              <w:t>Total (MAD)</w:t>
            </w:r>
          </w:p>
        </w:tc>
      </w:tr>
      <w:tr>
        <w:tc>
          <w:tcPr>
            <w:tcW w:type="dxa" w:w="1928"/>
          </w:tcPr>
          <w:p>
            <w:r/>
            <w:r>
              <w:rPr>
                <w:sz w:val="19"/>
              </w:rPr>
              <w:t>Matériels informatiques</w:t>
            </w:r>
          </w:p>
        </w:tc>
        <w:tc>
          <w:tcPr>
            <w:tcW w:type="dxa" w:w="3742"/>
          </w:tcPr>
          <w:p>
            <w:r/>
            <w:r>
              <w:rPr>
                <w:sz w:val="19"/>
              </w:rPr>
              <w:t>PC portable de développement (i5/16 Go)</w:t>
            </w:r>
          </w:p>
        </w:tc>
        <w:tc>
          <w:tcPr>
            <w:tcW w:type="dxa" w:w="1474"/>
          </w:tcPr>
          <w:p>
            <w:r/>
            <w:r>
              <w:rPr>
                <w:sz w:val="19"/>
              </w:rPr>
              <w:t>8 000</w:t>
            </w:r>
          </w:p>
        </w:tc>
        <w:tc>
          <w:tcPr>
            <w:tcW w:type="dxa" w:w="907"/>
          </w:tcPr>
          <w:p>
            <w:r/>
            <w:r>
              <w:rPr>
                <w:sz w:val="19"/>
              </w:rPr>
              <w:t>2</w:t>
            </w:r>
          </w:p>
        </w:tc>
        <w:tc>
          <w:tcPr>
            <w:tcW w:type="dxa" w:w="1134"/>
          </w:tcPr>
          <w:p>
            <w:r/>
            <w:r>
              <w:rPr>
                <w:sz w:val="19"/>
              </w:rPr>
              <w:t>16 000</w:t>
            </w:r>
          </w:p>
        </w:tc>
      </w:tr>
      <w:tr>
        <w:tc>
          <w:tcPr>
            <w:tcW w:type="dxa" w:w="1928"/>
            <w:shd w:val="clear" w:fill="F6EBF1"/>
          </w:tcPr>
          <w:p>
            <w:r/>
            <w:r>
              <w:rPr>
                <w:sz w:val="19"/>
              </w:rPr>
              <w:t>Matériels informatiques</w:t>
            </w:r>
          </w:p>
        </w:tc>
        <w:tc>
          <w:tcPr>
            <w:tcW w:type="dxa" w:w="3742"/>
            <w:shd w:val="clear" w:fill="F6EBF1"/>
          </w:tcPr>
          <w:p>
            <w:r/>
            <w:r>
              <w:rPr>
                <w:sz w:val="19"/>
              </w:rPr>
              <w:t>Smartphone de test Android</w:t>
            </w:r>
          </w:p>
        </w:tc>
        <w:tc>
          <w:tcPr>
            <w:tcW w:type="dxa" w:w="1474"/>
            <w:shd w:val="clear" w:fill="F6EBF1"/>
          </w:tcPr>
          <w:p>
            <w:r/>
            <w:r>
              <w:rPr>
                <w:sz w:val="19"/>
              </w:rPr>
              <w:t>2 000</w:t>
            </w:r>
          </w:p>
        </w:tc>
        <w:tc>
          <w:tcPr>
            <w:tcW w:type="dxa" w:w="907"/>
            <w:shd w:val="clear" w:fill="F6EBF1"/>
          </w:tcPr>
          <w:p>
            <w:r/>
            <w:r>
              <w:rPr>
                <w:sz w:val="19"/>
              </w:rPr>
              <w:t>1</w:t>
            </w:r>
          </w:p>
        </w:tc>
        <w:tc>
          <w:tcPr>
            <w:tcW w:type="dxa" w:w="1134"/>
            <w:shd w:val="clear" w:fill="F6EBF1"/>
          </w:tcPr>
          <w:p>
            <w:r/>
            <w:r>
              <w:rPr>
                <w:sz w:val="19"/>
              </w:rPr>
              <w:t>2 000</w:t>
            </w:r>
          </w:p>
        </w:tc>
      </w:tr>
      <w:tr>
        <w:tc>
          <w:tcPr>
            <w:tcW w:type="dxa" w:w="1928"/>
          </w:tcPr>
          <w:p>
            <w:r/>
            <w:r>
              <w:rPr>
                <w:sz w:val="19"/>
              </w:rPr>
              <w:t>Matériels informatiques</w:t>
            </w:r>
          </w:p>
        </w:tc>
        <w:tc>
          <w:tcPr>
            <w:tcW w:type="dxa" w:w="3742"/>
          </w:tcPr>
          <w:p>
            <w:r/>
            <w:r>
              <w:rPr>
                <w:sz w:val="19"/>
              </w:rPr>
              <w:t>SSD externe de sauvegarde (1 To)</w:t>
            </w:r>
          </w:p>
        </w:tc>
        <w:tc>
          <w:tcPr>
            <w:tcW w:type="dxa" w:w="1474"/>
          </w:tcPr>
          <w:p>
            <w:r/>
            <w:r>
              <w:rPr>
                <w:sz w:val="19"/>
              </w:rPr>
              <w:t>600</w:t>
            </w:r>
          </w:p>
        </w:tc>
        <w:tc>
          <w:tcPr>
            <w:tcW w:type="dxa" w:w="907"/>
          </w:tcPr>
          <w:p>
            <w:r/>
            <w:r>
              <w:rPr>
                <w:sz w:val="19"/>
              </w:rPr>
              <w:t>1</w:t>
            </w:r>
          </w:p>
        </w:tc>
        <w:tc>
          <w:tcPr>
            <w:tcW w:type="dxa" w:w="1134"/>
          </w:tcPr>
          <w:p>
            <w:r/>
            <w:r>
              <w:rPr>
                <w:sz w:val="19"/>
              </w:rPr>
              <w:t>600</w:t>
            </w:r>
          </w:p>
        </w:tc>
      </w:tr>
      <w:tr>
        <w:tc>
          <w:tcPr>
            <w:tcW w:type="dxa" w:w="1928"/>
            <w:shd w:val="clear" w:fill="F6EBF1"/>
          </w:tcPr>
          <w:p>
            <w:r/>
            <w:r>
              <w:rPr>
                <w:sz w:val="19"/>
              </w:rPr>
              <w:t>Total matériel</w:t>
            </w:r>
          </w:p>
        </w:tc>
        <w:tc>
          <w:tcPr>
            <w:tcW w:type="dxa" w:w="3742"/>
            <w:shd w:val="clear" w:fill="F6EBF1"/>
          </w:tcPr>
          <w:p>
            <w:r/>
            <w:r>
              <w:rPr>
                <w:sz w:val="19"/>
              </w:rPr>
            </w:r>
          </w:p>
        </w:tc>
        <w:tc>
          <w:tcPr>
            <w:tcW w:type="dxa" w:w="1474"/>
            <w:shd w:val="clear" w:fill="F6EBF1"/>
          </w:tcPr>
          <w:p>
            <w:r/>
            <w:r>
              <w:rPr>
                <w:sz w:val="19"/>
              </w:rPr>
            </w:r>
          </w:p>
        </w:tc>
        <w:tc>
          <w:tcPr>
            <w:tcW w:type="dxa" w:w="907"/>
            <w:shd w:val="clear" w:fill="F6EBF1"/>
          </w:tcPr>
          <w:p>
            <w:r/>
            <w:r>
              <w:rPr>
                <w:sz w:val="19"/>
              </w:rPr>
            </w:r>
          </w:p>
        </w:tc>
        <w:tc>
          <w:tcPr>
            <w:tcW w:type="dxa" w:w="1134"/>
            <w:shd w:val="clear" w:fill="F6EBF1"/>
          </w:tcPr>
          <w:p>
            <w:r/>
            <w:r>
              <w:rPr>
                <w:sz w:val="19"/>
              </w:rPr>
              <w:t>18 600</w:t>
            </w:r>
          </w:p>
        </w:tc>
      </w:tr>
      <w:tr>
        <w:tc>
          <w:tcPr>
            <w:tcW w:type="dxa" w:w="1928"/>
          </w:tcPr>
          <w:p>
            <w:r/>
            <w:r>
              <w:rPr>
                <w:sz w:val="19"/>
              </w:rPr>
              <w:t>Ressources humaines</w:t>
            </w:r>
          </w:p>
        </w:tc>
        <w:tc>
          <w:tcPr>
            <w:tcW w:type="dxa" w:w="3742"/>
          </w:tcPr>
          <w:p>
            <w:r/>
            <w:r>
              <w:rPr>
                <w:sz w:val="19"/>
              </w:rPr>
              <w:t>Indemnité des 2 fondateurs (à partir du 7e mois)</w:t>
            </w:r>
          </w:p>
        </w:tc>
        <w:tc>
          <w:tcPr>
            <w:tcW w:type="dxa" w:w="1474"/>
          </w:tcPr>
          <w:p>
            <w:r/>
            <w:r>
              <w:rPr>
                <w:sz w:val="19"/>
              </w:rPr>
              <w:t>2 500 / mois</w:t>
            </w:r>
          </w:p>
        </w:tc>
        <w:tc>
          <w:tcPr>
            <w:tcW w:type="dxa" w:w="907"/>
          </w:tcPr>
          <w:p>
            <w:r/>
            <w:r>
              <w:rPr>
                <w:sz w:val="19"/>
              </w:rPr>
              <w:t>2 × 6 mois</w:t>
            </w:r>
          </w:p>
        </w:tc>
        <w:tc>
          <w:tcPr>
            <w:tcW w:type="dxa" w:w="1134"/>
          </w:tcPr>
          <w:p>
            <w:r/>
            <w:r>
              <w:rPr>
                <w:sz w:val="19"/>
              </w:rPr>
              <w:t>30 000</w:t>
            </w:r>
          </w:p>
        </w:tc>
      </w:tr>
      <w:tr>
        <w:tc>
          <w:tcPr>
            <w:tcW w:type="dxa" w:w="1928"/>
            <w:shd w:val="clear" w:fill="F6EBF1"/>
          </w:tcPr>
          <w:p>
            <w:r/>
            <w:r>
              <w:rPr>
                <w:sz w:val="19"/>
              </w:rPr>
              <w:t>Ressources humaines</w:t>
            </w:r>
          </w:p>
        </w:tc>
        <w:tc>
          <w:tcPr>
            <w:tcW w:type="dxa" w:w="3742"/>
            <w:shd w:val="clear" w:fill="F6EBF1"/>
          </w:tcPr>
          <w:p>
            <w:r/>
            <w:r>
              <w:rPr>
                <w:sz w:val="19"/>
              </w:rPr>
              <w:t>Freelance design UX/UI et identité visuelle</w:t>
            </w:r>
          </w:p>
        </w:tc>
        <w:tc>
          <w:tcPr>
            <w:tcW w:type="dxa" w:w="1474"/>
            <w:shd w:val="clear" w:fill="F6EBF1"/>
          </w:tcPr>
          <w:p>
            <w:r/>
            <w:r>
              <w:rPr>
                <w:sz w:val="19"/>
              </w:rPr>
              <w:t>8 000</w:t>
            </w:r>
          </w:p>
        </w:tc>
        <w:tc>
          <w:tcPr>
            <w:tcW w:type="dxa" w:w="907"/>
            <w:shd w:val="clear" w:fill="F6EBF1"/>
          </w:tcPr>
          <w:p>
            <w:r/>
            <w:r>
              <w:rPr>
                <w:sz w:val="19"/>
              </w:rPr>
              <w:t>1</w:t>
            </w:r>
          </w:p>
        </w:tc>
        <w:tc>
          <w:tcPr>
            <w:tcW w:type="dxa" w:w="1134"/>
            <w:shd w:val="clear" w:fill="F6EBF1"/>
          </w:tcPr>
          <w:p>
            <w:r/>
            <w:r>
              <w:rPr>
                <w:sz w:val="19"/>
              </w:rPr>
              <w:t>8 000</w:t>
            </w:r>
          </w:p>
        </w:tc>
      </w:tr>
      <w:tr>
        <w:tc>
          <w:tcPr>
            <w:tcW w:type="dxa" w:w="1928"/>
          </w:tcPr>
          <w:p>
            <w:r/>
            <w:r>
              <w:rPr>
                <w:sz w:val="19"/>
              </w:rPr>
              <w:t>Total RH</w:t>
            </w:r>
          </w:p>
        </w:tc>
        <w:tc>
          <w:tcPr>
            <w:tcW w:type="dxa" w:w="3742"/>
          </w:tcPr>
          <w:p>
            <w:r/>
            <w:r>
              <w:rPr>
                <w:sz w:val="19"/>
              </w:rPr>
            </w:r>
          </w:p>
        </w:tc>
        <w:tc>
          <w:tcPr>
            <w:tcW w:type="dxa" w:w="1474"/>
          </w:tcPr>
          <w:p>
            <w:r/>
            <w:r>
              <w:rPr>
                <w:sz w:val="19"/>
              </w:rPr>
            </w:r>
          </w:p>
        </w:tc>
        <w:tc>
          <w:tcPr>
            <w:tcW w:type="dxa" w:w="907"/>
          </w:tcPr>
          <w:p>
            <w:r/>
            <w:r>
              <w:rPr>
                <w:sz w:val="19"/>
              </w:rPr>
            </w:r>
          </w:p>
        </w:tc>
        <w:tc>
          <w:tcPr>
            <w:tcW w:type="dxa" w:w="1134"/>
          </w:tcPr>
          <w:p>
            <w:r/>
            <w:r>
              <w:rPr>
                <w:sz w:val="19"/>
              </w:rPr>
              <w:t>38 000</w:t>
            </w:r>
          </w:p>
        </w:tc>
      </w:tr>
      <w:tr>
        <w:tc>
          <w:tcPr>
            <w:tcW w:type="dxa" w:w="1928"/>
            <w:shd w:val="clear" w:fill="F6EBF1"/>
          </w:tcPr>
          <w:p>
            <w:r/>
            <w:r>
              <w:rPr>
                <w:sz w:val="19"/>
              </w:rPr>
              <w:t>Autres</w:t>
            </w:r>
          </w:p>
        </w:tc>
        <w:tc>
          <w:tcPr>
            <w:tcW w:type="dxa" w:w="3742"/>
            <w:shd w:val="clear" w:fill="F6EBF1"/>
          </w:tcPr>
          <w:p>
            <w:r/>
            <w:r>
              <w:rPr>
                <w:sz w:val="19"/>
              </w:rPr>
              <w:t>Hébergement cloud (serveur + base de données)</w:t>
            </w:r>
          </w:p>
        </w:tc>
        <w:tc>
          <w:tcPr>
            <w:tcW w:type="dxa" w:w="1474"/>
            <w:shd w:val="clear" w:fill="F6EBF1"/>
          </w:tcPr>
          <w:p>
            <w:r/>
            <w:r>
              <w:rPr>
                <w:sz w:val="19"/>
              </w:rPr>
              <w:t>350 / mois</w:t>
            </w:r>
          </w:p>
        </w:tc>
        <w:tc>
          <w:tcPr>
            <w:tcW w:type="dxa" w:w="907"/>
            <w:shd w:val="clear" w:fill="F6EBF1"/>
          </w:tcPr>
          <w:p>
            <w:r/>
            <w:r>
              <w:rPr>
                <w:sz w:val="19"/>
              </w:rPr>
              <w:t>12</w:t>
            </w:r>
          </w:p>
        </w:tc>
        <w:tc>
          <w:tcPr>
            <w:tcW w:type="dxa" w:w="1134"/>
            <w:shd w:val="clear" w:fill="F6EBF1"/>
          </w:tcPr>
          <w:p>
            <w:r/>
            <w:r>
              <w:rPr>
                <w:sz w:val="19"/>
              </w:rPr>
              <w:t>4 200</w:t>
            </w:r>
          </w:p>
        </w:tc>
      </w:tr>
      <w:tr>
        <w:tc>
          <w:tcPr>
            <w:tcW w:type="dxa" w:w="1928"/>
          </w:tcPr>
          <w:p>
            <w:r/>
            <w:r>
              <w:rPr>
                <w:sz w:val="19"/>
              </w:rPr>
              <w:t>Autres</w:t>
            </w:r>
          </w:p>
        </w:tc>
        <w:tc>
          <w:tcPr>
            <w:tcW w:type="dxa" w:w="3742"/>
          </w:tcPr>
          <w:p>
            <w:r/>
            <w:r>
              <w:rPr>
                <w:sz w:val="19"/>
              </w:rPr>
              <w:t>Nom de domaine dermasense.ma</w:t>
            </w:r>
          </w:p>
        </w:tc>
        <w:tc>
          <w:tcPr>
            <w:tcW w:type="dxa" w:w="1474"/>
          </w:tcPr>
          <w:p>
            <w:r/>
            <w:r>
              <w:rPr>
                <w:sz w:val="19"/>
              </w:rPr>
              <w:t>150</w:t>
            </w:r>
          </w:p>
        </w:tc>
        <w:tc>
          <w:tcPr>
            <w:tcW w:type="dxa" w:w="907"/>
          </w:tcPr>
          <w:p>
            <w:r/>
            <w:r>
              <w:rPr>
                <w:sz w:val="19"/>
              </w:rPr>
              <w:t>1</w:t>
            </w:r>
          </w:p>
        </w:tc>
        <w:tc>
          <w:tcPr>
            <w:tcW w:type="dxa" w:w="1134"/>
          </w:tcPr>
          <w:p>
            <w:r/>
            <w:r>
              <w:rPr>
                <w:sz w:val="19"/>
              </w:rPr>
              <w:t>150</w:t>
            </w:r>
          </w:p>
        </w:tc>
      </w:tr>
      <w:tr>
        <w:tc>
          <w:tcPr>
            <w:tcW w:type="dxa" w:w="1928"/>
            <w:shd w:val="clear" w:fill="F6EBF1"/>
          </w:tcPr>
          <w:p>
            <w:r/>
            <w:r>
              <w:rPr>
                <w:sz w:val="19"/>
              </w:rPr>
              <w:t>Autres</w:t>
            </w:r>
          </w:p>
        </w:tc>
        <w:tc>
          <w:tcPr>
            <w:tcW w:type="dxa" w:w="3742"/>
            <w:shd w:val="clear" w:fill="F6EBF1"/>
          </w:tcPr>
          <w:p>
            <w:r/>
            <w:r>
              <w:rPr>
                <w:sz w:val="19"/>
              </w:rPr>
              <w:t>Marketing de lancement (réseaux sociaux, influence)</w:t>
            </w:r>
          </w:p>
        </w:tc>
        <w:tc>
          <w:tcPr>
            <w:tcW w:type="dxa" w:w="1474"/>
            <w:shd w:val="clear" w:fill="F6EBF1"/>
          </w:tcPr>
          <w:p>
            <w:r/>
            <w:r>
              <w:rPr>
                <w:sz w:val="19"/>
              </w:rPr>
              <w:t>15 000</w:t>
            </w:r>
          </w:p>
        </w:tc>
        <w:tc>
          <w:tcPr>
            <w:tcW w:type="dxa" w:w="907"/>
            <w:shd w:val="clear" w:fill="F6EBF1"/>
          </w:tcPr>
          <w:p>
            <w:r/>
            <w:r>
              <w:rPr>
                <w:sz w:val="19"/>
              </w:rPr>
              <w:t>1</w:t>
            </w:r>
          </w:p>
        </w:tc>
        <w:tc>
          <w:tcPr>
            <w:tcW w:type="dxa" w:w="1134"/>
            <w:shd w:val="clear" w:fill="F6EBF1"/>
          </w:tcPr>
          <w:p>
            <w:r/>
            <w:r>
              <w:rPr>
                <w:sz w:val="19"/>
              </w:rPr>
              <w:t>15 000</w:t>
            </w:r>
          </w:p>
        </w:tc>
      </w:tr>
      <w:tr>
        <w:tc>
          <w:tcPr>
            <w:tcW w:type="dxa" w:w="1928"/>
          </w:tcPr>
          <w:p>
            <w:r/>
            <w:r>
              <w:rPr>
                <w:sz w:val="19"/>
              </w:rPr>
              <w:t>Autres</w:t>
            </w:r>
          </w:p>
        </w:tc>
        <w:tc>
          <w:tcPr>
            <w:tcW w:type="dxa" w:w="3742"/>
          </w:tcPr>
          <w:p>
            <w:r/>
            <w:r>
              <w:rPr>
                <w:sz w:val="19"/>
              </w:rPr>
              <w:t>Création SARL + dépôt de marque (OMPIC)</w:t>
            </w:r>
          </w:p>
        </w:tc>
        <w:tc>
          <w:tcPr>
            <w:tcW w:type="dxa" w:w="1474"/>
          </w:tcPr>
          <w:p>
            <w:r/>
            <w:r>
              <w:rPr>
                <w:sz w:val="19"/>
              </w:rPr>
              <w:t>3 000</w:t>
            </w:r>
          </w:p>
        </w:tc>
        <w:tc>
          <w:tcPr>
            <w:tcW w:type="dxa" w:w="907"/>
          </w:tcPr>
          <w:p>
            <w:r/>
            <w:r>
              <w:rPr>
                <w:sz w:val="19"/>
              </w:rPr>
              <w:t>1</w:t>
            </w:r>
          </w:p>
        </w:tc>
        <w:tc>
          <w:tcPr>
            <w:tcW w:type="dxa" w:w="1134"/>
          </w:tcPr>
          <w:p>
            <w:r/>
            <w:r>
              <w:rPr>
                <w:sz w:val="19"/>
              </w:rPr>
              <w:t>3 000</w:t>
            </w:r>
          </w:p>
        </w:tc>
      </w:tr>
      <w:tr>
        <w:tc>
          <w:tcPr>
            <w:tcW w:type="dxa" w:w="1928"/>
            <w:shd w:val="clear" w:fill="F6EBF1"/>
          </w:tcPr>
          <w:p>
            <w:r/>
            <w:r>
              <w:rPr>
                <w:sz w:val="19"/>
              </w:rPr>
              <w:t>Total autres</w:t>
            </w:r>
          </w:p>
        </w:tc>
        <w:tc>
          <w:tcPr>
            <w:tcW w:type="dxa" w:w="3742"/>
            <w:shd w:val="clear" w:fill="F6EBF1"/>
          </w:tcPr>
          <w:p>
            <w:r/>
            <w:r>
              <w:rPr>
                <w:sz w:val="19"/>
              </w:rPr>
            </w:r>
          </w:p>
        </w:tc>
        <w:tc>
          <w:tcPr>
            <w:tcW w:type="dxa" w:w="1474"/>
            <w:shd w:val="clear" w:fill="F6EBF1"/>
          </w:tcPr>
          <w:p>
            <w:r/>
            <w:r>
              <w:rPr>
                <w:sz w:val="19"/>
              </w:rPr>
            </w:r>
          </w:p>
        </w:tc>
        <w:tc>
          <w:tcPr>
            <w:tcW w:type="dxa" w:w="907"/>
            <w:shd w:val="clear" w:fill="F6EBF1"/>
          </w:tcPr>
          <w:p>
            <w:r/>
            <w:r>
              <w:rPr>
                <w:sz w:val="19"/>
              </w:rPr>
            </w:r>
          </w:p>
        </w:tc>
        <w:tc>
          <w:tcPr>
            <w:tcW w:type="dxa" w:w="1134"/>
            <w:shd w:val="clear" w:fill="F6EBF1"/>
          </w:tcPr>
          <w:p>
            <w:r/>
            <w:r>
              <w:rPr>
                <w:sz w:val="19"/>
              </w:rPr>
              <w:t>22 350</w:t>
            </w:r>
          </w:p>
        </w:tc>
      </w:tr>
      <w:tr>
        <w:tc>
          <w:tcPr>
            <w:tcW w:type="dxa" w:w="1928"/>
          </w:tcPr>
          <w:p>
            <w:r/>
            <w:r>
              <w:rPr>
                <w:sz w:val="19"/>
              </w:rPr>
              <w:t>SOMME TOTALE (année 1)</w:t>
            </w:r>
          </w:p>
        </w:tc>
        <w:tc>
          <w:tcPr>
            <w:tcW w:type="dxa" w:w="3742"/>
          </w:tcPr>
          <w:p>
            <w:r/>
            <w:r>
              <w:rPr>
                <w:sz w:val="19"/>
              </w:rPr>
            </w:r>
          </w:p>
        </w:tc>
        <w:tc>
          <w:tcPr>
            <w:tcW w:type="dxa" w:w="1474"/>
          </w:tcPr>
          <w:p>
            <w:r/>
            <w:r>
              <w:rPr>
                <w:sz w:val="19"/>
              </w:rPr>
            </w:r>
          </w:p>
        </w:tc>
        <w:tc>
          <w:tcPr>
            <w:tcW w:type="dxa" w:w="907"/>
          </w:tcPr>
          <w:p>
            <w:r/>
            <w:r>
              <w:rPr>
                <w:sz w:val="19"/>
              </w:rPr>
            </w:r>
          </w:p>
        </w:tc>
        <w:tc>
          <w:tcPr>
            <w:tcW w:type="dxa" w:w="1134"/>
          </w:tcPr>
          <w:p>
            <w:r/>
            <w:r>
              <w:rPr>
                <w:sz w:val="19"/>
              </w:rPr>
              <w:t>78 950</w:t>
            </w:r>
          </w:p>
        </w:tc>
      </w:tr>
    </w:tbl>
    <w:p/>
    <w:p>
      <w:pPr>
        <w:jc w:val="center"/>
      </w:pPr>
      <w:r>
        <w:rPr>
          <w:i/>
          <w:color w:val="C0567E"/>
          <w:sz w:val="18"/>
        </w:rPr>
        <w:t>Tableau 2.5 — Budget technique détaillé : matériel, ressources humaines et autres ressources (canevas du guide d'examen)</w:t>
      </w:r>
    </w:p>
    <w:p>
      <w:pPr>
        <w:jc w:val="both"/>
      </w:pPr>
      <w:r>
        <w:rPr>
          <w:b w:val="0"/>
          <w:i w:val="0"/>
        </w:rPr>
        <w:t>Le guide demande également de valoriser les coûts propres à l'élaboration du projet, y compris les outils et services acquis spécifiquement. Pour DermaSense : aucun outil matériel spécifique n'a dû être acheté (matériel informatique existant) ; en revanche, deux services ont été acquis spécifiquement pour le projet : le nom de domaine dermasense.ma et un hébergement de démonstration.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474"/>
            <w:shd w:val="clear" w:fill="7B2D62"/>
          </w:tcPr>
          <w:p>
            <w:r/>
            <w:r>
              <w:rPr>
                <w:b/>
                <w:color w:val="FFFFFF"/>
                <w:sz w:val="19"/>
              </w:rPr>
              <w:t>Nature</w:t>
            </w:r>
          </w:p>
        </w:tc>
        <w:tc>
          <w:tcPr>
            <w:tcW w:type="dxa" w:w="3628"/>
            <w:shd w:val="clear" w:fill="7B2D62"/>
          </w:tcPr>
          <w:p>
            <w:r/>
            <w:r>
              <w:rPr>
                <w:b/>
                <w:color w:val="FFFFFF"/>
                <w:sz w:val="19"/>
              </w:rPr>
              <w:t>Éléments</w:t>
            </w:r>
          </w:p>
        </w:tc>
        <w:tc>
          <w:tcPr>
            <w:tcW w:type="dxa" w:w="1587"/>
            <w:shd w:val="clear" w:fill="7B2D62"/>
          </w:tcPr>
          <w:p>
            <w:r/>
            <w:r>
              <w:rPr>
                <w:b/>
                <w:color w:val="FFFFFF"/>
                <w:sz w:val="19"/>
              </w:rPr>
              <w:t>Base de calcul</w:t>
            </w:r>
          </w:p>
        </w:tc>
        <w:tc>
          <w:tcPr>
            <w:tcW w:type="dxa" w:w="1020"/>
            <w:shd w:val="clear" w:fill="7B2D62"/>
          </w:tcPr>
          <w:p>
            <w:r/>
            <w:r>
              <w:rPr>
                <w:b/>
                <w:color w:val="FFFFFF"/>
                <w:sz w:val="19"/>
              </w:rPr>
              <w:t>Quantité</w:t>
            </w:r>
          </w:p>
        </w:tc>
        <w:tc>
          <w:tcPr>
            <w:tcW w:type="dxa" w:w="1134"/>
            <w:shd w:val="clear" w:fill="7B2D62"/>
          </w:tcPr>
          <w:p>
            <w:r/>
            <w:r>
              <w:rPr>
                <w:b/>
                <w:color w:val="FFFFFF"/>
                <w:sz w:val="19"/>
              </w:rPr>
              <w:t>Total (MAD)</w:t>
            </w:r>
          </w:p>
        </w:tc>
      </w:tr>
      <w:tr>
        <w:tc>
          <w:tcPr>
            <w:tcW w:type="dxa" w:w="1474"/>
          </w:tcPr>
          <w:p>
            <w:r/>
            <w:r>
              <w:rPr>
                <w:sz w:val="19"/>
              </w:rPr>
              <w:t>Projet proposé</w:t>
            </w:r>
          </w:p>
        </w:tc>
        <w:tc>
          <w:tcPr>
            <w:tcW w:type="dxa" w:w="3628"/>
          </w:tcPr>
          <w:p>
            <w:r/>
            <w:r>
              <w:rPr>
                <w:sz w:val="19"/>
              </w:rPr>
              <w:t>Heures consacrées (52 j × 8 h, valorisées au taux junior)</w:t>
            </w:r>
          </w:p>
        </w:tc>
        <w:tc>
          <w:tcPr>
            <w:tcW w:type="dxa" w:w="1587"/>
          </w:tcPr>
          <w:p>
            <w:r/>
            <w:r>
              <w:rPr>
                <w:sz w:val="19"/>
              </w:rPr>
              <w:t>35 MAD / heure</w:t>
            </w:r>
          </w:p>
        </w:tc>
        <w:tc>
          <w:tcPr>
            <w:tcW w:type="dxa" w:w="1020"/>
          </w:tcPr>
          <w:p>
            <w:r/>
            <w:r>
              <w:rPr>
                <w:sz w:val="19"/>
              </w:rPr>
              <w:t>416 h</w:t>
            </w:r>
          </w:p>
        </w:tc>
        <w:tc>
          <w:tcPr>
            <w:tcW w:type="dxa" w:w="1134"/>
          </w:tcPr>
          <w:p>
            <w:r/>
            <w:r>
              <w:rPr>
                <w:sz w:val="19"/>
              </w:rPr>
              <w:t>14 560</w:t>
            </w:r>
          </w:p>
        </w:tc>
      </w:tr>
      <w:tr>
        <w:tc>
          <w:tcPr>
            <w:tcW w:type="dxa" w:w="1474"/>
            <w:shd w:val="clear" w:fill="F6EBF1"/>
          </w:tcPr>
          <w:p>
            <w:r/>
            <w:r>
              <w:rPr>
                <w:sz w:val="19"/>
              </w:rPr>
              <w:t>Projet proposé</w:t>
            </w:r>
          </w:p>
        </w:tc>
        <w:tc>
          <w:tcPr>
            <w:tcW w:type="dxa" w:w="3628"/>
            <w:shd w:val="clear" w:fill="F6EBF1"/>
          </w:tcPr>
          <w:p>
            <w:r/>
            <w:r>
              <w:rPr>
                <w:sz w:val="19"/>
              </w:rPr>
              <w:t>Consommation d'électricité (approx.)</w:t>
            </w:r>
          </w:p>
        </w:tc>
        <w:tc>
          <w:tcPr>
            <w:tcW w:type="dxa" w:w="1587"/>
            <w:shd w:val="clear" w:fill="F6EBF1"/>
          </w:tcPr>
          <w:p>
            <w:r/>
            <w:r>
              <w:rPr>
                <w:sz w:val="19"/>
              </w:rPr>
              <w:t>1,30 MAD / kWh</w:t>
            </w:r>
          </w:p>
        </w:tc>
        <w:tc>
          <w:tcPr>
            <w:tcW w:type="dxa" w:w="1020"/>
            <w:shd w:val="clear" w:fill="F6EBF1"/>
          </w:tcPr>
          <w:p>
            <w:r/>
            <w:r>
              <w:rPr>
                <w:sz w:val="19"/>
              </w:rPr>
              <w:t>250 kWh</w:t>
            </w:r>
          </w:p>
        </w:tc>
        <w:tc>
          <w:tcPr>
            <w:tcW w:type="dxa" w:w="1134"/>
            <w:shd w:val="clear" w:fill="F6EBF1"/>
          </w:tcPr>
          <w:p>
            <w:r/>
            <w:r>
              <w:rPr>
                <w:sz w:val="19"/>
              </w:rPr>
              <w:t>325</w:t>
            </w:r>
          </w:p>
        </w:tc>
      </w:tr>
      <w:tr>
        <w:tc>
          <w:tcPr>
            <w:tcW w:type="dxa" w:w="1474"/>
          </w:tcPr>
          <w:p>
            <w:r/>
            <w:r>
              <w:rPr>
                <w:sz w:val="19"/>
              </w:rPr>
              <w:t>Projet proposé</w:t>
            </w:r>
          </w:p>
        </w:tc>
        <w:tc>
          <w:tcPr>
            <w:tcW w:type="dxa" w:w="3628"/>
          </w:tcPr>
          <w:p>
            <w:r/>
            <w:r>
              <w:rPr>
                <w:sz w:val="19"/>
              </w:rPr>
              <w:t>Outils acquis uniquement pour le projet</w:t>
            </w:r>
          </w:p>
        </w:tc>
        <w:tc>
          <w:tcPr>
            <w:tcW w:type="dxa" w:w="1587"/>
          </w:tcPr>
          <w:p>
            <w:r/>
            <w:r>
              <w:rPr>
                <w:sz w:val="19"/>
              </w:rPr>
              <w:t>—</w:t>
            </w:r>
          </w:p>
        </w:tc>
        <w:tc>
          <w:tcPr>
            <w:tcW w:type="dxa" w:w="1020"/>
          </w:tcPr>
          <w:p>
            <w:r/>
            <w:r>
              <w:rPr>
                <w:sz w:val="19"/>
              </w:rPr>
              <w:t>0</w:t>
            </w:r>
          </w:p>
        </w:tc>
        <w:tc>
          <w:tcPr>
            <w:tcW w:type="dxa" w:w="1134"/>
          </w:tcPr>
          <w:p>
            <w:r/>
            <w:r>
              <w:rPr>
                <w:sz w:val="19"/>
              </w:rPr>
              <w:t>0</w:t>
            </w:r>
          </w:p>
        </w:tc>
      </w:tr>
      <w:tr>
        <w:tc>
          <w:tcPr>
            <w:tcW w:type="dxa" w:w="1474"/>
            <w:shd w:val="clear" w:fill="F6EBF1"/>
          </w:tcPr>
          <w:p>
            <w:r/>
            <w:r>
              <w:rPr>
                <w:sz w:val="19"/>
              </w:rPr>
              <w:t>Projet proposé</w:t>
            </w:r>
          </w:p>
        </w:tc>
        <w:tc>
          <w:tcPr>
            <w:tcW w:type="dxa" w:w="3628"/>
            <w:shd w:val="clear" w:fill="F6EBF1"/>
          </w:tcPr>
          <w:p>
            <w:r/>
            <w:r>
              <w:rPr>
                <w:sz w:val="19"/>
              </w:rPr>
              <w:t>Services acquis pour le projet (nom de domaine dermasense.ma ; hébergement démo sur offre gratuite)</w:t>
            </w:r>
          </w:p>
        </w:tc>
        <w:tc>
          <w:tcPr>
            <w:tcW w:type="dxa" w:w="1587"/>
            <w:shd w:val="clear" w:fill="F6EBF1"/>
          </w:tcPr>
          <w:p>
            <w:r/>
            <w:r>
              <w:rPr>
                <w:sz w:val="19"/>
              </w:rPr>
              <w:t>150 + 0</w:t>
            </w:r>
          </w:p>
        </w:tc>
        <w:tc>
          <w:tcPr>
            <w:tcW w:type="dxa" w:w="1020"/>
            <w:shd w:val="clear" w:fill="F6EBF1"/>
          </w:tcPr>
          <w:p>
            <w:r/>
            <w:r>
              <w:rPr>
                <w:sz w:val="19"/>
              </w:rPr>
              <w:t>1</w:t>
            </w:r>
          </w:p>
        </w:tc>
        <w:tc>
          <w:tcPr>
            <w:tcW w:type="dxa" w:w="1134"/>
            <w:shd w:val="clear" w:fill="F6EBF1"/>
          </w:tcPr>
          <w:p>
            <w:r/>
            <w:r>
              <w:rPr>
                <w:sz w:val="19"/>
              </w:rPr>
              <w:t>150</w:t>
            </w:r>
          </w:p>
        </w:tc>
      </w:tr>
      <w:tr>
        <w:tc>
          <w:tcPr>
            <w:tcW w:type="dxa" w:w="1474"/>
          </w:tcPr>
          <w:p>
            <w:r/>
            <w:r>
              <w:rPr>
                <w:sz w:val="19"/>
              </w:rPr>
              <w:t>Projet proposé</w:t>
            </w:r>
          </w:p>
        </w:tc>
        <w:tc>
          <w:tcPr>
            <w:tcW w:type="dxa" w:w="3628"/>
          </w:tcPr>
          <w:p>
            <w:r/>
            <w:r>
              <w:rPr>
                <w:sz w:val="19"/>
              </w:rPr>
              <w:t>Autres consommations (quote-part internet)</w:t>
            </w:r>
          </w:p>
        </w:tc>
        <w:tc>
          <w:tcPr>
            <w:tcW w:type="dxa" w:w="1587"/>
          </w:tcPr>
          <w:p>
            <w:r/>
            <w:r>
              <w:rPr>
                <w:sz w:val="19"/>
              </w:rPr>
              <w:t>100 MAD / mois</w:t>
            </w:r>
          </w:p>
        </w:tc>
        <w:tc>
          <w:tcPr>
            <w:tcW w:type="dxa" w:w="1020"/>
          </w:tcPr>
          <w:p>
            <w:r/>
            <w:r>
              <w:rPr>
                <w:sz w:val="19"/>
              </w:rPr>
              <w:t>4 mois</w:t>
            </w:r>
          </w:p>
        </w:tc>
        <w:tc>
          <w:tcPr>
            <w:tcW w:type="dxa" w:w="1134"/>
          </w:tcPr>
          <w:p>
            <w:r/>
            <w:r>
              <w:rPr>
                <w:sz w:val="19"/>
              </w:rPr>
              <w:t>400</w:t>
            </w:r>
          </w:p>
        </w:tc>
      </w:tr>
      <w:tr>
        <w:tc>
          <w:tcPr>
            <w:tcW w:type="dxa" w:w="1474"/>
            <w:shd w:val="clear" w:fill="F6EBF1"/>
          </w:tcPr>
          <w:p>
            <w:r/>
            <w:r>
              <w:rPr>
                <w:sz w:val="19"/>
              </w:rPr>
              <w:t>SOMME TOTALE</w:t>
            </w:r>
          </w:p>
        </w:tc>
        <w:tc>
          <w:tcPr>
            <w:tcW w:type="dxa" w:w="3628"/>
            <w:shd w:val="clear" w:fill="F6EBF1"/>
          </w:tcPr>
          <w:p>
            <w:r/>
            <w:r>
              <w:rPr>
                <w:sz w:val="19"/>
              </w:rPr>
            </w:r>
          </w:p>
        </w:tc>
        <w:tc>
          <w:tcPr>
            <w:tcW w:type="dxa" w:w="1587"/>
            <w:shd w:val="clear" w:fill="F6EBF1"/>
          </w:tcPr>
          <w:p>
            <w:r/>
            <w:r>
              <w:rPr>
                <w:sz w:val="19"/>
              </w:rPr>
            </w:r>
          </w:p>
        </w:tc>
        <w:tc>
          <w:tcPr>
            <w:tcW w:type="dxa" w:w="1020"/>
            <w:shd w:val="clear" w:fill="F6EBF1"/>
          </w:tcPr>
          <w:p>
            <w:r/>
            <w:r>
              <w:rPr>
                <w:sz w:val="19"/>
              </w:rPr>
            </w:r>
          </w:p>
        </w:tc>
        <w:tc>
          <w:tcPr>
            <w:tcW w:type="dxa" w:w="1134"/>
            <w:shd w:val="clear" w:fill="F6EBF1"/>
          </w:tcPr>
          <w:p>
            <w:r/>
            <w:r>
              <w:rPr>
                <w:sz w:val="19"/>
              </w:rPr>
              <w:t>15 435</w:t>
            </w:r>
          </w:p>
        </w:tc>
      </w:tr>
    </w:tbl>
    <w:p/>
    <w:p>
      <w:pPr>
        <w:jc w:val="center"/>
      </w:pPr>
      <w:r>
        <w:rPr>
          <w:i/>
          <w:color w:val="C0567E"/>
          <w:sz w:val="18"/>
        </w:rPr>
        <w:t>Tableau 2.6 — Coûts propres à l'élaboration du projet (valorisation)</w:t>
      </w:r>
    </w:p>
    <w:p>
      <w:pPr>
        <w:pStyle w:val="Heading3"/>
      </w:pPr>
      <w:r>
        <w:t>2.2.2. Étude commerciale</w:t>
      </w:r>
    </w:p>
    <w:p>
      <w:pPr>
        <w:jc w:val="both"/>
      </w:pPr>
      <w:r>
        <w:rPr>
          <w:b w:val="0"/>
          <w:i w:val="0"/>
        </w:rPr>
        <w:t>Segmentation : (S1) femmes urbaines 18–35 ans, digital-natives, acheteuses régulières de soins — segment cœur ; (S2) femmes 36–55 ans, besoins anti-âge, panier moyen supérieur ; (S3) hommes 18–40 ans s'initiant au skincare — segment émergent à faible concurrence ; (S4) B2B : parapharmacies et marques cherchant des insights consommateurs. Ciblage : S1 en priorité (taille, accessibilité via réseaux sociaux), S4 dès la fin de l'année 1 pour sécuriser des revenus récurrents. Positionnement : « le dermato-conseiller digital de confiance » — recommandation scientifique, transparente sur la composition, adaptée au budget marocain.</w:t>
      </w:r>
    </w:p>
    <w:tbl>
      <w:tblPr>
        <w:tblStyle w:val="TableGrid"/>
        <w:tblW w:type="auto" w:w="0"/>
        <w:jc w:val="center"/>
        <w:tblLook w:firstColumn="1" w:firstRow="1" w:lastColumn="0" w:lastRow="0" w:noHBand="0" w:noVBand="1" w:val="04A0"/>
      </w:tblPr>
      <w:tblGrid>
        <w:gridCol w:w="4649"/>
        <w:gridCol w:w="4649"/>
      </w:tblGrid>
      <w:tr>
        <w:tc>
          <w:tcPr>
            <w:tcW w:type="dxa" w:w="1701"/>
            <w:shd w:val="clear" w:fill="7B2D62"/>
          </w:tcPr>
          <w:p>
            <w:r/>
            <w:r>
              <w:rPr>
                <w:b/>
                <w:color w:val="FFFFFF"/>
                <w:sz w:val="19"/>
              </w:rPr>
              <w:t>P du mix</w:t>
            </w:r>
          </w:p>
        </w:tc>
        <w:tc>
          <w:tcPr>
            <w:tcW w:type="dxa" w:w="7257"/>
            <w:shd w:val="clear" w:fill="7B2D62"/>
          </w:tcPr>
          <w:p>
            <w:r/>
            <w:r>
              <w:rPr>
                <w:b/>
                <w:color w:val="FFFFFF"/>
                <w:sz w:val="19"/>
              </w:rPr>
              <w:t>Politique retenue</w:t>
            </w:r>
          </w:p>
        </w:tc>
      </w:tr>
      <w:tr>
        <w:tc>
          <w:tcPr>
            <w:tcW w:type="dxa" w:w="1701"/>
          </w:tcPr>
          <w:p>
            <w:r/>
            <w:r>
              <w:rPr>
                <w:sz w:val="19"/>
              </w:rPr>
              <w:t>Produit</w:t>
            </w:r>
          </w:p>
        </w:tc>
        <w:tc>
          <w:tcPr>
            <w:tcW w:type="dxa" w:w="7257"/>
          </w:tcPr>
          <w:p>
            <w:r/>
            <w:r>
              <w:rPr>
                <w:sz w:val="19"/>
              </w:rPr>
              <w:t>Politique produit : modèle SaaS (Software as a Service) B2C. Application web/mobile freemium : diagnostic et recommandations de base gratuits ; abonnement Premium (routines complètes, alertes ingrédients, suivi de peau) ; tableau de bord B2B d'insights anonymisés.</w:t>
            </w:r>
          </w:p>
        </w:tc>
      </w:tr>
      <w:tr>
        <w:tc>
          <w:tcPr>
            <w:tcW w:type="dxa" w:w="1701"/>
            <w:shd w:val="clear" w:fill="F6EBF1"/>
          </w:tcPr>
          <w:p>
            <w:r/>
            <w:r>
              <w:rPr>
                <w:sz w:val="19"/>
              </w:rPr>
              <w:t>Prix</w:t>
            </w:r>
          </w:p>
        </w:tc>
        <w:tc>
          <w:tcPr>
            <w:tcW w:type="dxa" w:w="7257"/>
            <w:shd w:val="clear" w:fill="F6EBF1"/>
          </w:tcPr>
          <w:p>
            <w:r/>
            <w:r>
              <w:rPr>
                <w:sz w:val="19"/>
              </w:rPr>
              <w:t>Politique prix : freemium + abonnement. Gratuit (acquisition) ; Premium 49 MAD/mois ou 490 MAD/an ; commission d'affiliation de 8 % sur les achats orientés vers les partenaires ; licence B2B 2 000 MAD/mois par enseigne.</w:t>
            </w:r>
          </w:p>
        </w:tc>
      </w:tr>
      <w:tr>
        <w:tc>
          <w:tcPr>
            <w:tcW w:type="dxa" w:w="1701"/>
          </w:tcPr>
          <w:p>
            <w:r/>
            <w:r>
              <w:rPr>
                <w:sz w:val="19"/>
              </w:rPr>
              <w:t>Place (distribution)</w:t>
            </w:r>
          </w:p>
        </w:tc>
        <w:tc>
          <w:tcPr>
            <w:tcW w:type="dxa" w:w="7257"/>
          </w:tcPr>
          <w:p>
            <w:r/>
            <w:r>
              <w:rPr>
                <w:sz w:val="19"/>
              </w:rPr>
              <w:t>Politique place : SaaS sans déplacement — service accessible en ligne, sans intervention physique. 100 % digitale : web app responsive, stores mobiles en année 2 ; intégration par liens d'affiliation avec les parapharmacies en ligne et marketplaces marocaines.</w:t>
            </w:r>
          </w:p>
        </w:tc>
      </w:tr>
      <w:tr>
        <w:tc>
          <w:tcPr>
            <w:tcW w:type="dxa" w:w="1701"/>
            <w:shd w:val="clear" w:fill="F6EBF1"/>
          </w:tcPr>
          <w:p>
            <w:r/>
            <w:r>
              <w:rPr>
                <w:sz w:val="19"/>
              </w:rPr>
              <w:t>Promotion</w:t>
            </w:r>
          </w:p>
        </w:tc>
        <w:tc>
          <w:tcPr>
            <w:tcW w:type="dxa" w:w="7257"/>
            <w:shd w:val="clear" w:fill="F6EBF1"/>
          </w:tcPr>
          <w:p>
            <w:r/>
            <w:r>
              <w:rPr>
                <w:sz w:val="19"/>
              </w:rPr>
              <w:t>Politique promotion : publicité 100 % en ligne. Marketing d'influence beauté (micro-influenceuses), contenu TikTok/Instagram « décrypte ta crème », SEO sur les requêtes ingrédients, partenariats presse féminine, programme de parrainage.</w:t>
            </w:r>
          </w:p>
        </w:tc>
      </w:tr>
    </w:tbl>
    <w:p/>
    <w:p>
      <w:pPr>
        <w:jc w:val="center"/>
      </w:pPr>
      <w:r>
        <w:rPr>
          <w:i/>
          <w:color w:val="C0567E"/>
          <w:sz w:val="18"/>
        </w:rPr>
        <w:t>Tableau 2.7 — Mix marketing (4P)</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628"/>
            <w:shd w:val="clear" w:fill="7B2D62"/>
          </w:tcPr>
          <w:p>
            <w:r/>
            <w:r>
              <w:rPr>
                <w:b/>
                <w:color w:val="FFFFFF"/>
                <w:sz w:val="19"/>
              </w:rPr>
              <w:t>Indicateur</w:t>
            </w:r>
          </w:p>
        </w:tc>
        <w:tc>
          <w:tcPr>
            <w:tcW w:type="dxa" w:w="1757"/>
            <w:shd w:val="clear" w:fill="7B2D62"/>
          </w:tcPr>
          <w:p>
            <w:r/>
            <w:r>
              <w:rPr>
                <w:b/>
                <w:color w:val="FFFFFF"/>
                <w:sz w:val="19"/>
              </w:rPr>
              <w:t>Année 1</w:t>
            </w:r>
          </w:p>
        </w:tc>
        <w:tc>
          <w:tcPr>
            <w:tcW w:type="dxa" w:w="1757"/>
            <w:shd w:val="clear" w:fill="7B2D62"/>
          </w:tcPr>
          <w:p>
            <w:r/>
            <w:r>
              <w:rPr>
                <w:b/>
                <w:color w:val="FFFFFF"/>
                <w:sz w:val="19"/>
              </w:rPr>
              <w:t>Année 2</w:t>
            </w:r>
          </w:p>
        </w:tc>
        <w:tc>
          <w:tcPr>
            <w:tcW w:type="dxa" w:w="1757"/>
            <w:shd w:val="clear" w:fill="7B2D62"/>
          </w:tcPr>
          <w:p>
            <w:r/>
            <w:r>
              <w:rPr>
                <w:b/>
                <w:color w:val="FFFFFF"/>
                <w:sz w:val="19"/>
              </w:rPr>
              <w:t>Année 3</w:t>
            </w:r>
          </w:p>
        </w:tc>
      </w:tr>
      <w:tr>
        <w:tc>
          <w:tcPr>
            <w:tcW w:type="dxa" w:w="3628"/>
          </w:tcPr>
          <w:p>
            <w:r/>
            <w:r>
              <w:rPr>
                <w:sz w:val="19"/>
              </w:rPr>
              <w:t>Utilisateurs inscrits (cumul fin d'année)</w:t>
            </w:r>
          </w:p>
        </w:tc>
        <w:tc>
          <w:tcPr>
            <w:tcW w:type="dxa" w:w="1757"/>
          </w:tcPr>
          <w:p>
            <w:r/>
            <w:r>
              <w:rPr>
                <w:sz w:val="19"/>
              </w:rPr>
              <w:t>4 000</w:t>
            </w:r>
          </w:p>
        </w:tc>
        <w:tc>
          <w:tcPr>
            <w:tcW w:type="dxa" w:w="1757"/>
          </w:tcPr>
          <w:p>
            <w:r/>
            <w:r>
              <w:rPr>
                <w:sz w:val="19"/>
              </w:rPr>
              <w:t>12 000</w:t>
            </w:r>
          </w:p>
        </w:tc>
        <w:tc>
          <w:tcPr>
            <w:tcW w:type="dxa" w:w="1757"/>
          </w:tcPr>
          <w:p>
            <w:r/>
            <w:r>
              <w:rPr>
                <w:sz w:val="19"/>
              </w:rPr>
              <w:t>30 000</w:t>
            </w:r>
          </w:p>
        </w:tc>
      </w:tr>
      <w:tr>
        <w:tc>
          <w:tcPr>
            <w:tcW w:type="dxa" w:w="3628"/>
            <w:shd w:val="clear" w:fill="F6EBF1"/>
          </w:tcPr>
          <w:p>
            <w:r/>
            <w:r>
              <w:rPr>
                <w:sz w:val="19"/>
              </w:rPr>
              <w:t>Abonnés Premium payants (moyenne annuelle)</w:t>
            </w:r>
          </w:p>
        </w:tc>
        <w:tc>
          <w:tcPr>
            <w:tcW w:type="dxa" w:w="1757"/>
            <w:shd w:val="clear" w:fill="F6EBF1"/>
          </w:tcPr>
          <w:p>
            <w:r/>
            <w:r>
              <w:rPr>
                <w:sz w:val="19"/>
              </w:rPr>
              <w:t>100</w:t>
            </w:r>
          </w:p>
        </w:tc>
        <w:tc>
          <w:tcPr>
            <w:tcW w:type="dxa" w:w="1757"/>
            <w:shd w:val="clear" w:fill="F6EBF1"/>
          </w:tcPr>
          <w:p>
            <w:r/>
            <w:r>
              <w:rPr>
                <w:sz w:val="19"/>
              </w:rPr>
              <w:t>340</w:t>
            </w:r>
          </w:p>
        </w:tc>
        <w:tc>
          <w:tcPr>
            <w:tcW w:type="dxa" w:w="1757"/>
            <w:shd w:val="clear" w:fill="F6EBF1"/>
          </w:tcPr>
          <w:p>
            <w:r/>
            <w:r>
              <w:rPr>
                <w:sz w:val="19"/>
              </w:rPr>
              <w:t>850</w:t>
            </w:r>
          </w:p>
        </w:tc>
      </w:tr>
      <w:tr>
        <w:tc>
          <w:tcPr>
            <w:tcW w:type="dxa" w:w="3628"/>
          </w:tcPr>
          <w:p>
            <w:r/>
            <w:r>
              <w:rPr>
                <w:sz w:val="19"/>
              </w:rPr>
              <w:t>CA Premium — 49 MAD/mois (MAD)</w:t>
            </w:r>
          </w:p>
        </w:tc>
        <w:tc>
          <w:tcPr>
            <w:tcW w:type="dxa" w:w="1757"/>
          </w:tcPr>
          <w:p>
            <w:r/>
            <w:r>
              <w:rPr>
                <w:sz w:val="19"/>
              </w:rPr>
              <w:t>59 000</w:t>
            </w:r>
          </w:p>
        </w:tc>
        <w:tc>
          <w:tcPr>
            <w:tcW w:type="dxa" w:w="1757"/>
          </w:tcPr>
          <w:p>
            <w:r/>
            <w:r>
              <w:rPr>
                <w:sz w:val="19"/>
              </w:rPr>
              <w:t>200 000</w:t>
            </w:r>
          </w:p>
        </w:tc>
        <w:tc>
          <w:tcPr>
            <w:tcW w:type="dxa" w:w="1757"/>
          </w:tcPr>
          <w:p>
            <w:r/>
            <w:r>
              <w:rPr>
                <w:sz w:val="19"/>
              </w:rPr>
              <w:t>500 000</w:t>
            </w:r>
          </w:p>
        </w:tc>
      </w:tr>
      <w:tr>
        <w:tc>
          <w:tcPr>
            <w:tcW w:type="dxa" w:w="3628"/>
            <w:shd w:val="clear" w:fill="F6EBF1"/>
          </w:tcPr>
          <w:p>
            <w:r/>
            <w:r>
              <w:rPr>
                <w:sz w:val="19"/>
              </w:rPr>
              <w:t>CA affiliation — 8 % (MAD)</w:t>
            </w:r>
          </w:p>
        </w:tc>
        <w:tc>
          <w:tcPr>
            <w:tcW w:type="dxa" w:w="1757"/>
            <w:shd w:val="clear" w:fill="F6EBF1"/>
          </w:tcPr>
          <w:p>
            <w:r/>
            <w:r>
              <w:rPr>
                <w:sz w:val="19"/>
              </w:rPr>
              <w:t>31 000</w:t>
            </w:r>
          </w:p>
        </w:tc>
        <w:tc>
          <w:tcPr>
            <w:tcW w:type="dxa" w:w="1757"/>
            <w:shd w:val="clear" w:fill="F6EBF1"/>
          </w:tcPr>
          <w:p>
            <w:r/>
            <w:r>
              <w:rPr>
                <w:sz w:val="19"/>
              </w:rPr>
              <w:t>96 000</w:t>
            </w:r>
          </w:p>
        </w:tc>
        <w:tc>
          <w:tcPr>
            <w:tcW w:type="dxa" w:w="1757"/>
            <w:shd w:val="clear" w:fill="F6EBF1"/>
          </w:tcPr>
          <w:p>
            <w:r/>
            <w:r>
              <w:rPr>
                <w:sz w:val="19"/>
              </w:rPr>
              <w:t>202 000</w:t>
            </w:r>
          </w:p>
        </w:tc>
      </w:tr>
      <w:tr>
        <w:tc>
          <w:tcPr>
            <w:tcW w:type="dxa" w:w="3628"/>
          </w:tcPr>
          <w:p>
            <w:r/>
            <w:r>
              <w:rPr>
                <w:sz w:val="19"/>
              </w:rPr>
              <w:t>CA licences B2B (MAD)</w:t>
            </w:r>
          </w:p>
        </w:tc>
        <w:tc>
          <w:tcPr>
            <w:tcW w:type="dxa" w:w="1757"/>
          </w:tcPr>
          <w:p>
            <w:r/>
            <w:r>
              <w:rPr>
                <w:sz w:val="19"/>
              </w:rPr>
              <w:t>0</w:t>
            </w:r>
          </w:p>
        </w:tc>
        <w:tc>
          <w:tcPr>
            <w:tcW w:type="dxa" w:w="1757"/>
          </w:tcPr>
          <w:p>
            <w:r/>
            <w:r>
              <w:rPr>
                <w:sz w:val="19"/>
              </w:rPr>
              <w:t>24 000</w:t>
            </w:r>
          </w:p>
        </w:tc>
        <w:tc>
          <w:tcPr>
            <w:tcW w:type="dxa" w:w="1757"/>
          </w:tcPr>
          <w:p>
            <w:r/>
            <w:r>
              <w:rPr>
                <w:sz w:val="19"/>
              </w:rPr>
              <w:t>48 000</w:t>
            </w:r>
          </w:p>
        </w:tc>
      </w:tr>
      <w:tr>
        <w:tc>
          <w:tcPr>
            <w:tcW w:type="dxa" w:w="3628"/>
            <w:shd w:val="clear" w:fill="F6EBF1"/>
          </w:tcPr>
          <w:p>
            <w:r/>
            <w:r>
              <w:rPr>
                <w:sz w:val="19"/>
              </w:rPr>
              <w:t>Chiffre d'affaires total (MAD)</w:t>
            </w:r>
          </w:p>
        </w:tc>
        <w:tc>
          <w:tcPr>
            <w:tcW w:type="dxa" w:w="1757"/>
            <w:shd w:val="clear" w:fill="F6EBF1"/>
          </w:tcPr>
          <w:p>
            <w:r/>
            <w:r>
              <w:rPr>
                <w:sz w:val="19"/>
              </w:rPr>
              <w:t>90 000</w:t>
            </w:r>
          </w:p>
        </w:tc>
        <w:tc>
          <w:tcPr>
            <w:tcW w:type="dxa" w:w="1757"/>
            <w:shd w:val="clear" w:fill="F6EBF1"/>
          </w:tcPr>
          <w:p>
            <w:r/>
            <w:r>
              <w:rPr>
                <w:sz w:val="19"/>
              </w:rPr>
              <w:t>320 000</w:t>
            </w:r>
          </w:p>
        </w:tc>
        <w:tc>
          <w:tcPr>
            <w:tcW w:type="dxa" w:w="1757"/>
            <w:shd w:val="clear" w:fill="F6EBF1"/>
          </w:tcPr>
          <w:p>
            <w:r/>
            <w:r>
              <w:rPr>
                <w:sz w:val="19"/>
              </w:rPr>
              <w:t>750 000</w:t>
            </w:r>
          </w:p>
        </w:tc>
      </w:tr>
    </w:tbl>
    <w:p/>
    <w:p>
      <w:pPr>
        <w:jc w:val="center"/>
      </w:pPr>
      <w:r>
        <w:rPr>
          <w:i/>
          <w:color w:val="C0567E"/>
          <w:sz w:val="18"/>
        </w:rPr>
        <w:t>Tableau 2.8 — Chiffre d'affaires prévisionnel sur 3 ans (MAD)</w:t>
      </w:r>
    </w:p>
    <w:p>
      <w:pPr>
        <w:pStyle w:val="Heading3"/>
      </w:pPr>
      <w:r>
        <w:t>2.2.3. Étude financière</w:t>
      </w:r>
    </w:p>
    <w:tbl>
      <w:tblPr>
        <w:tblStyle w:val="TableGrid"/>
        <w:tblW w:type="auto" w:w="0"/>
        <w:jc w:val="center"/>
        <w:tblLook w:firstColumn="1" w:firstRow="1" w:lastColumn="0" w:lastRow="0" w:noHBand="0" w:noVBand="1" w:val="04A0"/>
      </w:tblPr>
      <w:tblGrid>
        <w:gridCol w:w="4649"/>
        <w:gridCol w:w="4649"/>
      </w:tblGrid>
      <w:tr>
        <w:tc>
          <w:tcPr>
            <w:tcW w:type="dxa" w:w="6123"/>
            <w:shd w:val="clear" w:fill="7B2D62"/>
          </w:tcPr>
          <w:p>
            <w:r/>
            <w:r>
              <w:rPr>
                <w:b/>
                <w:color w:val="FFFFFF"/>
                <w:sz w:val="19"/>
              </w:rPr>
              <w:t>Poste d'investissement</w:t>
            </w:r>
          </w:p>
        </w:tc>
        <w:tc>
          <w:tcPr>
            <w:tcW w:type="dxa" w:w="2835"/>
            <w:shd w:val="clear" w:fill="7B2D62"/>
          </w:tcPr>
          <w:p>
            <w:r/>
            <w:r>
              <w:rPr>
                <w:b/>
                <w:color w:val="FFFFFF"/>
                <w:sz w:val="19"/>
              </w:rPr>
              <w:t>Montant (MAD)</w:t>
            </w:r>
          </w:p>
        </w:tc>
      </w:tr>
      <w:tr>
        <w:tc>
          <w:tcPr>
            <w:tcW w:type="dxa" w:w="6123"/>
          </w:tcPr>
          <w:p>
            <w:r/>
            <w:r>
              <w:rPr>
                <w:sz w:val="19"/>
              </w:rPr>
              <w:t>Création SARL + dépôt de marque (OMPIC)</w:t>
            </w:r>
          </w:p>
        </w:tc>
        <w:tc>
          <w:tcPr>
            <w:tcW w:type="dxa" w:w="2835"/>
          </w:tcPr>
          <w:p>
            <w:r/>
            <w:r>
              <w:rPr>
                <w:sz w:val="19"/>
              </w:rPr>
              <w:t>3 000</w:t>
            </w:r>
          </w:p>
        </w:tc>
      </w:tr>
      <w:tr>
        <w:tc>
          <w:tcPr>
            <w:tcW w:type="dxa" w:w="6123"/>
            <w:shd w:val="clear" w:fill="F6EBF1"/>
          </w:tcPr>
          <w:p>
            <w:r/>
            <w:r>
              <w:rPr>
                <w:sz w:val="19"/>
              </w:rPr>
              <w:t>Matériel informatique (2 PC, smartphone de test, SSD)</w:t>
            </w:r>
          </w:p>
        </w:tc>
        <w:tc>
          <w:tcPr>
            <w:tcW w:type="dxa" w:w="2835"/>
            <w:shd w:val="clear" w:fill="F6EBF1"/>
          </w:tcPr>
          <w:p>
            <w:r/>
            <w:r>
              <w:rPr>
                <w:sz w:val="19"/>
              </w:rPr>
              <w:t>18 600</w:t>
            </w:r>
          </w:p>
        </w:tc>
      </w:tr>
      <w:tr>
        <w:tc>
          <w:tcPr>
            <w:tcW w:type="dxa" w:w="6123"/>
          </w:tcPr>
          <w:p>
            <w:r/>
            <w:r>
              <w:rPr>
                <w:sz w:val="19"/>
              </w:rPr>
              <w:t>Freelance design UX/UI et identité visuelle</w:t>
            </w:r>
          </w:p>
        </w:tc>
        <w:tc>
          <w:tcPr>
            <w:tcW w:type="dxa" w:w="2835"/>
          </w:tcPr>
          <w:p>
            <w:r/>
            <w:r>
              <w:rPr>
                <w:sz w:val="19"/>
              </w:rPr>
              <w:t>8 000</w:t>
            </w:r>
          </w:p>
        </w:tc>
      </w:tr>
      <w:tr>
        <w:tc>
          <w:tcPr>
            <w:tcW w:type="dxa" w:w="6123"/>
            <w:shd w:val="clear" w:fill="F6EBF1"/>
          </w:tcPr>
          <w:p>
            <w:r/>
            <w:r>
              <w:rPr>
                <w:sz w:val="19"/>
              </w:rPr>
              <w:t>Hébergement cloud + nom de domaine (année 1)</w:t>
            </w:r>
          </w:p>
        </w:tc>
        <w:tc>
          <w:tcPr>
            <w:tcW w:type="dxa" w:w="2835"/>
            <w:shd w:val="clear" w:fill="F6EBF1"/>
          </w:tcPr>
          <w:p>
            <w:r/>
            <w:r>
              <w:rPr>
                <w:sz w:val="19"/>
              </w:rPr>
              <w:t>4 400</w:t>
            </w:r>
          </w:p>
        </w:tc>
      </w:tr>
      <w:tr>
        <w:tc>
          <w:tcPr>
            <w:tcW w:type="dxa" w:w="6123"/>
          </w:tcPr>
          <w:p>
            <w:r/>
            <w:r>
              <w:rPr>
                <w:sz w:val="19"/>
              </w:rPr>
              <w:t>Marketing de lancement</w:t>
            </w:r>
          </w:p>
        </w:tc>
        <w:tc>
          <w:tcPr>
            <w:tcW w:type="dxa" w:w="2835"/>
          </w:tcPr>
          <w:p>
            <w:r/>
            <w:r>
              <w:rPr>
                <w:sz w:val="19"/>
              </w:rPr>
              <w:t>15 000</w:t>
            </w:r>
          </w:p>
        </w:tc>
      </w:tr>
      <w:tr>
        <w:tc>
          <w:tcPr>
            <w:tcW w:type="dxa" w:w="6123"/>
            <w:shd w:val="clear" w:fill="F6EBF1"/>
          </w:tcPr>
          <w:p>
            <w:r/>
            <w:r>
              <w:rPr>
                <w:sz w:val="19"/>
              </w:rPr>
              <w:t>Fonds de roulement de démarrage</w:t>
            </w:r>
          </w:p>
        </w:tc>
        <w:tc>
          <w:tcPr>
            <w:tcW w:type="dxa" w:w="2835"/>
            <w:shd w:val="clear" w:fill="F6EBF1"/>
          </w:tcPr>
          <w:p>
            <w:r/>
            <w:r>
              <w:rPr>
                <w:sz w:val="19"/>
              </w:rPr>
              <w:t>11 000</w:t>
            </w:r>
          </w:p>
        </w:tc>
      </w:tr>
      <w:tr>
        <w:tc>
          <w:tcPr>
            <w:tcW w:type="dxa" w:w="6123"/>
          </w:tcPr>
          <w:p>
            <w:r/>
            <w:r>
              <w:rPr>
                <w:sz w:val="19"/>
              </w:rPr>
              <w:t>TOTAL INVESTISSEMENT INITIAL</w:t>
            </w:r>
          </w:p>
        </w:tc>
        <w:tc>
          <w:tcPr>
            <w:tcW w:type="dxa" w:w="2835"/>
          </w:tcPr>
          <w:p>
            <w:r/>
            <w:r>
              <w:rPr>
                <w:sz w:val="19"/>
              </w:rPr>
              <w:t>60 000</w:t>
            </w:r>
          </w:p>
        </w:tc>
      </w:tr>
    </w:tbl>
    <w:p/>
    <w:p>
      <w:pPr>
        <w:jc w:val="center"/>
      </w:pPr>
      <w:r>
        <w:rPr>
          <w:i/>
          <w:color w:val="C0567E"/>
          <w:sz w:val="18"/>
        </w:rPr>
        <w:t>Tableau 2.9 — Budget d'investissement initial</w:t>
      </w:r>
    </w:p>
    <w:tbl>
      <w:tblPr>
        <w:tblStyle w:val="TableGrid"/>
        <w:tblW w:type="auto" w:w="0"/>
        <w:jc w:val="center"/>
        <w:tblLook w:firstColumn="1" w:firstRow="1" w:lastColumn="0" w:lastRow="0" w:noHBand="0" w:noVBand="1" w:val="04A0"/>
      </w:tblPr>
      <w:tblGrid>
        <w:gridCol w:w="3099"/>
        <w:gridCol w:w="3099"/>
        <w:gridCol w:w="3099"/>
      </w:tblGrid>
      <w:tr>
        <w:tc>
          <w:tcPr>
            <w:tcW w:type="dxa" w:w="5216"/>
            <w:shd w:val="clear" w:fill="7B2D62"/>
          </w:tcPr>
          <w:p>
            <w:r/>
            <w:r>
              <w:rPr>
                <w:b/>
                <w:color w:val="FFFFFF"/>
                <w:sz w:val="19"/>
              </w:rPr>
              <w:t>Source de financement</w:t>
            </w:r>
          </w:p>
        </w:tc>
        <w:tc>
          <w:tcPr>
            <w:tcW w:type="dxa" w:w="2041"/>
            <w:shd w:val="clear" w:fill="7B2D62"/>
          </w:tcPr>
          <w:p>
            <w:r/>
            <w:r>
              <w:rPr>
                <w:b/>
                <w:color w:val="FFFFFF"/>
                <w:sz w:val="19"/>
              </w:rPr>
              <w:t>Montant (MAD)</w:t>
            </w:r>
          </w:p>
        </w:tc>
        <w:tc>
          <w:tcPr>
            <w:tcW w:type="dxa" w:w="1701"/>
            <w:shd w:val="clear" w:fill="7B2D62"/>
          </w:tcPr>
          <w:p>
            <w:r/>
            <w:r>
              <w:rPr>
                <w:b/>
                <w:color w:val="FFFFFF"/>
                <w:sz w:val="19"/>
              </w:rPr>
              <w:t>Part</w:t>
            </w:r>
          </w:p>
        </w:tc>
      </w:tr>
      <w:tr>
        <w:tc>
          <w:tcPr>
            <w:tcW w:type="dxa" w:w="5216"/>
          </w:tcPr>
          <w:p>
            <w:r/>
            <w:r>
              <w:rPr>
                <w:sz w:val="19"/>
              </w:rPr>
              <w:t>Apport personnel des deux fondateurs</w:t>
            </w:r>
          </w:p>
        </w:tc>
        <w:tc>
          <w:tcPr>
            <w:tcW w:type="dxa" w:w="2041"/>
          </w:tcPr>
          <w:p>
            <w:r/>
            <w:r>
              <w:rPr>
                <w:sz w:val="19"/>
              </w:rPr>
              <w:t>20 000</w:t>
            </w:r>
          </w:p>
        </w:tc>
        <w:tc>
          <w:tcPr>
            <w:tcW w:type="dxa" w:w="1701"/>
          </w:tcPr>
          <w:p>
            <w:r/>
            <w:r>
              <w:rPr>
                <w:sz w:val="19"/>
              </w:rPr>
              <w:t>33 %</w:t>
            </w:r>
          </w:p>
        </w:tc>
      </w:tr>
      <w:tr>
        <w:tc>
          <w:tcPr>
            <w:tcW w:type="dxa" w:w="5216"/>
            <w:shd w:val="clear" w:fill="F6EBF1"/>
          </w:tcPr>
          <w:p>
            <w:r/>
            <w:r>
              <w:rPr>
                <w:sz w:val="19"/>
              </w:rPr>
              <w:t>Prix de concours d'entrepreneuriat et subventions d'amorçage (pitch, hackathons, programmes d'appui)</w:t>
            </w:r>
          </w:p>
        </w:tc>
        <w:tc>
          <w:tcPr>
            <w:tcW w:type="dxa" w:w="2041"/>
            <w:shd w:val="clear" w:fill="F6EBF1"/>
          </w:tcPr>
          <w:p>
            <w:r/>
            <w:r>
              <w:rPr>
                <w:sz w:val="19"/>
              </w:rPr>
              <w:t>25 000</w:t>
            </w:r>
          </w:p>
        </w:tc>
        <w:tc>
          <w:tcPr>
            <w:tcW w:type="dxa" w:w="1701"/>
            <w:shd w:val="clear" w:fill="F6EBF1"/>
          </w:tcPr>
          <w:p>
            <w:r/>
            <w:r>
              <w:rPr>
                <w:sz w:val="19"/>
              </w:rPr>
              <w:t>42 %</w:t>
            </w:r>
          </w:p>
        </w:tc>
      </w:tr>
      <w:tr>
        <w:tc>
          <w:tcPr>
            <w:tcW w:type="dxa" w:w="5216"/>
          </w:tcPr>
          <w:p>
            <w:r/>
            <w:r>
              <w:rPr>
                <w:sz w:val="19"/>
              </w:rPr>
              <w:t>Soutien familial (« love money »)</w:t>
            </w:r>
          </w:p>
        </w:tc>
        <w:tc>
          <w:tcPr>
            <w:tcW w:type="dxa" w:w="2041"/>
          </w:tcPr>
          <w:p>
            <w:r/>
            <w:r>
              <w:rPr>
                <w:sz w:val="19"/>
              </w:rPr>
              <w:t>15 000</w:t>
            </w:r>
          </w:p>
        </w:tc>
        <w:tc>
          <w:tcPr>
            <w:tcW w:type="dxa" w:w="1701"/>
          </w:tcPr>
          <w:p>
            <w:r/>
            <w:r>
              <w:rPr>
                <w:sz w:val="19"/>
              </w:rPr>
              <w:t>25 %</w:t>
            </w:r>
          </w:p>
        </w:tc>
      </w:tr>
      <w:tr>
        <w:tc>
          <w:tcPr>
            <w:tcW w:type="dxa" w:w="5216"/>
            <w:shd w:val="clear" w:fill="F6EBF1"/>
          </w:tcPr>
          <w:p>
            <w:r/>
            <w:r>
              <w:rPr>
                <w:sz w:val="19"/>
              </w:rPr>
              <w:t>TOTAL</w:t>
            </w:r>
          </w:p>
        </w:tc>
        <w:tc>
          <w:tcPr>
            <w:tcW w:type="dxa" w:w="2041"/>
            <w:shd w:val="clear" w:fill="F6EBF1"/>
          </w:tcPr>
          <w:p>
            <w:r/>
            <w:r>
              <w:rPr>
                <w:sz w:val="19"/>
              </w:rPr>
              <w:t>60 000</w:t>
            </w:r>
          </w:p>
        </w:tc>
        <w:tc>
          <w:tcPr>
            <w:tcW w:type="dxa" w:w="1701"/>
            <w:shd w:val="clear" w:fill="F6EBF1"/>
          </w:tcPr>
          <w:p>
            <w:r/>
            <w:r>
              <w:rPr>
                <w:sz w:val="19"/>
              </w:rPr>
              <w:t>100 %</w:t>
            </w:r>
          </w:p>
        </w:tc>
      </w:tr>
    </w:tbl>
    <w:p/>
    <w:p>
      <w:pPr>
        <w:jc w:val="center"/>
      </w:pPr>
      <w:r>
        <w:rPr>
          <w:i/>
          <w:color w:val="C0567E"/>
          <w:sz w:val="18"/>
        </w:rPr>
        <w:t>Tableau 2.10 — Plan de financement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4309"/>
            <w:shd w:val="clear" w:fill="7B2D62"/>
          </w:tcPr>
          <w:p>
            <w:r/>
            <w:r>
              <w:rPr>
                <w:b/>
                <w:color w:val="FFFFFF"/>
                <w:sz w:val="19"/>
              </w:rPr>
              <w:t>Compte de résultat prévisionnel (MAD)</w:t>
            </w:r>
          </w:p>
        </w:tc>
        <w:tc>
          <w:tcPr>
            <w:tcW w:type="dxa" w:w="1531"/>
            <w:shd w:val="clear" w:fill="7B2D62"/>
          </w:tcPr>
          <w:p>
            <w:r/>
            <w:r>
              <w:rPr>
                <w:b/>
                <w:color w:val="FFFFFF"/>
                <w:sz w:val="19"/>
              </w:rPr>
              <w:t>Année 1</w:t>
            </w:r>
          </w:p>
        </w:tc>
        <w:tc>
          <w:tcPr>
            <w:tcW w:type="dxa" w:w="1531"/>
            <w:shd w:val="clear" w:fill="7B2D62"/>
          </w:tcPr>
          <w:p>
            <w:r/>
            <w:r>
              <w:rPr>
                <w:b/>
                <w:color w:val="FFFFFF"/>
                <w:sz w:val="19"/>
              </w:rPr>
              <w:t>Année 2</w:t>
            </w:r>
          </w:p>
        </w:tc>
        <w:tc>
          <w:tcPr>
            <w:tcW w:type="dxa" w:w="1531"/>
            <w:shd w:val="clear" w:fill="7B2D62"/>
          </w:tcPr>
          <w:p>
            <w:r/>
            <w:r>
              <w:rPr>
                <w:b/>
                <w:color w:val="FFFFFF"/>
                <w:sz w:val="19"/>
              </w:rPr>
              <w:t>Année 3</w:t>
            </w:r>
          </w:p>
        </w:tc>
      </w:tr>
      <w:tr>
        <w:tc>
          <w:tcPr>
            <w:tcW w:type="dxa" w:w="4309"/>
          </w:tcPr>
          <w:p>
            <w:r/>
            <w:r>
              <w:rPr>
                <w:sz w:val="19"/>
              </w:rPr>
              <w:t>Chiffre d'affaires</w:t>
            </w:r>
          </w:p>
        </w:tc>
        <w:tc>
          <w:tcPr>
            <w:tcW w:type="dxa" w:w="1531"/>
          </w:tcPr>
          <w:p>
            <w:r/>
            <w:r>
              <w:rPr>
                <w:sz w:val="19"/>
              </w:rPr>
              <w:t>90 000</w:t>
            </w:r>
          </w:p>
        </w:tc>
        <w:tc>
          <w:tcPr>
            <w:tcW w:type="dxa" w:w="1531"/>
          </w:tcPr>
          <w:p>
            <w:r/>
            <w:r>
              <w:rPr>
                <w:sz w:val="19"/>
              </w:rPr>
              <w:t>320 000</w:t>
            </w:r>
          </w:p>
        </w:tc>
        <w:tc>
          <w:tcPr>
            <w:tcW w:type="dxa" w:w="1531"/>
          </w:tcPr>
          <w:p>
            <w:r/>
            <w:r>
              <w:rPr>
                <w:sz w:val="19"/>
              </w:rPr>
              <w:t>750 000</w:t>
            </w:r>
          </w:p>
        </w:tc>
      </w:tr>
      <w:tr>
        <w:tc>
          <w:tcPr>
            <w:tcW w:type="dxa" w:w="4309"/>
            <w:shd w:val="clear" w:fill="F6EBF1"/>
          </w:tcPr>
          <w:p>
            <w:r/>
            <w:r>
              <w:rPr>
                <w:sz w:val="19"/>
              </w:rPr>
              <w:t>Charges variables (12 % du CA : commissions de paiement, support)</w:t>
            </w:r>
          </w:p>
        </w:tc>
        <w:tc>
          <w:tcPr>
            <w:tcW w:type="dxa" w:w="1531"/>
            <w:shd w:val="clear" w:fill="F6EBF1"/>
          </w:tcPr>
          <w:p>
            <w:r/>
            <w:r>
              <w:rPr>
                <w:sz w:val="19"/>
              </w:rPr>
              <w:t>10 800</w:t>
            </w:r>
          </w:p>
        </w:tc>
        <w:tc>
          <w:tcPr>
            <w:tcW w:type="dxa" w:w="1531"/>
            <w:shd w:val="clear" w:fill="F6EBF1"/>
          </w:tcPr>
          <w:p>
            <w:r/>
            <w:r>
              <w:rPr>
                <w:sz w:val="19"/>
              </w:rPr>
              <w:t>38 400</w:t>
            </w:r>
          </w:p>
        </w:tc>
        <w:tc>
          <w:tcPr>
            <w:tcW w:type="dxa" w:w="1531"/>
            <w:shd w:val="clear" w:fill="F6EBF1"/>
          </w:tcPr>
          <w:p>
            <w:r/>
            <w:r>
              <w:rPr>
                <w:sz w:val="19"/>
              </w:rPr>
              <w:t>90 000</w:t>
            </w:r>
          </w:p>
        </w:tc>
      </w:tr>
      <w:tr>
        <w:tc>
          <w:tcPr>
            <w:tcW w:type="dxa" w:w="4309"/>
          </w:tcPr>
          <w:p>
            <w:r/>
            <w:r>
              <w:rPr>
                <w:sz w:val="19"/>
              </w:rPr>
              <w:t>Charges fixes (indemnités puis salaires des fondateurs, cloud, prospection, divers)</w:t>
            </w:r>
          </w:p>
        </w:tc>
        <w:tc>
          <w:tcPr>
            <w:tcW w:type="dxa" w:w="1531"/>
          </w:tcPr>
          <w:p>
            <w:r/>
            <w:r>
              <w:rPr>
                <w:sz w:val="19"/>
              </w:rPr>
              <w:t>57 200</w:t>
            </w:r>
          </w:p>
        </w:tc>
        <w:tc>
          <w:tcPr>
            <w:tcW w:type="dxa" w:w="1531"/>
          </w:tcPr>
          <w:p>
            <w:r/>
            <w:r>
              <w:rPr>
                <w:sz w:val="19"/>
              </w:rPr>
              <w:t>120 000</w:t>
            </w:r>
          </w:p>
        </w:tc>
        <w:tc>
          <w:tcPr>
            <w:tcW w:type="dxa" w:w="1531"/>
          </w:tcPr>
          <w:p>
            <w:r/>
            <w:r>
              <w:rPr>
                <w:sz w:val="19"/>
              </w:rPr>
              <w:t>330 000</w:t>
            </w:r>
          </w:p>
        </w:tc>
      </w:tr>
      <w:tr>
        <w:tc>
          <w:tcPr>
            <w:tcW w:type="dxa" w:w="4309"/>
            <w:shd w:val="clear" w:fill="F6EBF1"/>
          </w:tcPr>
          <w:p>
            <w:r/>
            <w:r>
              <w:rPr>
                <w:sz w:val="19"/>
              </w:rPr>
              <w:t>Dotations aux amortissements (matériel sur 3 ans)</w:t>
            </w:r>
          </w:p>
        </w:tc>
        <w:tc>
          <w:tcPr>
            <w:tcW w:type="dxa" w:w="1531"/>
            <w:shd w:val="clear" w:fill="F6EBF1"/>
          </w:tcPr>
          <w:p>
            <w:r/>
            <w:r>
              <w:rPr>
                <w:sz w:val="19"/>
              </w:rPr>
              <w:t>6 000</w:t>
            </w:r>
          </w:p>
        </w:tc>
        <w:tc>
          <w:tcPr>
            <w:tcW w:type="dxa" w:w="1531"/>
            <w:shd w:val="clear" w:fill="F6EBF1"/>
          </w:tcPr>
          <w:p>
            <w:r/>
            <w:r>
              <w:rPr>
                <w:sz w:val="19"/>
              </w:rPr>
              <w:t>6 000</w:t>
            </w:r>
          </w:p>
        </w:tc>
        <w:tc>
          <w:tcPr>
            <w:tcW w:type="dxa" w:w="1531"/>
            <w:shd w:val="clear" w:fill="F6EBF1"/>
          </w:tcPr>
          <w:p>
            <w:r/>
            <w:r>
              <w:rPr>
                <w:sz w:val="19"/>
              </w:rPr>
              <w:t>6 000</w:t>
            </w:r>
          </w:p>
        </w:tc>
      </w:tr>
      <w:tr>
        <w:tc>
          <w:tcPr>
            <w:tcW w:type="dxa" w:w="4309"/>
          </w:tcPr>
          <w:p>
            <w:r/>
            <w:r>
              <w:rPr>
                <w:sz w:val="19"/>
              </w:rPr>
              <w:t>Résultat d'exploitation</w:t>
            </w:r>
          </w:p>
        </w:tc>
        <w:tc>
          <w:tcPr>
            <w:tcW w:type="dxa" w:w="1531"/>
          </w:tcPr>
          <w:p>
            <w:r/>
            <w:r>
              <w:rPr>
                <w:sz w:val="19"/>
              </w:rPr>
              <w:t>16 000</w:t>
            </w:r>
          </w:p>
        </w:tc>
        <w:tc>
          <w:tcPr>
            <w:tcW w:type="dxa" w:w="1531"/>
          </w:tcPr>
          <w:p>
            <w:r/>
            <w:r>
              <w:rPr>
                <w:sz w:val="19"/>
              </w:rPr>
              <w:t>155 600</w:t>
            </w:r>
          </w:p>
        </w:tc>
        <w:tc>
          <w:tcPr>
            <w:tcW w:type="dxa" w:w="1531"/>
          </w:tcPr>
          <w:p>
            <w:r/>
            <w:r>
              <w:rPr>
                <w:sz w:val="19"/>
              </w:rPr>
              <w:t>324 000</w:t>
            </w:r>
          </w:p>
        </w:tc>
      </w:tr>
      <w:tr>
        <w:tc>
          <w:tcPr>
            <w:tcW w:type="dxa" w:w="4309"/>
            <w:shd w:val="clear" w:fill="F6EBF1"/>
          </w:tcPr>
          <w:p>
            <w:r/>
            <w:r>
              <w:rPr>
                <w:sz w:val="19"/>
              </w:rPr>
              <w:t>Impôt (≈ 20 %)</w:t>
            </w:r>
          </w:p>
        </w:tc>
        <w:tc>
          <w:tcPr>
            <w:tcW w:type="dxa" w:w="1531"/>
            <w:shd w:val="clear" w:fill="F6EBF1"/>
          </w:tcPr>
          <w:p>
            <w:r/>
            <w:r>
              <w:rPr>
                <w:sz w:val="19"/>
              </w:rPr>
              <w:t>3 200</w:t>
            </w:r>
          </w:p>
        </w:tc>
        <w:tc>
          <w:tcPr>
            <w:tcW w:type="dxa" w:w="1531"/>
            <w:shd w:val="clear" w:fill="F6EBF1"/>
          </w:tcPr>
          <w:p>
            <w:r/>
            <w:r>
              <w:rPr>
                <w:sz w:val="19"/>
              </w:rPr>
              <w:t>31 100</w:t>
            </w:r>
          </w:p>
        </w:tc>
        <w:tc>
          <w:tcPr>
            <w:tcW w:type="dxa" w:w="1531"/>
            <w:shd w:val="clear" w:fill="F6EBF1"/>
          </w:tcPr>
          <w:p>
            <w:r/>
            <w:r>
              <w:rPr>
                <w:sz w:val="19"/>
              </w:rPr>
              <w:t>64 800</w:t>
            </w:r>
          </w:p>
        </w:tc>
      </w:tr>
      <w:tr>
        <w:tc>
          <w:tcPr>
            <w:tcW w:type="dxa" w:w="4309"/>
          </w:tcPr>
          <w:p>
            <w:r/>
            <w:r>
              <w:rPr>
                <w:sz w:val="19"/>
              </w:rPr>
              <w:t>Résultat net</w:t>
            </w:r>
          </w:p>
        </w:tc>
        <w:tc>
          <w:tcPr>
            <w:tcW w:type="dxa" w:w="1531"/>
          </w:tcPr>
          <w:p>
            <w:r/>
            <w:r>
              <w:rPr>
                <w:sz w:val="19"/>
              </w:rPr>
              <w:t>12 800</w:t>
            </w:r>
          </w:p>
        </w:tc>
        <w:tc>
          <w:tcPr>
            <w:tcW w:type="dxa" w:w="1531"/>
          </w:tcPr>
          <w:p>
            <w:r/>
            <w:r>
              <w:rPr>
                <w:sz w:val="19"/>
              </w:rPr>
              <w:t>124 500</w:t>
            </w:r>
          </w:p>
        </w:tc>
        <w:tc>
          <w:tcPr>
            <w:tcW w:type="dxa" w:w="1531"/>
          </w:tcPr>
          <w:p>
            <w:r/>
            <w:r>
              <w:rPr>
                <w:sz w:val="19"/>
              </w:rPr>
              <w:t>259 200</w:t>
            </w:r>
          </w:p>
        </w:tc>
      </w:tr>
      <w:tr>
        <w:tc>
          <w:tcPr>
            <w:tcW w:type="dxa" w:w="4309"/>
            <w:shd w:val="clear" w:fill="F6EBF1"/>
          </w:tcPr>
          <w:p>
            <w:r/>
            <w:r>
              <w:rPr>
                <w:sz w:val="19"/>
              </w:rPr>
              <w:t>Résultat net cumulé</w:t>
            </w:r>
          </w:p>
        </w:tc>
        <w:tc>
          <w:tcPr>
            <w:tcW w:type="dxa" w:w="1531"/>
            <w:shd w:val="clear" w:fill="F6EBF1"/>
          </w:tcPr>
          <w:p>
            <w:r/>
            <w:r>
              <w:rPr>
                <w:sz w:val="19"/>
              </w:rPr>
              <w:t>12 800</w:t>
            </w:r>
          </w:p>
        </w:tc>
        <w:tc>
          <w:tcPr>
            <w:tcW w:type="dxa" w:w="1531"/>
            <w:shd w:val="clear" w:fill="F6EBF1"/>
          </w:tcPr>
          <w:p>
            <w:r/>
            <w:r>
              <w:rPr>
                <w:sz w:val="19"/>
              </w:rPr>
              <w:t>137 300</w:t>
            </w:r>
          </w:p>
        </w:tc>
        <w:tc>
          <w:tcPr>
            <w:tcW w:type="dxa" w:w="1531"/>
            <w:shd w:val="clear" w:fill="F6EBF1"/>
          </w:tcPr>
          <w:p>
            <w:r/>
            <w:r>
              <w:rPr>
                <w:sz w:val="19"/>
              </w:rPr>
              <w:t>396 500</w:t>
            </w:r>
          </w:p>
        </w:tc>
      </w:tr>
    </w:tbl>
    <w:p/>
    <w:p>
      <w:pPr>
        <w:jc w:val="center"/>
      </w:pPr>
      <w:r>
        <w:rPr>
          <w:i/>
          <w:color w:val="C0567E"/>
          <w:sz w:val="18"/>
        </w:rPr>
        <w:t>Tableau 2.11 — Compte de résultat prévisionnel sur 3 ans</w:t>
      </w:r>
    </w:p>
    <w:p>
      <w:pPr>
        <w:jc w:val="both"/>
      </w:pPr>
      <w:r>
        <w:rPr>
          <w:b w:val="0"/>
          <w:i w:val="0"/>
        </w:rPr>
        <w:t>Conformément au guide d'examen, la première année d'exploitation est détaillée par semestre avec les indicateurs de prospection et de vente. Le taux de conversion est défini comme le nombre d'acheteurs rapporté au nombre de prospects ciblés par la publicité ; le taux de churn comme le nombre d'utilisateurs abandonnant le service rapporté au nombre d'utilisateurs en début de période.</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fill="7B2D62"/>
          </w:tcPr>
          <w:p>
            <w:r/>
            <w:r>
              <w:rPr>
                <w:b/>
                <w:color w:val="FFFFFF"/>
                <w:sz w:val="19"/>
              </w:rPr>
              <w:t>Durée</w:t>
            </w:r>
          </w:p>
        </w:tc>
        <w:tc>
          <w:tcPr>
            <w:tcW w:type="dxa" w:w="4762"/>
            <w:shd w:val="clear" w:fill="7B2D62"/>
          </w:tcPr>
          <w:p>
            <w:r/>
            <w:r>
              <w:rPr>
                <w:b/>
                <w:color w:val="FFFFFF"/>
                <w:sz w:val="19"/>
              </w:rPr>
              <w:t>Nature</w:t>
            </w:r>
          </w:p>
        </w:tc>
        <w:tc>
          <w:tcPr>
            <w:tcW w:type="dxa" w:w="1701"/>
            <w:shd w:val="clear" w:fill="7B2D62"/>
          </w:tcPr>
          <w:p>
            <w:r/>
            <w:r>
              <w:rPr>
                <w:b/>
                <w:color w:val="FFFFFF"/>
                <w:sz w:val="19"/>
              </w:rPr>
              <w:t>Valeur</w:t>
            </w:r>
          </w:p>
        </w:tc>
      </w:tr>
      <w:tr>
        <w:tc>
          <w:tcPr>
            <w:tcW w:type="dxa" w:w="2494"/>
          </w:tcPr>
          <w:p>
            <w:r/>
            <w:r>
              <w:rPr>
                <w:sz w:val="19"/>
              </w:rPr>
              <w:t>1er semestre (lancement + 6 mois)</w:t>
            </w:r>
          </w:p>
        </w:tc>
        <w:tc>
          <w:tcPr>
            <w:tcW w:type="dxa" w:w="4762"/>
          </w:tcPr>
          <w:p>
            <w:r/>
            <w:r>
              <w:rPr>
                <w:sz w:val="19"/>
              </w:rPr>
              <w:t>Budget de prospection semestriel (publicité en ligne)</w:t>
            </w:r>
          </w:p>
        </w:tc>
        <w:tc>
          <w:tcPr>
            <w:tcW w:type="dxa" w:w="1701"/>
          </w:tcPr>
          <w:p>
            <w:r/>
            <w:r>
              <w:rPr>
                <w:sz w:val="19"/>
              </w:rPr>
              <w:t>8 000 MAD</w:t>
            </w:r>
          </w:p>
        </w:tc>
      </w:tr>
      <w:tr>
        <w:tc>
          <w:tcPr>
            <w:tcW w:type="dxa" w:w="2494"/>
            <w:shd w:val="clear" w:fill="F6EBF1"/>
          </w:tcPr>
          <w:p>
            <w:r/>
            <w:r>
              <w:rPr>
                <w:sz w:val="19"/>
              </w:rPr>
              <w:t>1er semestre</w:t>
            </w:r>
          </w:p>
        </w:tc>
        <w:tc>
          <w:tcPr>
            <w:tcW w:type="dxa" w:w="4762"/>
            <w:shd w:val="clear" w:fill="F6EBF1"/>
          </w:tcPr>
          <w:p>
            <w:r/>
            <w:r>
              <w:rPr>
                <w:sz w:val="19"/>
              </w:rPr>
              <w:t>Nombre de prospects ciblés</w:t>
            </w:r>
          </w:p>
        </w:tc>
        <w:tc>
          <w:tcPr>
            <w:tcW w:type="dxa" w:w="1701"/>
            <w:shd w:val="clear" w:fill="F6EBF1"/>
          </w:tcPr>
          <w:p>
            <w:r/>
            <w:r>
              <w:rPr>
                <w:sz w:val="19"/>
              </w:rPr>
              <w:t>25 000</w:t>
            </w:r>
          </w:p>
        </w:tc>
      </w:tr>
      <w:tr>
        <w:tc>
          <w:tcPr>
            <w:tcW w:type="dxa" w:w="2494"/>
          </w:tcPr>
          <w:p>
            <w:r/>
            <w:r>
              <w:rPr>
                <w:sz w:val="19"/>
              </w:rPr>
              <w:t>1er semestre</w:t>
            </w:r>
          </w:p>
        </w:tc>
        <w:tc>
          <w:tcPr>
            <w:tcW w:type="dxa" w:w="4762"/>
          </w:tcPr>
          <w:p>
            <w:r/>
            <w:r>
              <w:rPr>
                <w:sz w:val="19"/>
              </w:rPr>
              <w:t>Nombre d'acheteurs (Premium + acheteurs via affiliation)</w:t>
            </w:r>
          </w:p>
        </w:tc>
        <w:tc>
          <w:tcPr>
            <w:tcW w:type="dxa" w:w="1701"/>
          </w:tcPr>
          <w:p>
            <w:r/>
            <w:r>
              <w:rPr>
                <w:sz w:val="19"/>
              </w:rPr>
              <w:t>700</w:t>
            </w:r>
          </w:p>
        </w:tc>
      </w:tr>
      <w:tr>
        <w:tc>
          <w:tcPr>
            <w:tcW w:type="dxa" w:w="2494"/>
            <w:shd w:val="clear" w:fill="F6EBF1"/>
          </w:tcPr>
          <w:p>
            <w:r/>
            <w:r>
              <w:rPr>
                <w:sz w:val="19"/>
              </w:rPr>
              <w:t>1er semestre</w:t>
            </w:r>
          </w:p>
        </w:tc>
        <w:tc>
          <w:tcPr>
            <w:tcW w:type="dxa" w:w="4762"/>
            <w:shd w:val="clear" w:fill="F6EBF1"/>
          </w:tcPr>
          <w:p>
            <w:r/>
            <w:r>
              <w:rPr>
                <w:sz w:val="19"/>
              </w:rPr>
              <w:t>Taux de conversion (700 / 25 000)</w:t>
            </w:r>
          </w:p>
        </w:tc>
        <w:tc>
          <w:tcPr>
            <w:tcW w:type="dxa" w:w="1701"/>
            <w:shd w:val="clear" w:fill="F6EBF1"/>
          </w:tcPr>
          <w:p>
            <w:r/>
            <w:r>
              <w:rPr>
                <w:sz w:val="19"/>
              </w:rPr>
              <w:t>2,8 %</w:t>
            </w:r>
          </w:p>
        </w:tc>
      </w:tr>
      <w:tr>
        <w:tc>
          <w:tcPr>
            <w:tcW w:type="dxa" w:w="2494"/>
          </w:tcPr>
          <w:p>
            <w:r/>
            <w:r>
              <w:rPr>
                <w:sz w:val="19"/>
              </w:rPr>
              <w:t>1er semestre</w:t>
            </w:r>
          </w:p>
        </w:tc>
        <w:tc>
          <w:tcPr>
            <w:tcW w:type="dxa" w:w="4762"/>
          </w:tcPr>
          <w:p>
            <w:r/>
            <w:r>
              <w:rPr>
                <w:sz w:val="19"/>
              </w:rPr>
              <w:t>Chiffre d'affaires semestriel</w:t>
            </w:r>
          </w:p>
        </w:tc>
        <w:tc>
          <w:tcPr>
            <w:tcW w:type="dxa" w:w="1701"/>
          </w:tcPr>
          <w:p>
            <w:r/>
            <w:r>
              <w:rPr>
                <w:sz w:val="19"/>
              </w:rPr>
              <w:t>30 000 MAD</w:t>
            </w:r>
          </w:p>
        </w:tc>
      </w:tr>
      <w:tr>
        <w:tc>
          <w:tcPr>
            <w:tcW w:type="dxa" w:w="2494"/>
            <w:shd w:val="clear" w:fill="F6EBF1"/>
          </w:tcPr>
          <w:p>
            <w:r/>
            <w:r>
              <w:rPr>
                <w:sz w:val="19"/>
              </w:rPr>
              <w:t>1er semestre</w:t>
            </w:r>
          </w:p>
        </w:tc>
        <w:tc>
          <w:tcPr>
            <w:tcW w:type="dxa" w:w="4762"/>
            <w:shd w:val="clear" w:fill="F6EBF1"/>
          </w:tcPr>
          <w:p>
            <w:r/>
            <w:r>
              <w:rPr>
                <w:sz w:val="19"/>
              </w:rPr>
              <w:t>Taux de churn semestriel</w:t>
            </w:r>
          </w:p>
        </w:tc>
        <w:tc>
          <w:tcPr>
            <w:tcW w:type="dxa" w:w="1701"/>
            <w:shd w:val="clear" w:fill="F6EBF1"/>
          </w:tcPr>
          <w:p>
            <w:r/>
            <w:r>
              <w:rPr>
                <w:sz w:val="19"/>
              </w:rPr>
              <w:t>18 %</w:t>
            </w:r>
          </w:p>
        </w:tc>
      </w:tr>
      <w:tr>
        <w:tc>
          <w:tcPr>
            <w:tcW w:type="dxa" w:w="2494"/>
          </w:tcPr>
          <w:p>
            <w:r/>
            <w:r>
              <w:rPr>
                <w:sz w:val="19"/>
              </w:rPr>
              <w:t>2e semestre (après 6 mois)</w:t>
            </w:r>
          </w:p>
        </w:tc>
        <w:tc>
          <w:tcPr>
            <w:tcW w:type="dxa" w:w="4762"/>
          </w:tcPr>
          <w:p>
            <w:r/>
            <w:r>
              <w:rPr>
                <w:sz w:val="19"/>
              </w:rPr>
              <w:t>Budget de prospection semestriel</w:t>
            </w:r>
          </w:p>
        </w:tc>
        <w:tc>
          <w:tcPr>
            <w:tcW w:type="dxa" w:w="1701"/>
          </w:tcPr>
          <w:p>
            <w:r/>
            <w:r>
              <w:rPr>
                <w:sz w:val="19"/>
              </w:rPr>
              <w:t>10 000 MAD</w:t>
            </w:r>
          </w:p>
        </w:tc>
      </w:tr>
      <w:tr>
        <w:tc>
          <w:tcPr>
            <w:tcW w:type="dxa" w:w="2494"/>
            <w:shd w:val="clear" w:fill="F6EBF1"/>
          </w:tcPr>
          <w:p>
            <w:r/>
            <w:r>
              <w:rPr>
                <w:sz w:val="19"/>
              </w:rPr>
              <w:t>2e semestre</w:t>
            </w:r>
          </w:p>
        </w:tc>
        <w:tc>
          <w:tcPr>
            <w:tcW w:type="dxa" w:w="4762"/>
            <w:shd w:val="clear" w:fill="F6EBF1"/>
          </w:tcPr>
          <w:p>
            <w:r/>
            <w:r>
              <w:rPr>
                <w:sz w:val="19"/>
              </w:rPr>
              <w:t>Nombre de prospects ciblés</w:t>
            </w:r>
          </w:p>
        </w:tc>
        <w:tc>
          <w:tcPr>
            <w:tcW w:type="dxa" w:w="1701"/>
            <w:shd w:val="clear" w:fill="F6EBF1"/>
          </w:tcPr>
          <w:p>
            <w:r/>
            <w:r>
              <w:rPr>
                <w:sz w:val="19"/>
              </w:rPr>
              <w:t>35 000</w:t>
            </w:r>
          </w:p>
        </w:tc>
      </w:tr>
      <w:tr>
        <w:tc>
          <w:tcPr>
            <w:tcW w:type="dxa" w:w="2494"/>
          </w:tcPr>
          <w:p>
            <w:r/>
            <w:r>
              <w:rPr>
                <w:sz w:val="19"/>
              </w:rPr>
              <w:t>2e semestre</w:t>
            </w:r>
          </w:p>
        </w:tc>
        <w:tc>
          <w:tcPr>
            <w:tcW w:type="dxa" w:w="4762"/>
          </w:tcPr>
          <w:p>
            <w:r/>
            <w:r>
              <w:rPr>
                <w:sz w:val="19"/>
              </w:rPr>
              <w:t>Nombre d'acheteurs</w:t>
            </w:r>
          </w:p>
        </w:tc>
        <w:tc>
          <w:tcPr>
            <w:tcW w:type="dxa" w:w="1701"/>
          </w:tcPr>
          <w:p>
            <w:r/>
            <w:r>
              <w:rPr>
                <w:sz w:val="19"/>
              </w:rPr>
              <w:t>1 250</w:t>
            </w:r>
          </w:p>
        </w:tc>
      </w:tr>
      <w:tr>
        <w:tc>
          <w:tcPr>
            <w:tcW w:type="dxa" w:w="2494"/>
            <w:shd w:val="clear" w:fill="F6EBF1"/>
          </w:tcPr>
          <w:p>
            <w:r/>
            <w:r>
              <w:rPr>
                <w:sz w:val="19"/>
              </w:rPr>
              <w:t>2e semestre</w:t>
            </w:r>
          </w:p>
        </w:tc>
        <w:tc>
          <w:tcPr>
            <w:tcW w:type="dxa" w:w="4762"/>
            <w:shd w:val="clear" w:fill="F6EBF1"/>
          </w:tcPr>
          <w:p>
            <w:r/>
            <w:r>
              <w:rPr>
                <w:sz w:val="19"/>
              </w:rPr>
              <w:t>Taux de conversion (1 250 / 35 000)</w:t>
            </w:r>
          </w:p>
        </w:tc>
        <w:tc>
          <w:tcPr>
            <w:tcW w:type="dxa" w:w="1701"/>
            <w:shd w:val="clear" w:fill="F6EBF1"/>
          </w:tcPr>
          <w:p>
            <w:r/>
            <w:r>
              <w:rPr>
                <w:sz w:val="19"/>
              </w:rPr>
              <w:t>3,6 %</w:t>
            </w:r>
          </w:p>
        </w:tc>
      </w:tr>
      <w:tr>
        <w:tc>
          <w:tcPr>
            <w:tcW w:type="dxa" w:w="2494"/>
          </w:tcPr>
          <w:p>
            <w:r/>
            <w:r>
              <w:rPr>
                <w:sz w:val="19"/>
              </w:rPr>
              <w:t>2e semestre</w:t>
            </w:r>
          </w:p>
        </w:tc>
        <w:tc>
          <w:tcPr>
            <w:tcW w:type="dxa" w:w="4762"/>
          </w:tcPr>
          <w:p>
            <w:r/>
            <w:r>
              <w:rPr>
                <w:sz w:val="19"/>
              </w:rPr>
              <w:t>Chiffre d'affaires semestriel</w:t>
            </w:r>
          </w:p>
        </w:tc>
        <w:tc>
          <w:tcPr>
            <w:tcW w:type="dxa" w:w="1701"/>
          </w:tcPr>
          <w:p>
            <w:r/>
            <w:r>
              <w:rPr>
                <w:sz w:val="19"/>
              </w:rPr>
              <w:t>60 000 MAD</w:t>
            </w:r>
          </w:p>
        </w:tc>
      </w:tr>
      <w:tr>
        <w:tc>
          <w:tcPr>
            <w:tcW w:type="dxa" w:w="2494"/>
            <w:shd w:val="clear" w:fill="F6EBF1"/>
          </w:tcPr>
          <w:p>
            <w:r/>
            <w:r>
              <w:rPr>
                <w:sz w:val="19"/>
              </w:rPr>
              <w:t>2e semestre</w:t>
            </w:r>
          </w:p>
        </w:tc>
        <w:tc>
          <w:tcPr>
            <w:tcW w:type="dxa" w:w="4762"/>
            <w:shd w:val="clear" w:fill="F6EBF1"/>
          </w:tcPr>
          <w:p>
            <w:r/>
            <w:r>
              <w:rPr>
                <w:sz w:val="19"/>
              </w:rPr>
              <w:t>Taux de churn semestriel</w:t>
            </w:r>
          </w:p>
        </w:tc>
        <w:tc>
          <w:tcPr>
            <w:tcW w:type="dxa" w:w="1701"/>
            <w:shd w:val="clear" w:fill="F6EBF1"/>
          </w:tcPr>
          <w:p>
            <w:r/>
            <w:r>
              <w:rPr>
                <w:sz w:val="19"/>
              </w:rPr>
              <w:t>13 %</w:t>
            </w:r>
          </w:p>
        </w:tc>
      </w:tr>
    </w:tbl>
    <w:p/>
    <w:p>
      <w:pPr>
        <w:jc w:val="center"/>
      </w:pPr>
      <w:r>
        <w:rPr>
          <w:i/>
          <w:color w:val="C0567E"/>
          <w:sz w:val="18"/>
        </w:rPr>
        <w:t>Tableau 2.12 — Suivi semestriel année 1 : prospection, conversion et churn (canevas du guide d'examen)</w:t>
      </w:r>
    </w:p>
    <w:p>
      <w:pPr>
        <w:jc w:val="both"/>
      </w:pPr>
      <w:r>
        <w:rPr>
          <w:b w:val="0"/>
          <w:i w:val="0"/>
        </w:rPr>
        <w:t>Lecture : le total des deux semestres (30 000 + 60 000 = 90 000 MAD) correspond au chiffre d'affaires de l'année 1 du compte de résultat. L'amélioration du taux de conversion (2,8 % → 3,6 %) et la baisse du churn (18 % → 13 %) traduisent l'effet d'apprentissage du moteur de recommandation et les optimisations produit issues des retours utilisateurs.</w:t>
      </w:r>
    </w:p>
    <w:p>
      <w:pPr>
        <w:jc w:val="both"/>
      </w:pPr>
      <w:r>
        <w:rPr>
          <w:b w:val="0"/>
          <w:i w:val="0"/>
        </w:rPr>
        <w:t>Seuil de rentabilité (année 1) : avec un taux de marge sur coûts variables de 88 % et des charges fixes (amortissements inclus) de 63 200 MAD, le seuil s'établit à 63 200 / 0,88 ≈ 71 800 MAD de chiffre d'affaires, atteint vers le dixième mois d'exploitation — l'année 1 dégage un premier résultat positif modeste (12 800 MAD). Retour sur investissement : le résultat net cumulé couvre l'investissement initial de 60 000 MAD au cours du premier semestre de l'année 2 (délai de récupération ≈ 17 mois) ; sur 3 ans, le cumul atteint 396 500 MAD, soit un ROI de (396 500 − 60 000) / 60 000 ≈ 560 %. Ce budget volontairement raisonnable — matériel d'entrée de gamme, indemnités modestes des fondateurs avant de vrais salaires en année 3, marketing progressif — correspond aux moyens mobilisables par de jeunes diplômés appuyés par les dispositifs marocains d'aide à la création d'entreprise.</w:t>
      </w:r>
    </w:p>
    <w:p>
      <w:r>
        <w:br w:type="page"/>
      </w:r>
    </w:p>
    <w:p>
      <w:pPr>
        <w:pStyle w:val="Heading1"/>
      </w:pPr>
      <w:r>
        <w:t>Chapitre 3 — Volet gestion de projet : WBS, PERT et Gantt</w:t>
      </w:r>
    </w:p>
    <w:p>
      <w:pPr>
        <w:jc w:val="both"/>
      </w:pPr>
      <w:r>
        <w:rPr>
          <w:b w:val="0"/>
          <w:i w:val="0"/>
        </w:rPr>
        <w:t>Le cycle de vie du projet et la méthodologie de gestion retenue (approche hybride prédictif/agile, justifiée en section 1.9) étant posés, ce chapitre déploie les outils de planification prédictive du pilotage global : découpage WBS, réseau PERT, calcul des marges et diagramme de Gantt.</w:t>
      </w:r>
    </w:p>
    <w:p>
      <w:pPr>
        <w:pStyle w:val="Heading2"/>
      </w:pPr>
      <w:r>
        <w:t>3.1. Découpage du projet en tâches (WBS)</w:t>
      </w:r>
    </w:p>
    <w:p>
      <w:pPr>
        <w:jc w:val="both"/>
      </w:pPr>
      <w:r>
        <w:rPr>
          <w:b w:val="0"/>
          <w:i w:val="0"/>
        </w:rPr>
        <w:t>Le projet est découpé en onze tâches, de la phase de cadrage à la soutenance. Les durées sont exprimées en jours ouvrés ; les antériorités traduisent les dépendances logiques (fin-début).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907"/>
            <w:shd w:val="clear" w:fill="7B2D62"/>
          </w:tcPr>
          <w:p>
            <w:r/>
            <w:r>
              <w:rPr>
                <w:b/>
                <w:color w:val="FFFFFF"/>
                <w:sz w:val="19"/>
              </w:rPr>
              <w:t>Code</w:t>
            </w:r>
          </w:p>
        </w:tc>
        <w:tc>
          <w:tcPr>
            <w:tcW w:type="dxa" w:w="5216"/>
            <w:shd w:val="clear" w:fill="7B2D62"/>
          </w:tcPr>
          <w:p>
            <w:r/>
            <w:r>
              <w:rPr>
                <w:b/>
                <w:color w:val="FFFFFF"/>
                <w:sz w:val="19"/>
              </w:rPr>
              <w:t>Tâche</w:t>
            </w:r>
          </w:p>
        </w:tc>
        <w:tc>
          <w:tcPr>
            <w:tcW w:type="dxa" w:w="1247"/>
            <w:shd w:val="clear" w:fill="7B2D62"/>
          </w:tcPr>
          <w:p>
            <w:r/>
            <w:r>
              <w:rPr>
                <w:b/>
                <w:color w:val="FFFFFF"/>
                <w:sz w:val="19"/>
              </w:rPr>
              <w:t>Durée (j)</w:t>
            </w:r>
          </w:p>
        </w:tc>
        <w:tc>
          <w:tcPr>
            <w:tcW w:type="dxa" w:w="1587"/>
            <w:shd w:val="clear" w:fill="7B2D62"/>
          </w:tcPr>
          <w:p>
            <w:r/>
            <w:r>
              <w:rPr>
                <w:b/>
                <w:color w:val="FFFFFF"/>
                <w:sz w:val="19"/>
              </w:rPr>
              <w:t>Antériorités</w:t>
            </w:r>
          </w:p>
        </w:tc>
      </w:tr>
      <w:tr>
        <w:tc>
          <w:tcPr>
            <w:tcW w:type="dxa" w:w="907"/>
          </w:tcPr>
          <w:p>
            <w:r/>
            <w:r>
              <w:rPr>
                <w:sz w:val="19"/>
              </w:rPr>
              <w:t>A</w:t>
            </w:r>
          </w:p>
        </w:tc>
        <w:tc>
          <w:tcPr>
            <w:tcW w:type="dxa" w:w="5216"/>
          </w:tcPr>
          <w:p>
            <w:r/>
            <w:r>
              <w:rPr>
                <w:sz w:val="19"/>
              </w:rPr>
              <w:t>Cadrage du projet et étude du besoin</w:t>
            </w:r>
          </w:p>
        </w:tc>
        <w:tc>
          <w:tcPr>
            <w:tcW w:type="dxa" w:w="1247"/>
          </w:tcPr>
          <w:p>
            <w:r/>
            <w:r>
              <w:rPr>
                <w:sz w:val="19"/>
              </w:rPr>
              <w:t>5</w:t>
            </w:r>
          </w:p>
        </w:tc>
        <w:tc>
          <w:tcPr>
            <w:tcW w:type="dxa" w:w="1587"/>
          </w:tcPr>
          <w:p>
            <w:r/>
            <w:r>
              <w:rPr>
                <w:sz w:val="19"/>
              </w:rPr>
              <w:t>—</w:t>
            </w:r>
          </w:p>
        </w:tc>
      </w:tr>
      <w:tr>
        <w:tc>
          <w:tcPr>
            <w:tcW w:type="dxa" w:w="907"/>
            <w:shd w:val="clear" w:fill="F6EBF1"/>
          </w:tcPr>
          <w:p>
            <w:r/>
            <w:r>
              <w:rPr>
                <w:sz w:val="19"/>
              </w:rPr>
              <w:t>B</w:t>
            </w:r>
          </w:p>
        </w:tc>
        <w:tc>
          <w:tcPr>
            <w:tcW w:type="dxa" w:w="5216"/>
            <w:shd w:val="clear" w:fill="F6EBF1"/>
          </w:tcPr>
          <w:p>
            <w:r/>
            <w:r>
              <w:rPr>
                <w:sz w:val="19"/>
              </w:rPr>
              <w:t>Étude de marché et business plan</w:t>
            </w:r>
          </w:p>
        </w:tc>
        <w:tc>
          <w:tcPr>
            <w:tcW w:type="dxa" w:w="1247"/>
            <w:shd w:val="clear" w:fill="F6EBF1"/>
          </w:tcPr>
          <w:p>
            <w:r/>
            <w:r>
              <w:rPr>
                <w:sz w:val="19"/>
              </w:rPr>
              <w:t>10</w:t>
            </w:r>
          </w:p>
        </w:tc>
        <w:tc>
          <w:tcPr>
            <w:tcW w:type="dxa" w:w="1587"/>
            <w:shd w:val="clear" w:fill="F6EBF1"/>
          </w:tcPr>
          <w:p>
            <w:r/>
            <w:r>
              <w:rPr>
                <w:sz w:val="19"/>
              </w:rPr>
              <w:t>A</w:t>
            </w:r>
          </w:p>
        </w:tc>
      </w:tr>
      <w:tr>
        <w:tc>
          <w:tcPr>
            <w:tcW w:type="dxa" w:w="907"/>
          </w:tcPr>
          <w:p>
            <w:r/>
            <w:r>
              <w:rPr>
                <w:sz w:val="19"/>
              </w:rPr>
              <w:t>C</w:t>
            </w:r>
          </w:p>
        </w:tc>
        <w:tc>
          <w:tcPr>
            <w:tcW w:type="dxa" w:w="5216"/>
          </w:tcPr>
          <w:p>
            <w:r/>
            <w:r>
              <w:rPr>
                <w:sz w:val="19"/>
              </w:rPr>
              <w:t>Collecte et compréhension des données</w:t>
            </w:r>
          </w:p>
        </w:tc>
        <w:tc>
          <w:tcPr>
            <w:tcW w:type="dxa" w:w="1247"/>
          </w:tcPr>
          <w:p>
            <w:r/>
            <w:r>
              <w:rPr>
                <w:sz w:val="19"/>
              </w:rPr>
              <w:t>4</w:t>
            </w:r>
          </w:p>
        </w:tc>
        <w:tc>
          <w:tcPr>
            <w:tcW w:type="dxa" w:w="1587"/>
          </w:tcPr>
          <w:p>
            <w:r/>
            <w:r>
              <w:rPr>
                <w:sz w:val="19"/>
              </w:rPr>
              <w:t>A</w:t>
            </w:r>
          </w:p>
        </w:tc>
      </w:tr>
      <w:tr>
        <w:tc>
          <w:tcPr>
            <w:tcW w:type="dxa" w:w="907"/>
            <w:shd w:val="clear" w:fill="F6EBF1"/>
          </w:tcPr>
          <w:p>
            <w:r/>
            <w:r>
              <w:rPr>
                <w:sz w:val="19"/>
              </w:rPr>
              <w:t>D</w:t>
            </w:r>
          </w:p>
        </w:tc>
        <w:tc>
          <w:tcPr>
            <w:tcW w:type="dxa" w:w="5216"/>
            <w:shd w:val="clear" w:fill="F6EBF1"/>
          </w:tcPr>
          <w:p>
            <w:r/>
            <w:r>
              <w:rPr>
                <w:sz w:val="19"/>
              </w:rPr>
              <w:t>Analyse exploratoire (EDA) et prétraitement</w:t>
            </w:r>
          </w:p>
        </w:tc>
        <w:tc>
          <w:tcPr>
            <w:tcW w:type="dxa" w:w="1247"/>
            <w:shd w:val="clear" w:fill="F6EBF1"/>
          </w:tcPr>
          <w:p>
            <w:r/>
            <w:r>
              <w:rPr>
                <w:sz w:val="19"/>
              </w:rPr>
              <w:t>7</w:t>
            </w:r>
          </w:p>
        </w:tc>
        <w:tc>
          <w:tcPr>
            <w:tcW w:type="dxa" w:w="1587"/>
            <w:shd w:val="clear" w:fill="F6EBF1"/>
          </w:tcPr>
          <w:p>
            <w:r/>
            <w:r>
              <w:rPr>
                <w:sz w:val="19"/>
              </w:rPr>
              <w:t>C</w:t>
            </w:r>
          </w:p>
        </w:tc>
      </w:tr>
      <w:tr>
        <w:tc>
          <w:tcPr>
            <w:tcW w:type="dxa" w:w="907"/>
          </w:tcPr>
          <w:p>
            <w:r/>
            <w:r>
              <w:rPr>
                <w:sz w:val="19"/>
              </w:rPr>
              <w:t>E</w:t>
            </w:r>
          </w:p>
        </w:tc>
        <w:tc>
          <w:tcPr>
            <w:tcW w:type="dxa" w:w="5216"/>
          </w:tcPr>
          <w:p>
            <w:r/>
            <w:r>
              <w:rPr>
                <w:sz w:val="19"/>
              </w:rPr>
              <w:t>Modélisation et évaluation ML</w:t>
            </w:r>
          </w:p>
        </w:tc>
        <w:tc>
          <w:tcPr>
            <w:tcW w:type="dxa" w:w="1247"/>
          </w:tcPr>
          <w:p>
            <w:r/>
            <w:r>
              <w:rPr>
                <w:sz w:val="19"/>
              </w:rPr>
              <w:t>12</w:t>
            </w:r>
          </w:p>
        </w:tc>
        <w:tc>
          <w:tcPr>
            <w:tcW w:type="dxa" w:w="1587"/>
          </w:tcPr>
          <w:p>
            <w:r/>
            <w:r>
              <w:rPr>
                <w:sz w:val="19"/>
              </w:rPr>
              <w:t>D</w:t>
            </w:r>
          </w:p>
        </w:tc>
      </w:tr>
      <w:tr>
        <w:tc>
          <w:tcPr>
            <w:tcW w:type="dxa" w:w="907"/>
            <w:shd w:val="clear" w:fill="F6EBF1"/>
          </w:tcPr>
          <w:p>
            <w:r/>
            <w:r>
              <w:rPr>
                <w:sz w:val="19"/>
              </w:rPr>
              <w:t>F</w:t>
            </w:r>
          </w:p>
        </w:tc>
        <w:tc>
          <w:tcPr>
            <w:tcW w:type="dxa" w:w="5216"/>
            <w:shd w:val="clear" w:fill="F6EBF1"/>
          </w:tcPr>
          <w:p>
            <w:r/>
            <w:r>
              <w:rPr>
                <w:sz w:val="19"/>
              </w:rPr>
              <w:t>Développement de l'application web (login/signup, interface)</w:t>
            </w:r>
          </w:p>
        </w:tc>
        <w:tc>
          <w:tcPr>
            <w:tcW w:type="dxa" w:w="1247"/>
            <w:shd w:val="clear" w:fill="F6EBF1"/>
          </w:tcPr>
          <w:p>
            <w:r/>
            <w:r>
              <w:rPr>
                <w:sz w:val="19"/>
              </w:rPr>
              <w:t>15</w:t>
            </w:r>
          </w:p>
        </w:tc>
        <w:tc>
          <w:tcPr>
            <w:tcW w:type="dxa" w:w="1587"/>
            <w:shd w:val="clear" w:fill="F6EBF1"/>
          </w:tcPr>
          <w:p>
            <w:r/>
            <w:r>
              <w:rPr>
                <w:sz w:val="19"/>
              </w:rPr>
              <w:t>D</w:t>
            </w:r>
          </w:p>
        </w:tc>
      </w:tr>
      <w:tr>
        <w:tc>
          <w:tcPr>
            <w:tcW w:type="dxa" w:w="907"/>
          </w:tcPr>
          <w:p>
            <w:r/>
            <w:r>
              <w:rPr>
                <w:sz w:val="19"/>
              </w:rPr>
              <w:t>G</w:t>
            </w:r>
          </w:p>
        </w:tc>
        <w:tc>
          <w:tcPr>
            <w:tcW w:type="dxa" w:w="5216"/>
          </w:tcPr>
          <w:p>
            <w:r/>
            <w:r>
              <w:rPr>
                <w:sz w:val="19"/>
              </w:rPr>
              <w:t>Intégration du modèle dans l'application</w:t>
            </w:r>
          </w:p>
        </w:tc>
        <w:tc>
          <w:tcPr>
            <w:tcW w:type="dxa" w:w="1247"/>
          </w:tcPr>
          <w:p>
            <w:r/>
            <w:r>
              <w:rPr>
                <w:sz w:val="19"/>
              </w:rPr>
              <w:t>6</w:t>
            </w:r>
          </w:p>
        </w:tc>
        <w:tc>
          <w:tcPr>
            <w:tcW w:type="dxa" w:w="1587"/>
          </w:tcPr>
          <w:p>
            <w:r/>
            <w:r>
              <w:rPr>
                <w:sz w:val="19"/>
              </w:rPr>
              <w:t>E, F</w:t>
            </w:r>
          </w:p>
        </w:tc>
      </w:tr>
      <w:tr>
        <w:tc>
          <w:tcPr>
            <w:tcW w:type="dxa" w:w="907"/>
            <w:shd w:val="clear" w:fill="F6EBF1"/>
          </w:tcPr>
          <w:p>
            <w:r/>
            <w:r>
              <w:rPr>
                <w:sz w:val="19"/>
              </w:rPr>
              <w:t>H</w:t>
            </w:r>
          </w:p>
        </w:tc>
        <w:tc>
          <w:tcPr>
            <w:tcW w:type="dxa" w:w="5216"/>
            <w:shd w:val="clear" w:fill="F6EBF1"/>
          </w:tcPr>
          <w:p>
            <w:r/>
            <w:r>
              <w:rPr>
                <w:sz w:val="19"/>
              </w:rPr>
              <w:t>Tests et validation (fonctionnels, équité du modèle)</w:t>
            </w:r>
          </w:p>
        </w:tc>
        <w:tc>
          <w:tcPr>
            <w:tcW w:type="dxa" w:w="1247"/>
            <w:shd w:val="clear" w:fill="F6EBF1"/>
          </w:tcPr>
          <w:p>
            <w:r/>
            <w:r>
              <w:rPr>
                <w:sz w:val="19"/>
              </w:rPr>
              <w:t>6</w:t>
            </w:r>
          </w:p>
        </w:tc>
        <w:tc>
          <w:tcPr>
            <w:tcW w:type="dxa" w:w="1587"/>
            <w:shd w:val="clear" w:fill="F6EBF1"/>
          </w:tcPr>
          <w:p>
            <w:r/>
            <w:r>
              <w:rPr>
                <w:sz w:val="19"/>
              </w:rPr>
              <w:t>G</w:t>
            </w:r>
          </w:p>
        </w:tc>
      </w:tr>
      <w:tr>
        <w:tc>
          <w:tcPr>
            <w:tcW w:type="dxa" w:w="907"/>
          </w:tcPr>
          <w:p>
            <w:r/>
            <w:r>
              <w:rPr>
                <w:sz w:val="19"/>
              </w:rPr>
              <w:t>I</w:t>
            </w:r>
          </w:p>
        </w:tc>
        <w:tc>
          <w:tcPr>
            <w:tcW w:type="dxa" w:w="5216"/>
          </w:tcPr>
          <w:p>
            <w:r/>
            <w:r>
              <w:rPr>
                <w:sz w:val="19"/>
              </w:rPr>
              <w:t>Déploiement cloud et mise en production</w:t>
            </w:r>
          </w:p>
        </w:tc>
        <w:tc>
          <w:tcPr>
            <w:tcW w:type="dxa" w:w="1247"/>
          </w:tcPr>
          <w:p>
            <w:r/>
            <w:r>
              <w:rPr>
                <w:sz w:val="19"/>
              </w:rPr>
              <w:t>4</w:t>
            </w:r>
          </w:p>
        </w:tc>
        <w:tc>
          <w:tcPr>
            <w:tcW w:type="dxa" w:w="1587"/>
          </w:tcPr>
          <w:p>
            <w:r/>
            <w:r>
              <w:rPr>
                <w:sz w:val="19"/>
              </w:rPr>
              <w:t>H</w:t>
            </w:r>
          </w:p>
        </w:tc>
      </w:tr>
      <w:tr>
        <w:tc>
          <w:tcPr>
            <w:tcW w:type="dxa" w:w="907"/>
            <w:shd w:val="clear" w:fill="F6EBF1"/>
          </w:tcPr>
          <w:p>
            <w:r/>
            <w:r>
              <w:rPr>
                <w:sz w:val="19"/>
              </w:rPr>
              <w:t>J</w:t>
            </w:r>
          </w:p>
        </w:tc>
        <w:tc>
          <w:tcPr>
            <w:tcW w:type="dxa" w:w="5216"/>
            <w:shd w:val="clear" w:fill="F6EBF1"/>
          </w:tcPr>
          <w:p>
            <w:r/>
            <w:r>
              <w:rPr>
                <w:sz w:val="19"/>
              </w:rPr>
              <w:t>Documentation et rédaction du rapport</w:t>
            </w:r>
          </w:p>
        </w:tc>
        <w:tc>
          <w:tcPr>
            <w:tcW w:type="dxa" w:w="1247"/>
            <w:shd w:val="clear" w:fill="F6EBF1"/>
          </w:tcPr>
          <w:p>
            <w:r/>
            <w:r>
              <w:rPr>
                <w:sz w:val="19"/>
              </w:rPr>
              <w:t>8</w:t>
            </w:r>
          </w:p>
        </w:tc>
        <w:tc>
          <w:tcPr>
            <w:tcW w:type="dxa" w:w="1587"/>
            <w:shd w:val="clear" w:fill="F6EBF1"/>
          </w:tcPr>
          <w:p>
            <w:r/>
            <w:r>
              <w:rPr>
                <w:sz w:val="19"/>
              </w:rPr>
              <w:t>B, E</w:t>
            </w:r>
          </w:p>
        </w:tc>
      </w:tr>
      <w:tr>
        <w:tc>
          <w:tcPr>
            <w:tcW w:type="dxa" w:w="907"/>
          </w:tcPr>
          <w:p>
            <w:r/>
            <w:r>
              <w:rPr>
                <w:sz w:val="19"/>
              </w:rPr>
              <w:t>K</w:t>
            </w:r>
          </w:p>
        </w:tc>
        <w:tc>
          <w:tcPr>
            <w:tcW w:type="dxa" w:w="5216"/>
          </w:tcPr>
          <w:p>
            <w:r/>
            <w:r>
              <w:rPr>
                <w:sz w:val="19"/>
              </w:rPr>
              <w:t>Préparation de la soutenance et lancement</w:t>
            </w:r>
          </w:p>
        </w:tc>
        <w:tc>
          <w:tcPr>
            <w:tcW w:type="dxa" w:w="1247"/>
          </w:tcPr>
          <w:p>
            <w:r/>
            <w:r>
              <w:rPr>
                <w:sz w:val="19"/>
              </w:rPr>
              <w:t>5</w:t>
            </w:r>
          </w:p>
        </w:tc>
        <w:tc>
          <w:tcPr>
            <w:tcW w:type="dxa" w:w="1587"/>
          </w:tcPr>
          <w:p>
            <w:r/>
            <w:r>
              <w:rPr>
                <w:sz w:val="19"/>
              </w:rPr>
              <w:t>I, J</w:t>
            </w:r>
          </w:p>
        </w:tc>
      </w:tr>
    </w:tbl>
    <w:p/>
    <w:p>
      <w:pPr>
        <w:jc w:val="center"/>
      </w:pPr>
      <w:r>
        <w:rPr>
          <w:i/>
          <w:color w:val="C0567E"/>
          <w:sz w:val="18"/>
        </w:rPr>
        <w:t>Tableau 3.1 — WBS : tâches, durées et antériorités</w:t>
      </w:r>
    </w:p>
    <w:p>
      <w:pPr>
        <w:pStyle w:val="Heading2"/>
      </w:pPr>
      <w:r>
        <w:t>3.2. Diagramme de PERT et chemin critique</w:t>
      </w:r>
    </w:p>
    <w:p>
      <w:pPr>
        <w:jc w:val="both"/>
      </w:pPr>
      <w:r>
        <w:rPr>
          <w:b w:val="0"/>
          <w:i w:val="0"/>
        </w:rPr>
        <w:t>Le réseau PERT est construit selon la méthode des potentiels-tâches. Les dates au plus tôt (ES/EF) sont calculées par passage avant (ES = max des EF des antécédents), les dates au plus tard (LS/LF) par passage arrière (LF = min des LS des successeurs) à partir de la durée totale de 52 jours.</w:t>
      </w:r>
    </w:p>
    <w:p>
      <w:pPr>
        <w:jc w:val="center"/>
      </w:pPr>
      <w:r>
        <w:drawing>
          <wp:inline xmlns:a="http://schemas.openxmlformats.org/drawingml/2006/main" xmlns:pic="http://schemas.openxmlformats.org/drawingml/2006/picture">
            <wp:extent cx="5580000" cy="2678400"/>
            <wp:docPr id="10" name="Picture 10"/>
            <wp:cNvGraphicFramePr>
              <a:graphicFrameLocks noChangeAspect="1"/>
            </wp:cNvGraphicFramePr>
            <a:graphic>
              <a:graphicData uri="http://schemas.openxmlformats.org/drawingml/2006/picture">
                <pic:pic>
                  <pic:nvPicPr>
                    <pic:cNvPr id="0" name="fig11_pert.png"/>
                    <pic:cNvPicPr/>
                  </pic:nvPicPr>
                  <pic:blipFill>
                    <a:blip r:embed="rId19"/>
                    <a:stretch>
                      <a:fillRect/>
                    </a:stretch>
                  </pic:blipFill>
                  <pic:spPr>
                    <a:xfrm>
                      <a:off x="0" y="0"/>
                      <a:ext cx="5580000" cy="2678400"/>
                    </a:xfrm>
                    <a:prstGeom prst="rect"/>
                  </pic:spPr>
                </pic:pic>
              </a:graphicData>
            </a:graphic>
          </wp:inline>
        </w:drawing>
      </w:r>
    </w:p>
    <w:p>
      <w:pPr>
        <w:jc w:val="center"/>
      </w:pPr>
      <w:r>
        <w:rPr>
          <w:i/>
          <w:color w:val="C0567E"/>
          <w:sz w:val="18"/>
        </w:rPr>
        <w:t>Figure 3.1 — Réseau PERT : dates au plus tôt/au plus tard et chemin critique</w:t>
      </w:r>
    </w:p>
    <w:p>
      <w:pPr>
        <w:jc w:val="both"/>
      </w:pPr>
      <w:r>
        <w:rPr>
          <w:b w:val="0"/>
          <w:i w:val="0"/>
        </w:rPr>
        <w:t>Le chemin critique est A → C → D → F → G → H → I → K, d'une durée de 5 + 4 + 7 + 15 + 6 + 6 + 4 + 5 = 52 jours ouvrés. Tout retard sur l'une de ces tâches décale la fin du projet. Le développement web (F, 15 jours) est la tâche critique la plus longue : elle fera l'objet d'un suivi renforcé.</w:t>
      </w:r>
    </w:p>
    <w:p>
      <w:pPr>
        <w:pStyle w:val="Heading2"/>
      </w:pPr>
      <w:r>
        <w:t>3.3. Tableau des marges totales et libres</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850"/>
            <w:shd w:val="clear" w:fill="7B2D62"/>
          </w:tcPr>
          <w:p>
            <w:r/>
            <w:r>
              <w:rPr>
                <w:b/>
                <w:color w:val="FFFFFF"/>
                <w:sz w:val="19"/>
              </w:rPr>
              <w:t>Tâche</w:t>
            </w:r>
          </w:p>
        </w:tc>
        <w:tc>
          <w:tcPr>
            <w:tcW w:type="dxa" w:w="907"/>
            <w:shd w:val="clear" w:fill="7B2D62"/>
          </w:tcPr>
          <w:p>
            <w:r/>
            <w:r>
              <w:rPr>
                <w:b/>
                <w:color w:val="FFFFFF"/>
                <w:sz w:val="19"/>
              </w:rPr>
              <w:t>Durée</w:t>
            </w:r>
          </w:p>
        </w:tc>
        <w:tc>
          <w:tcPr>
            <w:tcW w:type="dxa" w:w="794"/>
            <w:shd w:val="clear" w:fill="7B2D62"/>
          </w:tcPr>
          <w:p>
            <w:r/>
            <w:r>
              <w:rPr>
                <w:b/>
                <w:color w:val="FFFFFF"/>
                <w:sz w:val="19"/>
              </w:rPr>
              <w:t>ES</w:t>
            </w:r>
          </w:p>
        </w:tc>
        <w:tc>
          <w:tcPr>
            <w:tcW w:type="dxa" w:w="794"/>
            <w:shd w:val="clear" w:fill="7B2D62"/>
          </w:tcPr>
          <w:p>
            <w:r/>
            <w:r>
              <w:rPr>
                <w:b/>
                <w:color w:val="FFFFFF"/>
                <w:sz w:val="19"/>
              </w:rPr>
              <w:t>EF</w:t>
            </w:r>
          </w:p>
        </w:tc>
        <w:tc>
          <w:tcPr>
            <w:tcW w:type="dxa" w:w="794"/>
            <w:shd w:val="clear" w:fill="7B2D62"/>
          </w:tcPr>
          <w:p>
            <w:r/>
            <w:r>
              <w:rPr>
                <w:b/>
                <w:color w:val="FFFFFF"/>
                <w:sz w:val="19"/>
              </w:rPr>
              <w:t>LS</w:t>
            </w:r>
          </w:p>
        </w:tc>
        <w:tc>
          <w:tcPr>
            <w:tcW w:type="dxa" w:w="794"/>
            <w:shd w:val="clear" w:fill="7B2D62"/>
          </w:tcPr>
          <w:p>
            <w:r/>
            <w:r>
              <w:rPr>
                <w:b/>
                <w:color w:val="FFFFFF"/>
                <w:sz w:val="19"/>
              </w:rPr>
              <w:t>LF</w:t>
            </w:r>
          </w:p>
        </w:tc>
        <w:tc>
          <w:tcPr>
            <w:tcW w:type="dxa" w:w="1361"/>
            <w:shd w:val="clear" w:fill="7B2D62"/>
          </w:tcPr>
          <w:p>
            <w:r/>
            <w:r>
              <w:rPr>
                <w:b/>
                <w:color w:val="FFFFFF"/>
                <w:sz w:val="19"/>
              </w:rPr>
              <w:t>Marge totale</w:t>
            </w:r>
          </w:p>
        </w:tc>
        <w:tc>
          <w:tcPr>
            <w:tcW w:type="dxa" w:w="1247"/>
            <w:shd w:val="clear" w:fill="7B2D62"/>
          </w:tcPr>
          <w:p>
            <w:r/>
            <w:r>
              <w:rPr>
                <w:b/>
                <w:color w:val="FFFFFF"/>
                <w:sz w:val="19"/>
              </w:rPr>
              <w:t>Marge libre</w:t>
            </w:r>
          </w:p>
        </w:tc>
        <w:tc>
          <w:tcPr>
            <w:tcW w:type="dxa" w:w="1134"/>
            <w:shd w:val="clear" w:fill="7B2D62"/>
          </w:tcPr>
          <w:p>
            <w:r/>
            <w:r>
              <w:rPr>
                <w:b/>
                <w:color w:val="FFFFFF"/>
                <w:sz w:val="19"/>
              </w:rPr>
              <w:t>Critique</w:t>
            </w:r>
          </w:p>
        </w:tc>
      </w:tr>
      <w:tr>
        <w:tc>
          <w:tcPr>
            <w:tcW w:type="dxa" w:w="850"/>
          </w:tcPr>
          <w:p>
            <w:r/>
            <w:r>
              <w:rPr>
                <w:sz w:val="19"/>
              </w:rPr>
              <w:t>A</w:t>
            </w:r>
          </w:p>
        </w:tc>
        <w:tc>
          <w:tcPr>
            <w:tcW w:type="dxa" w:w="907"/>
          </w:tcPr>
          <w:p>
            <w:r/>
            <w:r>
              <w:rPr>
                <w:sz w:val="19"/>
              </w:rPr>
              <w:t>5</w:t>
            </w:r>
          </w:p>
        </w:tc>
        <w:tc>
          <w:tcPr>
            <w:tcW w:type="dxa" w:w="794"/>
          </w:tcPr>
          <w:p>
            <w:r/>
            <w:r>
              <w:rPr>
                <w:sz w:val="19"/>
              </w:rPr>
              <w:t>0</w:t>
            </w:r>
          </w:p>
        </w:tc>
        <w:tc>
          <w:tcPr>
            <w:tcW w:type="dxa" w:w="794"/>
          </w:tcPr>
          <w:p>
            <w:r/>
            <w:r>
              <w:rPr>
                <w:sz w:val="19"/>
              </w:rPr>
              <w:t>5</w:t>
            </w:r>
          </w:p>
        </w:tc>
        <w:tc>
          <w:tcPr>
            <w:tcW w:type="dxa" w:w="794"/>
          </w:tcPr>
          <w:p>
            <w:r/>
            <w:r>
              <w:rPr>
                <w:sz w:val="19"/>
              </w:rPr>
              <w:t>0</w:t>
            </w:r>
          </w:p>
        </w:tc>
        <w:tc>
          <w:tcPr>
            <w:tcW w:type="dxa" w:w="794"/>
          </w:tcPr>
          <w:p>
            <w:r/>
            <w:r>
              <w:rPr>
                <w:sz w:val="19"/>
              </w:rPr>
              <w:t>5</w:t>
            </w:r>
          </w:p>
        </w:tc>
        <w:tc>
          <w:tcPr>
            <w:tcW w:type="dxa" w:w="1361"/>
          </w:tcPr>
          <w:p>
            <w:r/>
            <w:r>
              <w:rPr>
                <w:sz w:val="19"/>
              </w:rPr>
              <w:t>0</w:t>
            </w:r>
          </w:p>
        </w:tc>
        <w:tc>
          <w:tcPr>
            <w:tcW w:type="dxa" w:w="1247"/>
          </w:tcPr>
          <w:p>
            <w:r/>
            <w:r>
              <w:rPr>
                <w:sz w:val="19"/>
              </w:rPr>
              <w:t>0</w:t>
            </w:r>
          </w:p>
        </w:tc>
        <w:tc>
          <w:tcPr>
            <w:tcW w:type="dxa" w:w="1134"/>
          </w:tcPr>
          <w:p>
            <w:r/>
            <w:r>
              <w:rPr>
                <w:sz w:val="19"/>
              </w:rPr>
              <w:t>Oui</w:t>
            </w:r>
          </w:p>
        </w:tc>
      </w:tr>
      <w:tr>
        <w:tc>
          <w:tcPr>
            <w:tcW w:type="dxa" w:w="850"/>
            <w:shd w:val="clear" w:fill="F6EBF1"/>
          </w:tcPr>
          <w:p>
            <w:r/>
            <w:r>
              <w:rPr>
                <w:sz w:val="19"/>
              </w:rPr>
              <w:t>B</w:t>
            </w:r>
          </w:p>
        </w:tc>
        <w:tc>
          <w:tcPr>
            <w:tcW w:type="dxa" w:w="907"/>
            <w:shd w:val="clear" w:fill="F6EBF1"/>
          </w:tcPr>
          <w:p>
            <w:r/>
            <w:r>
              <w:rPr>
                <w:sz w:val="19"/>
              </w:rPr>
              <w:t>10</w:t>
            </w:r>
          </w:p>
        </w:tc>
        <w:tc>
          <w:tcPr>
            <w:tcW w:type="dxa" w:w="794"/>
            <w:shd w:val="clear" w:fill="F6EBF1"/>
          </w:tcPr>
          <w:p>
            <w:r/>
            <w:r>
              <w:rPr>
                <w:sz w:val="19"/>
              </w:rPr>
              <w:t>5</w:t>
            </w:r>
          </w:p>
        </w:tc>
        <w:tc>
          <w:tcPr>
            <w:tcW w:type="dxa" w:w="794"/>
            <w:shd w:val="clear" w:fill="F6EBF1"/>
          </w:tcPr>
          <w:p>
            <w:r/>
            <w:r>
              <w:rPr>
                <w:sz w:val="19"/>
              </w:rPr>
              <w:t>15</w:t>
            </w:r>
          </w:p>
        </w:tc>
        <w:tc>
          <w:tcPr>
            <w:tcW w:type="dxa" w:w="794"/>
            <w:shd w:val="clear" w:fill="F6EBF1"/>
          </w:tcPr>
          <w:p>
            <w:r/>
            <w:r>
              <w:rPr>
                <w:sz w:val="19"/>
              </w:rPr>
              <w:t>29</w:t>
            </w:r>
          </w:p>
        </w:tc>
        <w:tc>
          <w:tcPr>
            <w:tcW w:type="dxa" w:w="794"/>
            <w:shd w:val="clear" w:fill="F6EBF1"/>
          </w:tcPr>
          <w:p>
            <w:r/>
            <w:r>
              <w:rPr>
                <w:sz w:val="19"/>
              </w:rPr>
              <w:t>39</w:t>
            </w:r>
          </w:p>
        </w:tc>
        <w:tc>
          <w:tcPr>
            <w:tcW w:type="dxa" w:w="1361"/>
            <w:shd w:val="clear" w:fill="F6EBF1"/>
          </w:tcPr>
          <w:p>
            <w:r/>
            <w:r>
              <w:rPr>
                <w:sz w:val="19"/>
              </w:rPr>
              <w:t>24</w:t>
            </w:r>
          </w:p>
        </w:tc>
        <w:tc>
          <w:tcPr>
            <w:tcW w:type="dxa" w:w="1247"/>
            <w:shd w:val="clear" w:fill="F6EBF1"/>
          </w:tcPr>
          <w:p>
            <w:r/>
            <w:r>
              <w:rPr>
                <w:sz w:val="19"/>
              </w:rPr>
              <w:t>13</w:t>
            </w:r>
          </w:p>
        </w:tc>
        <w:tc>
          <w:tcPr>
            <w:tcW w:type="dxa" w:w="1134"/>
            <w:shd w:val="clear" w:fill="F6EBF1"/>
          </w:tcPr>
          <w:p>
            <w:r/>
            <w:r>
              <w:rPr>
                <w:sz w:val="19"/>
              </w:rPr>
              <w:t>Non</w:t>
            </w:r>
          </w:p>
        </w:tc>
      </w:tr>
      <w:tr>
        <w:tc>
          <w:tcPr>
            <w:tcW w:type="dxa" w:w="850"/>
          </w:tcPr>
          <w:p>
            <w:r/>
            <w:r>
              <w:rPr>
                <w:sz w:val="19"/>
              </w:rPr>
              <w:t>C</w:t>
            </w:r>
          </w:p>
        </w:tc>
        <w:tc>
          <w:tcPr>
            <w:tcW w:type="dxa" w:w="907"/>
          </w:tcPr>
          <w:p>
            <w:r/>
            <w:r>
              <w:rPr>
                <w:sz w:val="19"/>
              </w:rPr>
              <w:t>4</w:t>
            </w:r>
          </w:p>
        </w:tc>
        <w:tc>
          <w:tcPr>
            <w:tcW w:type="dxa" w:w="794"/>
          </w:tcPr>
          <w:p>
            <w:r/>
            <w:r>
              <w:rPr>
                <w:sz w:val="19"/>
              </w:rPr>
              <w:t>5</w:t>
            </w:r>
          </w:p>
        </w:tc>
        <w:tc>
          <w:tcPr>
            <w:tcW w:type="dxa" w:w="794"/>
          </w:tcPr>
          <w:p>
            <w:r/>
            <w:r>
              <w:rPr>
                <w:sz w:val="19"/>
              </w:rPr>
              <w:t>9</w:t>
            </w:r>
          </w:p>
        </w:tc>
        <w:tc>
          <w:tcPr>
            <w:tcW w:type="dxa" w:w="794"/>
          </w:tcPr>
          <w:p>
            <w:r/>
            <w:r>
              <w:rPr>
                <w:sz w:val="19"/>
              </w:rPr>
              <w:t>5</w:t>
            </w:r>
          </w:p>
        </w:tc>
        <w:tc>
          <w:tcPr>
            <w:tcW w:type="dxa" w:w="794"/>
          </w:tcPr>
          <w:p>
            <w:r/>
            <w:r>
              <w:rPr>
                <w:sz w:val="19"/>
              </w:rPr>
              <w:t>9</w:t>
            </w:r>
          </w:p>
        </w:tc>
        <w:tc>
          <w:tcPr>
            <w:tcW w:type="dxa" w:w="1361"/>
          </w:tcPr>
          <w:p>
            <w:r/>
            <w:r>
              <w:rPr>
                <w:sz w:val="19"/>
              </w:rPr>
              <w:t>0</w:t>
            </w:r>
          </w:p>
        </w:tc>
        <w:tc>
          <w:tcPr>
            <w:tcW w:type="dxa" w:w="1247"/>
          </w:tcPr>
          <w:p>
            <w:r/>
            <w:r>
              <w:rPr>
                <w:sz w:val="19"/>
              </w:rPr>
              <w:t>0</w:t>
            </w:r>
          </w:p>
        </w:tc>
        <w:tc>
          <w:tcPr>
            <w:tcW w:type="dxa" w:w="1134"/>
          </w:tcPr>
          <w:p>
            <w:r/>
            <w:r>
              <w:rPr>
                <w:sz w:val="19"/>
              </w:rPr>
              <w:t>Oui</w:t>
            </w:r>
          </w:p>
        </w:tc>
      </w:tr>
      <w:tr>
        <w:tc>
          <w:tcPr>
            <w:tcW w:type="dxa" w:w="850"/>
            <w:shd w:val="clear" w:fill="F6EBF1"/>
          </w:tcPr>
          <w:p>
            <w:r/>
            <w:r>
              <w:rPr>
                <w:sz w:val="19"/>
              </w:rPr>
              <w:t>D</w:t>
            </w:r>
          </w:p>
        </w:tc>
        <w:tc>
          <w:tcPr>
            <w:tcW w:type="dxa" w:w="907"/>
            <w:shd w:val="clear" w:fill="F6EBF1"/>
          </w:tcPr>
          <w:p>
            <w:r/>
            <w:r>
              <w:rPr>
                <w:sz w:val="19"/>
              </w:rPr>
              <w:t>7</w:t>
            </w:r>
          </w:p>
        </w:tc>
        <w:tc>
          <w:tcPr>
            <w:tcW w:type="dxa" w:w="794"/>
            <w:shd w:val="clear" w:fill="F6EBF1"/>
          </w:tcPr>
          <w:p>
            <w:r/>
            <w:r>
              <w:rPr>
                <w:sz w:val="19"/>
              </w:rPr>
              <w:t>9</w:t>
            </w:r>
          </w:p>
        </w:tc>
        <w:tc>
          <w:tcPr>
            <w:tcW w:type="dxa" w:w="794"/>
            <w:shd w:val="clear" w:fill="F6EBF1"/>
          </w:tcPr>
          <w:p>
            <w:r/>
            <w:r>
              <w:rPr>
                <w:sz w:val="19"/>
              </w:rPr>
              <w:t>16</w:t>
            </w:r>
          </w:p>
        </w:tc>
        <w:tc>
          <w:tcPr>
            <w:tcW w:type="dxa" w:w="794"/>
            <w:shd w:val="clear" w:fill="F6EBF1"/>
          </w:tcPr>
          <w:p>
            <w:r/>
            <w:r>
              <w:rPr>
                <w:sz w:val="19"/>
              </w:rPr>
              <w:t>9</w:t>
            </w:r>
          </w:p>
        </w:tc>
        <w:tc>
          <w:tcPr>
            <w:tcW w:type="dxa" w:w="794"/>
            <w:shd w:val="clear" w:fill="F6EBF1"/>
          </w:tcPr>
          <w:p>
            <w:r/>
            <w:r>
              <w:rPr>
                <w:sz w:val="19"/>
              </w:rPr>
              <w:t>16</w:t>
            </w:r>
          </w:p>
        </w:tc>
        <w:tc>
          <w:tcPr>
            <w:tcW w:type="dxa" w:w="1361"/>
            <w:shd w:val="clear" w:fill="F6EBF1"/>
          </w:tcPr>
          <w:p>
            <w:r/>
            <w:r>
              <w:rPr>
                <w:sz w:val="19"/>
              </w:rPr>
              <w:t>0</w:t>
            </w:r>
          </w:p>
        </w:tc>
        <w:tc>
          <w:tcPr>
            <w:tcW w:type="dxa" w:w="1247"/>
            <w:shd w:val="clear" w:fill="F6EBF1"/>
          </w:tcPr>
          <w:p>
            <w:r/>
            <w:r>
              <w:rPr>
                <w:sz w:val="19"/>
              </w:rPr>
              <w:t>0</w:t>
            </w:r>
          </w:p>
        </w:tc>
        <w:tc>
          <w:tcPr>
            <w:tcW w:type="dxa" w:w="1134"/>
            <w:shd w:val="clear" w:fill="F6EBF1"/>
          </w:tcPr>
          <w:p>
            <w:r/>
            <w:r>
              <w:rPr>
                <w:sz w:val="19"/>
              </w:rPr>
              <w:t>Oui</w:t>
            </w:r>
          </w:p>
        </w:tc>
      </w:tr>
      <w:tr>
        <w:tc>
          <w:tcPr>
            <w:tcW w:type="dxa" w:w="850"/>
          </w:tcPr>
          <w:p>
            <w:r/>
            <w:r>
              <w:rPr>
                <w:sz w:val="19"/>
              </w:rPr>
              <w:t>E</w:t>
            </w:r>
          </w:p>
        </w:tc>
        <w:tc>
          <w:tcPr>
            <w:tcW w:type="dxa" w:w="907"/>
          </w:tcPr>
          <w:p>
            <w:r/>
            <w:r>
              <w:rPr>
                <w:sz w:val="19"/>
              </w:rPr>
              <w:t>12</w:t>
            </w:r>
          </w:p>
        </w:tc>
        <w:tc>
          <w:tcPr>
            <w:tcW w:type="dxa" w:w="794"/>
          </w:tcPr>
          <w:p>
            <w:r/>
            <w:r>
              <w:rPr>
                <w:sz w:val="19"/>
              </w:rPr>
              <w:t>16</w:t>
            </w:r>
          </w:p>
        </w:tc>
        <w:tc>
          <w:tcPr>
            <w:tcW w:type="dxa" w:w="794"/>
          </w:tcPr>
          <w:p>
            <w:r/>
            <w:r>
              <w:rPr>
                <w:sz w:val="19"/>
              </w:rPr>
              <w:t>28</w:t>
            </w:r>
          </w:p>
        </w:tc>
        <w:tc>
          <w:tcPr>
            <w:tcW w:type="dxa" w:w="794"/>
          </w:tcPr>
          <w:p>
            <w:r/>
            <w:r>
              <w:rPr>
                <w:sz w:val="19"/>
              </w:rPr>
              <w:t>19</w:t>
            </w:r>
          </w:p>
        </w:tc>
        <w:tc>
          <w:tcPr>
            <w:tcW w:type="dxa" w:w="794"/>
          </w:tcPr>
          <w:p>
            <w:r/>
            <w:r>
              <w:rPr>
                <w:sz w:val="19"/>
              </w:rPr>
              <w:t>31</w:t>
            </w:r>
          </w:p>
        </w:tc>
        <w:tc>
          <w:tcPr>
            <w:tcW w:type="dxa" w:w="1361"/>
          </w:tcPr>
          <w:p>
            <w:r/>
            <w:r>
              <w:rPr>
                <w:sz w:val="19"/>
              </w:rPr>
              <w:t>3</w:t>
            </w:r>
          </w:p>
        </w:tc>
        <w:tc>
          <w:tcPr>
            <w:tcW w:type="dxa" w:w="1247"/>
          </w:tcPr>
          <w:p>
            <w:r/>
            <w:r>
              <w:rPr>
                <w:sz w:val="19"/>
              </w:rPr>
              <w:t>0</w:t>
            </w:r>
          </w:p>
        </w:tc>
        <w:tc>
          <w:tcPr>
            <w:tcW w:type="dxa" w:w="1134"/>
          </w:tcPr>
          <w:p>
            <w:r/>
            <w:r>
              <w:rPr>
                <w:sz w:val="19"/>
              </w:rPr>
              <w:t>Non</w:t>
            </w:r>
          </w:p>
        </w:tc>
      </w:tr>
      <w:tr>
        <w:tc>
          <w:tcPr>
            <w:tcW w:type="dxa" w:w="850"/>
            <w:shd w:val="clear" w:fill="F6EBF1"/>
          </w:tcPr>
          <w:p>
            <w:r/>
            <w:r>
              <w:rPr>
                <w:sz w:val="19"/>
              </w:rPr>
              <w:t>F</w:t>
            </w:r>
          </w:p>
        </w:tc>
        <w:tc>
          <w:tcPr>
            <w:tcW w:type="dxa" w:w="907"/>
            <w:shd w:val="clear" w:fill="F6EBF1"/>
          </w:tcPr>
          <w:p>
            <w:r/>
            <w:r>
              <w:rPr>
                <w:sz w:val="19"/>
              </w:rPr>
              <w:t>15</w:t>
            </w:r>
          </w:p>
        </w:tc>
        <w:tc>
          <w:tcPr>
            <w:tcW w:type="dxa" w:w="794"/>
            <w:shd w:val="clear" w:fill="F6EBF1"/>
          </w:tcPr>
          <w:p>
            <w:r/>
            <w:r>
              <w:rPr>
                <w:sz w:val="19"/>
              </w:rPr>
              <w:t>16</w:t>
            </w:r>
          </w:p>
        </w:tc>
        <w:tc>
          <w:tcPr>
            <w:tcW w:type="dxa" w:w="794"/>
            <w:shd w:val="clear" w:fill="F6EBF1"/>
          </w:tcPr>
          <w:p>
            <w:r/>
            <w:r>
              <w:rPr>
                <w:sz w:val="19"/>
              </w:rPr>
              <w:t>31</w:t>
            </w:r>
          </w:p>
        </w:tc>
        <w:tc>
          <w:tcPr>
            <w:tcW w:type="dxa" w:w="794"/>
            <w:shd w:val="clear" w:fill="F6EBF1"/>
          </w:tcPr>
          <w:p>
            <w:r/>
            <w:r>
              <w:rPr>
                <w:sz w:val="19"/>
              </w:rPr>
              <w:t>16</w:t>
            </w:r>
          </w:p>
        </w:tc>
        <w:tc>
          <w:tcPr>
            <w:tcW w:type="dxa" w:w="794"/>
            <w:shd w:val="clear" w:fill="F6EBF1"/>
          </w:tcPr>
          <w:p>
            <w:r/>
            <w:r>
              <w:rPr>
                <w:sz w:val="19"/>
              </w:rPr>
              <w:t>31</w:t>
            </w:r>
          </w:p>
        </w:tc>
        <w:tc>
          <w:tcPr>
            <w:tcW w:type="dxa" w:w="1361"/>
            <w:shd w:val="clear" w:fill="F6EBF1"/>
          </w:tcPr>
          <w:p>
            <w:r/>
            <w:r>
              <w:rPr>
                <w:sz w:val="19"/>
              </w:rPr>
              <w:t>0</w:t>
            </w:r>
          </w:p>
        </w:tc>
        <w:tc>
          <w:tcPr>
            <w:tcW w:type="dxa" w:w="1247"/>
            <w:shd w:val="clear" w:fill="F6EBF1"/>
          </w:tcPr>
          <w:p>
            <w:r/>
            <w:r>
              <w:rPr>
                <w:sz w:val="19"/>
              </w:rPr>
              <w:t>0</w:t>
            </w:r>
          </w:p>
        </w:tc>
        <w:tc>
          <w:tcPr>
            <w:tcW w:type="dxa" w:w="1134"/>
            <w:shd w:val="clear" w:fill="F6EBF1"/>
          </w:tcPr>
          <w:p>
            <w:r/>
            <w:r>
              <w:rPr>
                <w:sz w:val="19"/>
              </w:rPr>
              <w:t>Oui</w:t>
            </w:r>
          </w:p>
        </w:tc>
      </w:tr>
      <w:tr>
        <w:tc>
          <w:tcPr>
            <w:tcW w:type="dxa" w:w="850"/>
          </w:tcPr>
          <w:p>
            <w:r/>
            <w:r>
              <w:rPr>
                <w:sz w:val="19"/>
              </w:rPr>
              <w:t>G</w:t>
            </w:r>
          </w:p>
        </w:tc>
        <w:tc>
          <w:tcPr>
            <w:tcW w:type="dxa" w:w="907"/>
          </w:tcPr>
          <w:p>
            <w:r/>
            <w:r>
              <w:rPr>
                <w:sz w:val="19"/>
              </w:rPr>
              <w:t>6</w:t>
            </w:r>
          </w:p>
        </w:tc>
        <w:tc>
          <w:tcPr>
            <w:tcW w:type="dxa" w:w="794"/>
          </w:tcPr>
          <w:p>
            <w:r/>
            <w:r>
              <w:rPr>
                <w:sz w:val="19"/>
              </w:rPr>
              <w:t>31</w:t>
            </w:r>
          </w:p>
        </w:tc>
        <w:tc>
          <w:tcPr>
            <w:tcW w:type="dxa" w:w="794"/>
          </w:tcPr>
          <w:p>
            <w:r/>
            <w:r>
              <w:rPr>
                <w:sz w:val="19"/>
              </w:rPr>
              <w:t>37</w:t>
            </w:r>
          </w:p>
        </w:tc>
        <w:tc>
          <w:tcPr>
            <w:tcW w:type="dxa" w:w="794"/>
          </w:tcPr>
          <w:p>
            <w:r/>
            <w:r>
              <w:rPr>
                <w:sz w:val="19"/>
              </w:rPr>
              <w:t>31</w:t>
            </w:r>
          </w:p>
        </w:tc>
        <w:tc>
          <w:tcPr>
            <w:tcW w:type="dxa" w:w="794"/>
          </w:tcPr>
          <w:p>
            <w:r/>
            <w:r>
              <w:rPr>
                <w:sz w:val="19"/>
              </w:rPr>
              <w:t>37</w:t>
            </w:r>
          </w:p>
        </w:tc>
        <w:tc>
          <w:tcPr>
            <w:tcW w:type="dxa" w:w="1361"/>
          </w:tcPr>
          <w:p>
            <w:r/>
            <w:r>
              <w:rPr>
                <w:sz w:val="19"/>
              </w:rPr>
              <w:t>0</w:t>
            </w:r>
          </w:p>
        </w:tc>
        <w:tc>
          <w:tcPr>
            <w:tcW w:type="dxa" w:w="1247"/>
          </w:tcPr>
          <w:p>
            <w:r/>
            <w:r>
              <w:rPr>
                <w:sz w:val="19"/>
              </w:rPr>
              <w:t>0</w:t>
            </w:r>
          </w:p>
        </w:tc>
        <w:tc>
          <w:tcPr>
            <w:tcW w:type="dxa" w:w="1134"/>
          </w:tcPr>
          <w:p>
            <w:r/>
            <w:r>
              <w:rPr>
                <w:sz w:val="19"/>
              </w:rPr>
              <w:t>Oui</w:t>
            </w:r>
          </w:p>
        </w:tc>
      </w:tr>
      <w:tr>
        <w:tc>
          <w:tcPr>
            <w:tcW w:type="dxa" w:w="850"/>
            <w:shd w:val="clear" w:fill="F6EBF1"/>
          </w:tcPr>
          <w:p>
            <w:r/>
            <w:r>
              <w:rPr>
                <w:sz w:val="19"/>
              </w:rPr>
              <w:t>H</w:t>
            </w:r>
          </w:p>
        </w:tc>
        <w:tc>
          <w:tcPr>
            <w:tcW w:type="dxa" w:w="907"/>
            <w:shd w:val="clear" w:fill="F6EBF1"/>
          </w:tcPr>
          <w:p>
            <w:r/>
            <w:r>
              <w:rPr>
                <w:sz w:val="19"/>
              </w:rPr>
              <w:t>6</w:t>
            </w:r>
          </w:p>
        </w:tc>
        <w:tc>
          <w:tcPr>
            <w:tcW w:type="dxa" w:w="794"/>
            <w:shd w:val="clear" w:fill="F6EBF1"/>
          </w:tcPr>
          <w:p>
            <w:r/>
            <w:r>
              <w:rPr>
                <w:sz w:val="19"/>
              </w:rPr>
              <w:t>37</w:t>
            </w:r>
          </w:p>
        </w:tc>
        <w:tc>
          <w:tcPr>
            <w:tcW w:type="dxa" w:w="794"/>
            <w:shd w:val="clear" w:fill="F6EBF1"/>
          </w:tcPr>
          <w:p>
            <w:r/>
            <w:r>
              <w:rPr>
                <w:sz w:val="19"/>
              </w:rPr>
              <w:t>43</w:t>
            </w:r>
          </w:p>
        </w:tc>
        <w:tc>
          <w:tcPr>
            <w:tcW w:type="dxa" w:w="794"/>
            <w:shd w:val="clear" w:fill="F6EBF1"/>
          </w:tcPr>
          <w:p>
            <w:r/>
            <w:r>
              <w:rPr>
                <w:sz w:val="19"/>
              </w:rPr>
              <w:t>37</w:t>
            </w:r>
          </w:p>
        </w:tc>
        <w:tc>
          <w:tcPr>
            <w:tcW w:type="dxa" w:w="794"/>
            <w:shd w:val="clear" w:fill="F6EBF1"/>
          </w:tcPr>
          <w:p>
            <w:r/>
            <w:r>
              <w:rPr>
                <w:sz w:val="19"/>
              </w:rPr>
              <w:t>43</w:t>
            </w:r>
          </w:p>
        </w:tc>
        <w:tc>
          <w:tcPr>
            <w:tcW w:type="dxa" w:w="1361"/>
            <w:shd w:val="clear" w:fill="F6EBF1"/>
          </w:tcPr>
          <w:p>
            <w:r/>
            <w:r>
              <w:rPr>
                <w:sz w:val="19"/>
              </w:rPr>
              <w:t>0</w:t>
            </w:r>
          </w:p>
        </w:tc>
        <w:tc>
          <w:tcPr>
            <w:tcW w:type="dxa" w:w="1247"/>
            <w:shd w:val="clear" w:fill="F6EBF1"/>
          </w:tcPr>
          <w:p>
            <w:r/>
            <w:r>
              <w:rPr>
                <w:sz w:val="19"/>
              </w:rPr>
              <w:t>0</w:t>
            </w:r>
          </w:p>
        </w:tc>
        <w:tc>
          <w:tcPr>
            <w:tcW w:type="dxa" w:w="1134"/>
            <w:shd w:val="clear" w:fill="F6EBF1"/>
          </w:tcPr>
          <w:p>
            <w:r/>
            <w:r>
              <w:rPr>
                <w:sz w:val="19"/>
              </w:rPr>
              <w:t>Oui</w:t>
            </w:r>
          </w:p>
        </w:tc>
      </w:tr>
      <w:tr>
        <w:tc>
          <w:tcPr>
            <w:tcW w:type="dxa" w:w="850"/>
          </w:tcPr>
          <w:p>
            <w:r/>
            <w:r>
              <w:rPr>
                <w:sz w:val="19"/>
              </w:rPr>
              <w:t>I</w:t>
            </w:r>
          </w:p>
        </w:tc>
        <w:tc>
          <w:tcPr>
            <w:tcW w:type="dxa" w:w="907"/>
          </w:tcPr>
          <w:p>
            <w:r/>
            <w:r>
              <w:rPr>
                <w:sz w:val="19"/>
              </w:rPr>
              <w:t>4</w:t>
            </w:r>
          </w:p>
        </w:tc>
        <w:tc>
          <w:tcPr>
            <w:tcW w:type="dxa" w:w="794"/>
          </w:tcPr>
          <w:p>
            <w:r/>
            <w:r>
              <w:rPr>
                <w:sz w:val="19"/>
              </w:rPr>
              <w:t>43</w:t>
            </w:r>
          </w:p>
        </w:tc>
        <w:tc>
          <w:tcPr>
            <w:tcW w:type="dxa" w:w="794"/>
          </w:tcPr>
          <w:p>
            <w:r/>
            <w:r>
              <w:rPr>
                <w:sz w:val="19"/>
              </w:rPr>
              <w:t>47</w:t>
            </w:r>
          </w:p>
        </w:tc>
        <w:tc>
          <w:tcPr>
            <w:tcW w:type="dxa" w:w="794"/>
          </w:tcPr>
          <w:p>
            <w:r/>
            <w:r>
              <w:rPr>
                <w:sz w:val="19"/>
              </w:rPr>
              <w:t>43</w:t>
            </w:r>
          </w:p>
        </w:tc>
        <w:tc>
          <w:tcPr>
            <w:tcW w:type="dxa" w:w="794"/>
          </w:tcPr>
          <w:p>
            <w:r/>
            <w:r>
              <w:rPr>
                <w:sz w:val="19"/>
              </w:rPr>
              <w:t>47</w:t>
            </w:r>
          </w:p>
        </w:tc>
        <w:tc>
          <w:tcPr>
            <w:tcW w:type="dxa" w:w="1361"/>
          </w:tcPr>
          <w:p>
            <w:r/>
            <w:r>
              <w:rPr>
                <w:sz w:val="19"/>
              </w:rPr>
              <w:t>0</w:t>
            </w:r>
          </w:p>
        </w:tc>
        <w:tc>
          <w:tcPr>
            <w:tcW w:type="dxa" w:w="1247"/>
          </w:tcPr>
          <w:p>
            <w:r/>
            <w:r>
              <w:rPr>
                <w:sz w:val="19"/>
              </w:rPr>
              <w:t>0</w:t>
            </w:r>
          </w:p>
        </w:tc>
        <w:tc>
          <w:tcPr>
            <w:tcW w:type="dxa" w:w="1134"/>
          </w:tcPr>
          <w:p>
            <w:r/>
            <w:r>
              <w:rPr>
                <w:sz w:val="19"/>
              </w:rPr>
              <w:t>Oui</w:t>
            </w:r>
          </w:p>
        </w:tc>
      </w:tr>
      <w:tr>
        <w:tc>
          <w:tcPr>
            <w:tcW w:type="dxa" w:w="850"/>
            <w:shd w:val="clear" w:fill="F6EBF1"/>
          </w:tcPr>
          <w:p>
            <w:r/>
            <w:r>
              <w:rPr>
                <w:sz w:val="19"/>
              </w:rPr>
              <w:t>J</w:t>
            </w:r>
          </w:p>
        </w:tc>
        <w:tc>
          <w:tcPr>
            <w:tcW w:type="dxa" w:w="907"/>
            <w:shd w:val="clear" w:fill="F6EBF1"/>
          </w:tcPr>
          <w:p>
            <w:r/>
            <w:r>
              <w:rPr>
                <w:sz w:val="19"/>
              </w:rPr>
              <w:t>8</w:t>
            </w:r>
          </w:p>
        </w:tc>
        <w:tc>
          <w:tcPr>
            <w:tcW w:type="dxa" w:w="794"/>
            <w:shd w:val="clear" w:fill="F6EBF1"/>
          </w:tcPr>
          <w:p>
            <w:r/>
            <w:r>
              <w:rPr>
                <w:sz w:val="19"/>
              </w:rPr>
              <w:t>28</w:t>
            </w:r>
          </w:p>
        </w:tc>
        <w:tc>
          <w:tcPr>
            <w:tcW w:type="dxa" w:w="794"/>
            <w:shd w:val="clear" w:fill="F6EBF1"/>
          </w:tcPr>
          <w:p>
            <w:r/>
            <w:r>
              <w:rPr>
                <w:sz w:val="19"/>
              </w:rPr>
              <w:t>36</w:t>
            </w:r>
          </w:p>
        </w:tc>
        <w:tc>
          <w:tcPr>
            <w:tcW w:type="dxa" w:w="794"/>
            <w:shd w:val="clear" w:fill="F6EBF1"/>
          </w:tcPr>
          <w:p>
            <w:r/>
            <w:r>
              <w:rPr>
                <w:sz w:val="19"/>
              </w:rPr>
              <w:t>39</w:t>
            </w:r>
          </w:p>
        </w:tc>
        <w:tc>
          <w:tcPr>
            <w:tcW w:type="dxa" w:w="794"/>
            <w:shd w:val="clear" w:fill="F6EBF1"/>
          </w:tcPr>
          <w:p>
            <w:r/>
            <w:r>
              <w:rPr>
                <w:sz w:val="19"/>
              </w:rPr>
              <w:t>47</w:t>
            </w:r>
          </w:p>
        </w:tc>
        <w:tc>
          <w:tcPr>
            <w:tcW w:type="dxa" w:w="1361"/>
            <w:shd w:val="clear" w:fill="F6EBF1"/>
          </w:tcPr>
          <w:p>
            <w:r/>
            <w:r>
              <w:rPr>
                <w:sz w:val="19"/>
              </w:rPr>
              <w:t>11</w:t>
            </w:r>
          </w:p>
        </w:tc>
        <w:tc>
          <w:tcPr>
            <w:tcW w:type="dxa" w:w="1247"/>
            <w:shd w:val="clear" w:fill="F6EBF1"/>
          </w:tcPr>
          <w:p>
            <w:r/>
            <w:r>
              <w:rPr>
                <w:sz w:val="19"/>
              </w:rPr>
              <w:t>11</w:t>
            </w:r>
          </w:p>
        </w:tc>
        <w:tc>
          <w:tcPr>
            <w:tcW w:type="dxa" w:w="1134"/>
            <w:shd w:val="clear" w:fill="F6EBF1"/>
          </w:tcPr>
          <w:p>
            <w:r/>
            <w:r>
              <w:rPr>
                <w:sz w:val="19"/>
              </w:rPr>
              <w:t>Non</w:t>
            </w:r>
          </w:p>
        </w:tc>
      </w:tr>
      <w:tr>
        <w:tc>
          <w:tcPr>
            <w:tcW w:type="dxa" w:w="850"/>
          </w:tcPr>
          <w:p>
            <w:r/>
            <w:r>
              <w:rPr>
                <w:sz w:val="19"/>
              </w:rPr>
              <w:t>K</w:t>
            </w:r>
          </w:p>
        </w:tc>
        <w:tc>
          <w:tcPr>
            <w:tcW w:type="dxa" w:w="907"/>
          </w:tcPr>
          <w:p>
            <w:r/>
            <w:r>
              <w:rPr>
                <w:sz w:val="19"/>
              </w:rPr>
              <w:t>5</w:t>
            </w:r>
          </w:p>
        </w:tc>
        <w:tc>
          <w:tcPr>
            <w:tcW w:type="dxa" w:w="794"/>
          </w:tcPr>
          <w:p>
            <w:r/>
            <w:r>
              <w:rPr>
                <w:sz w:val="19"/>
              </w:rPr>
              <w:t>47</w:t>
            </w:r>
          </w:p>
        </w:tc>
        <w:tc>
          <w:tcPr>
            <w:tcW w:type="dxa" w:w="794"/>
          </w:tcPr>
          <w:p>
            <w:r/>
            <w:r>
              <w:rPr>
                <w:sz w:val="19"/>
              </w:rPr>
              <w:t>52</w:t>
            </w:r>
          </w:p>
        </w:tc>
        <w:tc>
          <w:tcPr>
            <w:tcW w:type="dxa" w:w="794"/>
          </w:tcPr>
          <w:p>
            <w:r/>
            <w:r>
              <w:rPr>
                <w:sz w:val="19"/>
              </w:rPr>
              <w:t>47</w:t>
            </w:r>
          </w:p>
        </w:tc>
        <w:tc>
          <w:tcPr>
            <w:tcW w:type="dxa" w:w="794"/>
          </w:tcPr>
          <w:p>
            <w:r/>
            <w:r>
              <w:rPr>
                <w:sz w:val="19"/>
              </w:rPr>
              <w:t>52</w:t>
            </w:r>
          </w:p>
        </w:tc>
        <w:tc>
          <w:tcPr>
            <w:tcW w:type="dxa" w:w="1361"/>
          </w:tcPr>
          <w:p>
            <w:r/>
            <w:r>
              <w:rPr>
                <w:sz w:val="19"/>
              </w:rPr>
              <w:t>0</w:t>
            </w:r>
          </w:p>
        </w:tc>
        <w:tc>
          <w:tcPr>
            <w:tcW w:type="dxa" w:w="1247"/>
          </w:tcPr>
          <w:p>
            <w:r/>
            <w:r>
              <w:rPr>
                <w:sz w:val="19"/>
              </w:rPr>
              <w:t>0</w:t>
            </w:r>
          </w:p>
        </w:tc>
        <w:tc>
          <w:tcPr>
            <w:tcW w:type="dxa" w:w="1134"/>
          </w:tcPr>
          <w:p>
            <w:r/>
            <w:r>
              <w:rPr>
                <w:sz w:val="19"/>
              </w:rPr>
              <w:t>Oui</w:t>
            </w:r>
          </w:p>
        </w:tc>
      </w:tr>
    </w:tbl>
    <w:p/>
    <w:p>
      <w:pPr>
        <w:jc w:val="center"/>
      </w:pPr>
      <w:r>
        <w:rPr>
          <w:i/>
          <w:color w:val="C0567E"/>
          <w:sz w:val="18"/>
        </w:rPr>
        <w:t>Tableau 3.2 — Dates, marges totales et marges libres (en jours ouvrés)</w:t>
      </w:r>
    </w:p>
    <w:p>
      <w:pPr>
        <w:jc w:val="both"/>
      </w:pPr>
      <w:r>
        <w:rPr>
          <w:b w:val="0"/>
          <w:i w:val="0"/>
        </w:rPr>
        <w:t>Lecture : la marge totale est le retard maximal admissible sans décaler la fin du projet (MT = LS − ES) ; la marge libre est le retard admissible sans décaler le début au plus tôt d'aucun successeur. L'étude de marché (B) dispose de 24 jours de marge totale : elle peut être lissée en parallèle du développement. La modélisation (E) ne dispose que de 3 jours de marge — sa marge libre nulle indique que tout retard consomme la marge de la documentation (J).</w:t>
      </w:r>
    </w:p>
    <w:p>
      <w:pPr>
        <w:pStyle w:val="Heading2"/>
      </w:pPr>
      <w:r>
        <w:t>3.4. Diagramme de Gantt et jalons</w:t>
      </w:r>
    </w:p>
    <w:p>
      <w:pPr>
        <w:jc w:val="center"/>
      </w:pPr>
      <w:r>
        <w:drawing>
          <wp:inline xmlns:a="http://schemas.openxmlformats.org/drawingml/2006/main" xmlns:pic="http://schemas.openxmlformats.org/drawingml/2006/picture">
            <wp:extent cx="5580000" cy="2668696"/>
            <wp:docPr id="11" name="Picture 11"/>
            <wp:cNvGraphicFramePr>
              <a:graphicFrameLocks noChangeAspect="1"/>
            </wp:cNvGraphicFramePr>
            <a:graphic>
              <a:graphicData uri="http://schemas.openxmlformats.org/drawingml/2006/picture">
                <pic:pic>
                  <pic:nvPicPr>
                    <pic:cNvPr id="0" name="fig10_gantt.png"/>
                    <pic:cNvPicPr/>
                  </pic:nvPicPr>
                  <pic:blipFill>
                    <a:blip r:embed="rId20"/>
                    <a:stretch>
                      <a:fillRect/>
                    </a:stretch>
                  </pic:blipFill>
                  <pic:spPr>
                    <a:xfrm>
                      <a:off x="0" y="0"/>
                      <a:ext cx="5580000" cy="2668696"/>
                    </a:xfrm>
                    <a:prstGeom prst="rect"/>
                  </pic:spPr>
                </pic:pic>
              </a:graphicData>
            </a:graphic>
          </wp:inline>
        </w:drawing>
      </w:r>
    </w:p>
    <w:p>
      <w:pPr>
        <w:jc w:val="center"/>
      </w:pPr>
      <w:r>
        <w:rPr>
          <w:i/>
          <w:color w:val="C0567E"/>
          <w:sz w:val="18"/>
        </w:rPr>
        <w:t>Figure 3.2 — Diagramme de Gantt avec chemin critique, marges et jalons</w:t>
      </w:r>
    </w:p>
    <w:tbl>
      <w:tblPr>
        <w:tblStyle w:val="TableGrid"/>
        <w:tblW w:type="auto" w:w="0"/>
        <w:jc w:val="center"/>
        <w:tblLook w:firstColumn="1" w:firstRow="1" w:lastColumn="0" w:lastRow="0" w:noHBand="0" w:noVBand="1" w:val="04A0"/>
      </w:tblPr>
      <w:tblGrid>
        <w:gridCol w:w="3099"/>
        <w:gridCol w:w="3099"/>
        <w:gridCol w:w="3099"/>
      </w:tblGrid>
      <w:tr>
        <w:tc>
          <w:tcPr>
            <w:tcW w:type="dxa" w:w="2608"/>
            <w:shd w:val="clear" w:fill="7B2D62"/>
          </w:tcPr>
          <w:p>
            <w:r/>
            <w:r>
              <w:rPr>
                <w:b/>
                <w:color w:val="FFFFFF"/>
                <w:sz w:val="19"/>
              </w:rPr>
              <w:t>Jalon</w:t>
            </w:r>
          </w:p>
        </w:tc>
        <w:tc>
          <w:tcPr>
            <w:tcW w:type="dxa" w:w="2381"/>
            <w:shd w:val="clear" w:fill="7B2D62"/>
          </w:tcPr>
          <w:p>
            <w:r/>
            <w:r>
              <w:rPr>
                <w:b/>
                <w:color w:val="FFFFFF"/>
                <w:sz w:val="19"/>
              </w:rPr>
              <w:t>Date (jour ouvré)</w:t>
            </w:r>
          </w:p>
        </w:tc>
        <w:tc>
          <w:tcPr>
            <w:tcW w:type="dxa" w:w="3969"/>
            <w:shd w:val="clear" w:fill="7B2D62"/>
          </w:tcPr>
          <w:p>
            <w:r/>
            <w:r>
              <w:rPr>
                <w:b/>
                <w:color w:val="FFFFFF"/>
                <w:sz w:val="19"/>
              </w:rPr>
              <w:t>Livrable associé</w:t>
            </w:r>
          </w:p>
        </w:tc>
      </w:tr>
      <w:tr>
        <w:tc>
          <w:tcPr>
            <w:tcW w:type="dxa" w:w="2608"/>
          </w:tcPr>
          <w:p>
            <w:r/>
            <w:r>
              <w:rPr>
                <w:sz w:val="19"/>
              </w:rPr>
              <w:t>J1 — Cadrage validé</w:t>
            </w:r>
          </w:p>
        </w:tc>
        <w:tc>
          <w:tcPr>
            <w:tcW w:type="dxa" w:w="2381"/>
          </w:tcPr>
          <w:p>
            <w:r/>
            <w:r>
              <w:rPr>
                <w:sz w:val="19"/>
              </w:rPr>
              <w:t>J+5 (13 févr. 2026)</w:t>
            </w:r>
          </w:p>
        </w:tc>
        <w:tc>
          <w:tcPr>
            <w:tcW w:type="dxa" w:w="3969"/>
          </w:tcPr>
          <w:p>
            <w:r/>
            <w:r>
              <w:rPr>
                <w:sz w:val="19"/>
              </w:rPr>
              <w:t>Note de cadrage, problématique validée</w:t>
            </w:r>
          </w:p>
        </w:tc>
      </w:tr>
      <w:tr>
        <w:tc>
          <w:tcPr>
            <w:tcW w:type="dxa" w:w="2608"/>
            <w:shd w:val="clear" w:fill="F6EBF1"/>
          </w:tcPr>
          <w:p>
            <w:r/>
            <w:r>
              <w:rPr>
                <w:sz w:val="19"/>
              </w:rPr>
              <w:t>J2 — Données prêtes</w:t>
            </w:r>
          </w:p>
        </w:tc>
        <w:tc>
          <w:tcPr>
            <w:tcW w:type="dxa" w:w="2381"/>
            <w:shd w:val="clear" w:fill="F6EBF1"/>
          </w:tcPr>
          <w:p>
            <w:r/>
            <w:r>
              <w:rPr>
                <w:sz w:val="19"/>
              </w:rPr>
              <w:t>J+16 (3 mars 2026)</w:t>
            </w:r>
          </w:p>
        </w:tc>
        <w:tc>
          <w:tcPr>
            <w:tcW w:type="dxa" w:w="3969"/>
            <w:shd w:val="clear" w:fill="F6EBF1"/>
          </w:tcPr>
          <w:p>
            <w:r/>
            <w:r>
              <w:rPr>
                <w:sz w:val="19"/>
              </w:rPr>
              <w:t>Dataset nettoyé, EDA documentée</w:t>
            </w:r>
          </w:p>
        </w:tc>
      </w:tr>
      <w:tr>
        <w:tc>
          <w:tcPr>
            <w:tcW w:type="dxa" w:w="2608"/>
          </w:tcPr>
          <w:p>
            <w:r/>
            <w:r>
              <w:rPr>
                <w:sz w:val="19"/>
              </w:rPr>
              <w:t>J3 — App et modèle prêts</w:t>
            </w:r>
          </w:p>
        </w:tc>
        <w:tc>
          <w:tcPr>
            <w:tcW w:type="dxa" w:w="2381"/>
          </w:tcPr>
          <w:p>
            <w:r/>
            <w:r>
              <w:rPr>
                <w:sz w:val="19"/>
              </w:rPr>
              <w:t>J+31 (24 mars 2026)</w:t>
            </w:r>
          </w:p>
        </w:tc>
        <w:tc>
          <w:tcPr>
            <w:tcW w:type="dxa" w:w="3969"/>
          </w:tcPr>
          <w:p>
            <w:r/>
            <w:r>
              <w:rPr>
                <w:sz w:val="19"/>
              </w:rPr>
              <w:t>Modèles évalués, application web fonctionnelle</w:t>
            </w:r>
          </w:p>
        </w:tc>
      </w:tr>
      <w:tr>
        <w:tc>
          <w:tcPr>
            <w:tcW w:type="dxa" w:w="2608"/>
            <w:shd w:val="clear" w:fill="F6EBF1"/>
          </w:tcPr>
          <w:p>
            <w:r/>
            <w:r>
              <w:rPr>
                <w:sz w:val="19"/>
              </w:rPr>
              <w:t>J4 — Recette validée</w:t>
            </w:r>
          </w:p>
        </w:tc>
        <w:tc>
          <w:tcPr>
            <w:tcW w:type="dxa" w:w="2381"/>
            <w:shd w:val="clear" w:fill="F6EBF1"/>
          </w:tcPr>
          <w:p>
            <w:r/>
            <w:r>
              <w:rPr>
                <w:sz w:val="19"/>
              </w:rPr>
              <w:t>J+43 (9 avr. 2026)</w:t>
            </w:r>
          </w:p>
        </w:tc>
        <w:tc>
          <w:tcPr>
            <w:tcW w:type="dxa" w:w="3969"/>
            <w:shd w:val="clear" w:fill="F6EBF1"/>
          </w:tcPr>
          <w:p>
            <w:r/>
            <w:r>
              <w:rPr>
                <w:sz w:val="19"/>
              </w:rPr>
              <w:t>Cahier de tests, audit d'équité</w:t>
            </w:r>
          </w:p>
        </w:tc>
      </w:tr>
      <w:tr>
        <w:tc>
          <w:tcPr>
            <w:tcW w:type="dxa" w:w="2608"/>
          </w:tcPr>
          <w:p>
            <w:r/>
            <w:r>
              <w:rPr>
                <w:sz w:val="19"/>
              </w:rPr>
              <w:t>J5 — Mise en production</w:t>
            </w:r>
          </w:p>
        </w:tc>
        <w:tc>
          <w:tcPr>
            <w:tcW w:type="dxa" w:w="2381"/>
          </w:tcPr>
          <w:p>
            <w:r/>
            <w:r>
              <w:rPr>
                <w:sz w:val="19"/>
              </w:rPr>
              <w:t>J+47 (15 avr. 2026)</w:t>
            </w:r>
          </w:p>
        </w:tc>
        <w:tc>
          <w:tcPr>
            <w:tcW w:type="dxa" w:w="3969"/>
          </w:tcPr>
          <w:p>
            <w:r/>
            <w:r>
              <w:rPr>
                <w:sz w:val="19"/>
              </w:rPr>
              <w:t>Plateforme déployée</w:t>
            </w:r>
          </w:p>
        </w:tc>
      </w:tr>
      <w:tr>
        <w:tc>
          <w:tcPr>
            <w:tcW w:type="dxa" w:w="2608"/>
            <w:shd w:val="clear" w:fill="F6EBF1"/>
          </w:tcPr>
          <w:p>
            <w:r/>
            <w:r>
              <w:rPr>
                <w:sz w:val="19"/>
              </w:rPr>
              <w:t>J6 — Soutenance</w:t>
            </w:r>
          </w:p>
        </w:tc>
        <w:tc>
          <w:tcPr>
            <w:tcW w:type="dxa" w:w="2381"/>
            <w:shd w:val="clear" w:fill="F6EBF1"/>
          </w:tcPr>
          <w:p>
            <w:r/>
            <w:r>
              <w:rPr>
                <w:sz w:val="19"/>
              </w:rPr>
              <w:t>J+52 (22 avr. 2026)</w:t>
            </w:r>
          </w:p>
        </w:tc>
        <w:tc>
          <w:tcPr>
            <w:tcW w:type="dxa" w:w="3969"/>
            <w:shd w:val="clear" w:fill="F6EBF1"/>
          </w:tcPr>
          <w:p>
            <w:r/>
            <w:r>
              <w:rPr>
                <w:sz w:val="19"/>
              </w:rPr>
              <w:t>Rapport final, présentation</w:t>
            </w:r>
          </w:p>
        </w:tc>
      </w:tr>
    </w:tbl>
    <w:p/>
    <w:p>
      <w:pPr>
        <w:jc w:val="center"/>
      </w:pPr>
      <w:r>
        <w:rPr>
          <w:i/>
          <w:color w:val="C0567E"/>
          <w:sz w:val="18"/>
        </w:rPr>
        <w:t>Tableau 3.3 — Jalons du projet (démarrage : 9 février 2026)</w:t>
      </w:r>
    </w:p>
    <w:p>
      <w:r>
        <w:br w:type="page"/>
      </w:r>
    </w:p>
    <w:p>
      <w:pPr>
        <w:pStyle w:val="Heading1"/>
      </w:pPr>
      <w:r>
        <w:t>Conclusion générale</w:t>
      </w:r>
    </w:p>
    <w:p>
      <w:pPr>
        <w:jc w:val="both"/>
      </w:pPr>
      <w:r>
        <w:rPr>
          <w:b w:val="0"/>
          <w:i w:val="0"/>
        </w:rPr>
        <w:t>Ce projet interdisciplinaire a permis de concevoir DermaSense de bout en bout, en démontrant la cohérence entre les trois volets exigés. Sur le plan technique, l'analyse de 1 472 produits cosmétiques a confirmé qu'une recommandation pilotée par la composition est pertinente — le prix ne prédit pas la qualité perçue — et trois modèles de Machine Learning ont été comparés sur deux tâches : l'étiquetage automatique de la compatibilité « peau sensible » à partir des ingrédients et la prédiction de la satisfaction client intégrant le sexe et l'âge, complétés par un module NLP de similarité d'ingrédients et un assistant conversationnel intégrés à l'application. L'analyse par sous-groupes a montré des performances équilibrées entre femmes et hommes et entre tranches d'âge, tout en identifiant les biais de représentation à surveiller en production. Sur le plan entrepreneurial, les analyses PESTEL, SWOT et Porter établissent l'attractivité du marché marocain pour un premier entrant, et l'étude financière, fondée sur un budget raisonnable de 60 000 MAD, démontre la viabilité du modèle freemium : seuil de rentabilité atteint au dixième mois et investissement récupéré en environ 17 mois. Sur le plan de la gestion de projet, le cycle de vie PMBOK et la méthodologie hybride prédictif/agile retenue, le découpage en onze tâches, le réseau PERT (chemin critique de 52 jours ouvrés) et le diagramme de Gantt fournissent un pilotage réaliste du développement.</w:t>
      </w:r>
    </w:p>
    <w:p>
      <w:pPr>
        <w:jc w:val="both"/>
      </w:pPr>
      <w:r>
        <w:rPr>
          <w:b w:val="0"/>
          <w:i w:val="0"/>
        </w:rPr>
        <w:t>Les perspectives sont triples : remplacer progressivement les données simulées par les retours réels des utilisateurs (boucle d'apprentissage continue), étendre le catalogue aux marques marocaines et aux produits naturels locaux, et enrichir le diagnostic par la vision par ordinateur (analyse de photos de peau), ouvrant la voie à un véritable dermato-conseiller digital de référence pour le marché marocain puis régional.</w:t>
      </w:r>
    </w:p>
    <w:p>
      <w:r>
        <w:br w:type="page"/>
      </w:r>
    </w:p>
    <w:p>
      <w:pPr>
        <w:pStyle w:val="Heading1"/>
      </w:pPr>
      <w:r>
        <w:t>Plan de la présentation PowerPoint de soutenance (20 slides)</w:t>
      </w:r>
    </w:p>
    <w:tbl>
      <w:tblPr>
        <w:tblStyle w:val="TableGrid"/>
        <w:tblW w:type="auto" w:w="0"/>
        <w:jc w:val="center"/>
        <w:tblLook w:firstColumn="1" w:firstRow="1" w:lastColumn="0" w:lastRow="0" w:noHBand="0" w:noVBand="1" w:val="04A0"/>
      </w:tblPr>
      <w:tblGrid>
        <w:gridCol w:w="3099"/>
        <w:gridCol w:w="3099"/>
        <w:gridCol w:w="3099"/>
      </w:tblGrid>
      <w:tr>
        <w:tc>
          <w:tcPr>
            <w:tcW w:type="dxa" w:w="680"/>
            <w:shd w:val="clear" w:fill="7B2D62"/>
          </w:tcPr>
          <w:p>
            <w:r/>
            <w:r>
              <w:rPr>
                <w:b/>
                <w:color w:val="FFFFFF"/>
                <w:sz w:val="19"/>
              </w:rPr>
              <w:t>N°</w:t>
            </w:r>
          </w:p>
        </w:tc>
        <w:tc>
          <w:tcPr>
            <w:tcW w:type="dxa" w:w="2835"/>
            <w:shd w:val="clear" w:fill="7B2D62"/>
          </w:tcPr>
          <w:p>
            <w:r/>
            <w:r>
              <w:rPr>
                <w:b/>
                <w:color w:val="FFFFFF"/>
                <w:sz w:val="19"/>
              </w:rPr>
              <w:t>Slide</w:t>
            </w:r>
          </w:p>
        </w:tc>
        <w:tc>
          <w:tcPr>
            <w:tcW w:type="dxa" w:w="5443"/>
            <w:shd w:val="clear" w:fill="7B2D62"/>
          </w:tcPr>
          <w:p>
            <w:r/>
            <w:r>
              <w:rPr>
                <w:b/>
                <w:color w:val="FFFFFF"/>
                <w:sz w:val="19"/>
              </w:rPr>
              <w:t>Contenu clé</w:t>
            </w:r>
          </w:p>
        </w:tc>
      </w:tr>
      <w:tr>
        <w:tc>
          <w:tcPr>
            <w:tcW w:type="dxa" w:w="680"/>
          </w:tcPr>
          <w:p>
            <w:r/>
            <w:r>
              <w:rPr>
                <w:sz w:val="19"/>
              </w:rPr>
              <w:t>1</w:t>
            </w:r>
          </w:p>
        </w:tc>
        <w:tc>
          <w:tcPr>
            <w:tcW w:type="dxa" w:w="2835"/>
          </w:tcPr>
          <w:p>
            <w:r/>
            <w:r>
              <w:rPr>
                <w:sz w:val="19"/>
              </w:rPr>
              <w:t>Page de titre</w:t>
            </w:r>
          </w:p>
        </w:tc>
        <w:tc>
          <w:tcPr>
            <w:tcW w:type="dxa" w:w="5443"/>
          </w:tcPr>
          <w:p>
            <w:r/>
            <w:r>
              <w:rPr>
                <w:sz w:val="19"/>
              </w:rPr>
              <w:t>Projet, étudiante, encadrants, année</w:t>
            </w:r>
          </w:p>
        </w:tc>
      </w:tr>
      <w:tr>
        <w:tc>
          <w:tcPr>
            <w:tcW w:type="dxa" w:w="680"/>
            <w:shd w:val="clear" w:fill="F6EBF1"/>
          </w:tcPr>
          <w:p>
            <w:r/>
            <w:r>
              <w:rPr>
                <w:sz w:val="19"/>
              </w:rPr>
              <w:t>2</w:t>
            </w:r>
          </w:p>
        </w:tc>
        <w:tc>
          <w:tcPr>
            <w:tcW w:type="dxa" w:w="2835"/>
            <w:shd w:val="clear" w:fill="F6EBF1"/>
          </w:tcPr>
          <w:p>
            <w:r/>
            <w:r>
              <w:rPr>
                <w:sz w:val="19"/>
              </w:rPr>
              <w:t>Contexte et problématique</w:t>
            </w:r>
          </w:p>
        </w:tc>
        <w:tc>
          <w:tcPr>
            <w:tcW w:type="dxa" w:w="5443"/>
            <w:shd w:val="clear" w:fill="F6EBF1"/>
          </w:tcPr>
          <w:p>
            <w:r/>
            <w:r>
              <w:rPr>
                <w:sz w:val="19"/>
              </w:rPr>
              <w:t>Surabondance de l'offre, choix inadaptés ; question de recherche</w:t>
            </w:r>
          </w:p>
        </w:tc>
      </w:tr>
      <w:tr>
        <w:tc>
          <w:tcPr>
            <w:tcW w:type="dxa" w:w="680"/>
          </w:tcPr>
          <w:p>
            <w:r/>
            <w:r>
              <w:rPr>
                <w:sz w:val="19"/>
              </w:rPr>
              <w:t>3</w:t>
            </w:r>
          </w:p>
        </w:tc>
        <w:tc>
          <w:tcPr>
            <w:tcW w:type="dxa" w:w="2835"/>
          </w:tcPr>
          <w:p>
            <w:r/>
            <w:r>
              <w:rPr>
                <w:sz w:val="19"/>
              </w:rPr>
              <w:t>Solution DermaSense</w:t>
            </w:r>
          </w:p>
        </w:tc>
        <w:tc>
          <w:tcPr>
            <w:tcW w:type="dxa" w:w="5443"/>
          </w:tcPr>
          <w:p>
            <w:r/>
            <w:r>
              <w:rPr>
                <w:sz w:val="19"/>
              </w:rPr>
              <w:t>Concept, démo visuelle, valeur ajoutée de l'IA</w:t>
            </w:r>
          </w:p>
        </w:tc>
      </w:tr>
      <w:tr>
        <w:tc>
          <w:tcPr>
            <w:tcW w:type="dxa" w:w="680"/>
            <w:shd w:val="clear" w:fill="F6EBF1"/>
          </w:tcPr>
          <w:p>
            <w:r/>
            <w:r>
              <w:rPr>
                <w:sz w:val="19"/>
              </w:rPr>
              <w:t>4</w:t>
            </w:r>
          </w:p>
        </w:tc>
        <w:tc>
          <w:tcPr>
            <w:tcW w:type="dxa" w:w="2835"/>
            <w:shd w:val="clear" w:fill="F6EBF1"/>
          </w:tcPr>
          <w:p>
            <w:r/>
            <w:r>
              <w:rPr>
                <w:sz w:val="19"/>
              </w:rPr>
              <w:t>Dataset</w:t>
            </w:r>
          </w:p>
        </w:tc>
        <w:tc>
          <w:tcPr>
            <w:tcW w:type="dxa" w:w="5443"/>
            <w:shd w:val="clear" w:fill="F6EBF1"/>
          </w:tcPr>
          <w:p>
            <w:r/>
            <w:r>
              <w:rPr>
                <w:sz w:val="19"/>
              </w:rPr>
              <w:t>1 472 produits, 11 variables, profil client (sexe, âge) au signup</w:t>
            </w:r>
          </w:p>
        </w:tc>
      </w:tr>
      <w:tr>
        <w:tc>
          <w:tcPr>
            <w:tcW w:type="dxa" w:w="680"/>
          </w:tcPr>
          <w:p>
            <w:r/>
            <w:r>
              <w:rPr>
                <w:sz w:val="19"/>
              </w:rPr>
              <w:t>5</w:t>
            </w:r>
          </w:p>
        </w:tc>
        <w:tc>
          <w:tcPr>
            <w:tcW w:type="dxa" w:w="2835"/>
          </w:tcPr>
          <w:p>
            <w:r/>
            <w:r>
              <w:rPr>
                <w:sz w:val="19"/>
              </w:rPr>
              <w:t>EDA (1/2)</w:t>
            </w:r>
          </w:p>
        </w:tc>
        <w:tc>
          <w:tcPr>
            <w:tcW w:type="dxa" w:w="5443"/>
          </w:tcPr>
          <w:p>
            <w:r/>
            <w:r>
              <w:rPr>
                <w:sz w:val="19"/>
              </w:rPr>
              <w:t>Catégories, prix, outliers — figures 1.1 et 1.2</w:t>
            </w:r>
          </w:p>
        </w:tc>
      </w:tr>
      <w:tr>
        <w:tc>
          <w:tcPr>
            <w:tcW w:type="dxa" w:w="680"/>
            <w:shd w:val="clear" w:fill="F6EBF1"/>
          </w:tcPr>
          <w:p>
            <w:r/>
            <w:r>
              <w:rPr>
                <w:sz w:val="19"/>
              </w:rPr>
              <w:t>6</w:t>
            </w:r>
          </w:p>
        </w:tc>
        <w:tc>
          <w:tcPr>
            <w:tcW w:type="dxa" w:w="2835"/>
            <w:shd w:val="clear" w:fill="F6EBF1"/>
          </w:tcPr>
          <w:p>
            <w:r/>
            <w:r>
              <w:rPr>
                <w:sz w:val="19"/>
              </w:rPr>
              <w:t>EDA (2/2)</w:t>
            </w:r>
          </w:p>
        </w:tc>
        <w:tc>
          <w:tcPr>
            <w:tcW w:type="dxa" w:w="5443"/>
            <w:shd w:val="clear" w:fill="F6EBF1"/>
          </w:tcPr>
          <w:p>
            <w:r/>
            <w:r>
              <w:rPr>
                <w:sz w:val="19"/>
              </w:rPr>
              <w:t>Corrélations (prix ≠ qualité), profils clients par sexe/âge</w:t>
            </w:r>
          </w:p>
        </w:tc>
      </w:tr>
      <w:tr>
        <w:tc>
          <w:tcPr>
            <w:tcW w:type="dxa" w:w="680"/>
          </w:tcPr>
          <w:p>
            <w:r/>
            <w:r>
              <w:rPr>
                <w:sz w:val="19"/>
              </w:rPr>
              <w:t>7</w:t>
            </w:r>
          </w:p>
        </w:tc>
        <w:tc>
          <w:tcPr>
            <w:tcW w:type="dxa" w:w="2835"/>
          </w:tcPr>
          <w:p>
            <w:r/>
            <w:r>
              <w:rPr>
                <w:sz w:val="19"/>
              </w:rPr>
              <w:t>Prétraitement</w:t>
            </w:r>
          </w:p>
        </w:tc>
        <w:tc>
          <w:tcPr>
            <w:tcW w:type="dxa" w:w="5443"/>
          </w:tcPr>
          <w:p>
            <w:r/>
            <w:r>
              <w:rPr>
                <w:sz w:val="19"/>
              </w:rPr>
              <w:t>TF-IDF ingrédients, encodage, normalisation, déséquilibre</w:t>
            </w:r>
          </w:p>
        </w:tc>
      </w:tr>
      <w:tr>
        <w:tc>
          <w:tcPr>
            <w:tcW w:type="dxa" w:w="680"/>
            <w:shd w:val="clear" w:fill="F6EBF1"/>
          </w:tcPr>
          <w:p>
            <w:r/>
            <w:r>
              <w:rPr>
                <w:sz w:val="19"/>
              </w:rPr>
              <w:t>8</w:t>
            </w:r>
          </w:p>
        </w:tc>
        <w:tc>
          <w:tcPr>
            <w:tcW w:type="dxa" w:w="2835"/>
            <w:shd w:val="clear" w:fill="F6EBF1"/>
          </w:tcPr>
          <w:p>
            <w:r/>
            <w:r>
              <w:rPr>
                <w:sz w:val="19"/>
              </w:rPr>
              <w:t>Modélisation</w:t>
            </w:r>
          </w:p>
        </w:tc>
        <w:tc>
          <w:tcPr>
            <w:tcW w:type="dxa" w:w="5443"/>
            <w:shd w:val="clear" w:fill="F6EBF1"/>
          </w:tcPr>
          <w:p>
            <w:r/>
            <w:r>
              <w:rPr>
                <w:sz w:val="19"/>
              </w:rPr>
              <w:t>3 modèles comparés et justification</w:t>
            </w:r>
          </w:p>
        </w:tc>
      </w:tr>
      <w:tr>
        <w:tc>
          <w:tcPr>
            <w:tcW w:type="dxa" w:w="680"/>
          </w:tcPr>
          <w:p>
            <w:r/>
            <w:r>
              <w:rPr>
                <w:sz w:val="19"/>
              </w:rPr>
              <w:t>9</w:t>
            </w:r>
          </w:p>
        </w:tc>
        <w:tc>
          <w:tcPr>
            <w:tcW w:type="dxa" w:w="2835"/>
          </w:tcPr>
          <w:p>
            <w:r/>
            <w:r>
              <w:rPr>
                <w:sz w:val="19"/>
              </w:rPr>
              <w:t>Résultats modèle A</w:t>
            </w:r>
          </w:p>
        </w:tc>
        <w:tc>
          <w:tcPr>
            <w:tcW w:type="dxa" w:w="5443"/>
          </w:tcPr>
          <w:p>
            <w:r/>
            <w:r>
              <w:rPr>
                <w:sz w:val="19"/>
              </w:rPr>
              <w:t>Métriques, matrice de confusion, ROC</w:t>
            </w:r>
          </w:p>
        </w:tc>
      </w:tr>
      <w:tr>
        <w:tc>
          <w:tcPr>
            <w:tcW w:type="dxa" w:w="680"/>
            <w:shd w:val="clear" w:fill="F6EBF1"/>
          </w:tcPr>
          <w:p>
            <w:r/>
            <w:r>
              <w:rPr>
                <w:sz w:val="19"/>
              </w:rPr>
              <w:t>10</w:t>
            </w:r>
          </w:p>
        </w:tc>
        <w:tc>
          <w:tcPr>
            <w:tcW w:type="dxa" w:w="2835"/>
            <w:shd w:val="clear" w:fill="F6EBF1"/>
          </w:tcPr>
          <w:p>
            <w:r/>
            <w:r>
              <w:rPr>
                <w:sz w:val="19"/>
              </w:rPr>
              <w:t>Résultats modèle B</w:t>
            </w:r>
          </w:p>
        </w:tc>
        <w:tc>
          <w:tcPr>
            <w:tcW w:type="dxa" w:w="5443"/>
            <w:shd w:val="clear" w:fill="F6EBF1"/>
          </w:tcPr>
          <w:p>
            <w:r/>
            <w:r>
              <w:rPr>
                <w:sz w:val="19"/>
              </w:rPr>
              <w:t>Métriques, importance des variables</w:t>
            </w:r>
          </w:p>
        </w:tc>
      </w:tr>
      <w:tr>
        <w:tc>
          <w:tcPr>
            <w:tcW w:type="dxa" w:w="680"/>
          </w:tcPr>
          <w:p>
            <w:r/>
            <w:r>
              <w:rPr>
                <w:sz w:val="19"/>
              </w:rPr>
              <w:t>11</w:t>
            </w:r>
          </w:p>
        </w:tc>
        <w:tc>
          <w:tcPr>
            <w:tcW w:type="dxa" w:w="2835"/>
          </w:tcPr>
          <w:p>
            <w:r/>
            <w:r>
              <w:rPr>
                <w:sz w:val="19"/>
              </w:rPr>
              <w:t>Similarité d'ingrédients (NLP)</w:t>
            </w:r>
          </w:p>
        </w:tc>
        <w:tc>
          <w:tcPr>
            <w:tcW w:type="dxa" w:w="5443"/>
          </w:tcPr>
          <w:p>
            <w:r/>
            <w:r>
              <w:rPr>
                <w:sz w:val="19"/>
              </w:rPr>
              <w:t>TF-IDF + cosinus : « dupes » et alternatives ; exemple Crème de la Mer</w:t>
            </w:r>
          </w:p>
        </w:tc>
      </w:tr>
      <w:tr>
        <w:tc>
          <w:tcPr>
            <w:tcW w:type="dxa" w:w="680"/>
            <w:shd w:val="clear" w:fill="F6EBF1"/>
          </w:tcPr>
          <w:p>
            <w:r/>
            <w:r>
              <w:rPr>
                <w:sz w:val="19"/>
              </w:rPr>
              <w:t>12</w:t>
            </w:r>
          </w:p>
        </w:tc>
        <w:tc>
          <w:tcPr>
            <w:tcW w:type="dxa" w:w="2835"/>
            <w:shd w:val="clear" w:fill="F6EBF1"/>
          </w:tcPr>
          <w:p>
            <w:r/>
            <w:r>
              <w:rPr>
                <w:sz w:val="19"/>
              </w:rPr>
              <w:t>Équité et biais</w:t>
            </w:r>
          </w:p>
        </w:tc>
        <w:tc>
          <w:tcPr>
            <w:tcW w:type="dxa" w:w="5443"/>
            <w:shd w:val="clear" w:fill="F6EBF1"/>
          </w:tcPr>
          <w:p>
            <w:r/>
            <w:r>
              <w:rPr>
                <w:sz w:val="19"/>
              </w:rPr>
              <w:t>Performances femmes/hommes et par âge, atténuation</w:t>
            </w:r>
          </w:p>
        </w:tc>
      </w:tr>
      <w:tr>
        <w:tc>
          <w:tcPr>
            <w:tcW w:type="dxa" w:w="680"/>
          </w:tcPr>
          <w:p>
            <w:r/>
            <w:r>
              <w:rPr>
                <w:sz w:val="19"/>
              </w:rPr>
              <w:t>13</w:t>
            </w:r>
          </w:p>
        </w:tc>
        <w:tc>
          <w:tcPr>
            <w:tcW w:type="dxa" w:w="2835"/>
          </w:tcPr>
          <w:p>
            <w:r/>
            <w:r>
              <w:rPr>
                <w:sz w:val="19"/>
              </w:rPr>
              <w:t>Démo application</w:t>
            </w:r>
          </w:p>
        </w:tc>
        <w:tc>
          <w:tcPr>
            <w:tcW w:type="dxa" w:w="5443"/>
          </w:tcPr>
          <w:p>
            <w:r/>
            <w:r>
              <w:rPr>
                <w:sz w:val="19"/>
              </w:rPr>
              <w:t>Login/Signup, quiz de peau, recommandations, analyseur INCI, allergènes, comparateur, dupes, routine + export PDF, insights, chatbot</w:t>
            </w:r>
          </w:p>
        </w:tc>
      </w:tr>
      <w:tr>
        <w:tc>
          <w:tcPr>
            <w:tcW w:type="dxa" w:w="680"/>
            <w:shd w:val="clear" w:fill="F6EBF1"/>
          </w:tcPr>
          <w:p>
            <w:r/>
            <w:r>
              <w:rPr>
                <w:sz w:val="19"/>
              </w:rPr>
              <w:t>14</w:t>
            </w:r>
          </w:p>
        </w:tc>
        <w:tc>
          <w:tcPr>
            <w:tcW w:type="dxa" w:w="2835"/>
            <w:shd w:val="clear" w:fill="F6EBF1"/>
          </w:tcPr>
          <w:p>
            <w:r/>
            <w:r>
              <w:rPr>
                <w:sz w:val="19"/>
              </w:rPr>
              <w:t>Cycle de vie et méthodologie</w:t>
            </w:r>
          </w:p>
        </w:tc>
        <w:tc>
          <w:tcPr>
            <w:tcW w:type="dxa" w:w="5443"/>
            <w:shd w:val="clear" w:fill="F6EBF1"/>
          </w:tcPr>
          <w:p>
            <w:r/>
            <w:r>
              <w:rPr>
                <w:sz w:val="19"/>
              </w:rPr>
              <w:t>5 processus PMBOK appliqués au projet ; choix hybride prédictif + Scrum + CRISP-DM et justification</w:t>
            </w:r>
          </w:p>
        </w:tc>
      </w:tr>
      <w:tr>
        <w:tc>
          <w:tcPr>
            <w:tcW w:type="dxa" w:w="680"/>
          </w:tcPr>
          <w:p>
            <w:r/>
            <w:r>
              <w:rPr>
                <w:sz w:val="19"/>
              </w:rPr>
              <w:t>15</w:t>
            </w:r>
          </w:p>
        </w:tc>
        <w:tc>
          <w:tcPr>
            <w:tcW w:type="dxa" w:w="2835"/>
          </w:tcPr>
          <w:p>
            <w:r/>
            <w:r>
              <w:rPr>
                <w:sz w:val="19"/>
              </w:rPr>
              <w:t>Étude de marché</w:t>
            </w:r>
          </w:p>
        </w:tc>
        <w:tc>
          <w:tcPr>
            <w:tcW w:type="dxa" w:w="5443"/>
          </w:tcPr>
          <w:p>
            <w:r/>
            <w:r>
              <w:rPr>
                <w:sz w:val="19"/>
              </w:rPr>
              <w:t>PESTEL et Porter : synthèse en une matrice</w:t>
            </w:r>
          </w:p>
        </w:tc>
      </w:tr>
      <w:tr>
        <w:tc>
          <w:tcPr>
            <w:tcW w:type="dxa" w:w="680"/>
            <w:shd w:val="clear" w:fill="F6EBF1"/>
          </w:tcPr>
          <w:p>
            <w:r/>
            <w:r>
              <w:rPr>
                <w:sz w:val="19"/>
              </w:rPr>
              <w:t>16</w:t>
            </w:r>
          </w:p>
        </w:tc>
        <w:tc>
          <w:tcPr>
            <w:tcW w:type="dxa" w:w="2835"/>
            <w:shd w:val="clear" w:fill="F6EBF1"/>
          </w:tcPr>
          <w:p>
            <w:r/>
            <w:r>
              <w:rPr>
                <w:sz w:val="19"/>
              </w:rPr>
              <w:t>SWOT et positionnement</w:t>
            </w:r>
          </w:p>
        </w:tc>
        <w:tc>
          <w:tcPr>
            <w:tcW w:type="dxa" w:w="5443"/>
            <w:shd w:val="clear" w:fill="F6EBF1"/>
          </w:tcPr>
          <w:p>
            <w:r/>
            <w:r>
              <w:rPr>
                <w:sz w:val="19"/>
              </w:rPr>
              <w:t>Matrice SWOT, segments cibles, 4P</w:t>
            </w:r>
          </w:p>
        </w:tc>
      </w:tr>
      <w:tr>
        <w:tc>
          <w:tcPr>
            <w:tcW w:type="dxa" w:w="680"/>
          </w:tcPr>
          <w:p>
            <w:r/>
            <w:r>
              <w:rPr>
                <w:sz w:val="19"/>
              </w:rPr>
              <w:t>17</w:t>
            </w:r>
          </w:p>
        </w:tc>
        <w:tc>
          <w:tcPr>
            <w:tcW w:type="dxa" w:w="2835"/>
          </w:tcPr>
          <w:p>
            <w:r/>
            <w:r>
              <w:rPr>
                <w:sz w:val="19"/>
              </w:rPr>
              <w:t>Étude financière</w:t>
            </w:r>
          </w:p>
        </w:tc>
        <w:tc>
          <w:tcPr>
            <w:tcW w:type="dxa" w:w="5443"/>
          </w:tcPr>
          <w:p>
            <w:r/>
            <w:r>
              <w:rPr>
                <w:sz w:val="19"/>
              </w:rPr>
              <w:t>Investissement 60 k MAD, CPC 3 ans, seuil, ROI</w:t>
            </w:r>
          </w:p>
        </w:tc>
      </w:tr>
      <w:tr>
        <w:tc>
          <w:tcPr>
            <w:tcW w:type="dxa" w:w="680"/>
            <w:shd w:val="clear" w:fill="F6EBF1"/>
          </w:tcPr>
          <w:p>
            <w:r/>
            <w:r>
              <w:rPr>
                <w:sz w:val="19"/>
              </w:rPr>
              <w:t>18</w:t>
            </w:r>
          </w:p>
        </w:tc>
        <w:tc>
          <w:tcPr>
            <w:tcW w:type="dxa" w:w="2835"/>
            <w:shd w:val="clear" w:fill="F6EBF1"/>
          </w:tcPr>
          <w:p>
            <w:r/>
            <w:r>
              <w:rPr>
                <w:sz w:val="19"/>
              </w:rPr>
              <w:t>Gestion de projet</w:t>
            </w:r>
          </w:p>
        </w:tc>
        <w:tc>
          <w:tcPr>
            <w:tcW w:type="dxa" w:w="5443"/>
            <w:shd w:val="clear" w:fill="F6EBF1"/>
          </w:tcPr>
          <w:p>
            <w:r/>
            <w:r>
              <w:rPr>
                <w:sz w:val="19"/>
              </w:rPr>
              <w:t>WBS et réseau PERT, chemin critique 52 j</w:t>
            </w:r>
          </w:p>
        </w:tc>
      </w:tr>
      <w:tr>
        <w:tc>
          <w:tcPr>
            <w:tcW w:type="dxa" w:w="680"/>
          </w:tcPr>
          <w:p>
            <w:r/>
            <w:r>
              <w:rPr>
                <w:sz w:val="19"/>
              </w:rPr>
              <w:t>19</w:t>
            </w:r>
          </w:p>
        </w:tc>
        <w:tc>
          <w:tcPr>
            <w:tcW w:type="dxa" w:w="2835"/>
          </w:tcPr>
          <w:p>
            <w:r/>
            <w:r>
              <w:rPr>
                <w:sz w:val="19"/>
              </w:rPr>
              <w:t>Gantt et jalons</w:t>
            </w:r>
          </w:p>
        </w:tc>
        <w:tc>
          <w:tcPr>
            <w:tcW w:type="dxa" w:w="5443"/>
          </w:tcPr>
          <w:p>
            <w:r/>
            <w:r>
              <w:rPr>
                <w:sz w:val="19"/>
              </w:rPr>
              <w:t>Planification calendaire, jalons J1–J6</w:t>
            </w:r>
          </w:p>
        </w:tc>
      </w:tr>
      <w:tr>
        <w:tc>
          <w:tcPr>
            <w:tcW w:type="dxa" w:w="680"/>
            <w:shd w:val="clear" w:fill="F6EBF1"/>
          </w:tcPr>
          <w:p>
            <w:r/>
            <w:r>
              <w:rPr>
                <w:sz w:val="19"/>
              </w:rPr>
              <w:t>20</w:t>
            </w:r>
          </w:p>
        </w:tc>
        <w:tc>
          <w:tcPr>
            <w:tcW w:type="dxa" w:w="2835"/>
            <w:shd w:val="clear" w:fill="F6EBF1"/>
          </w:tcPr>
          <w:p>
            <w:r/>
            <w:r>
              <w:rPr>
                <w:sz w:val="19"/>
              </w:rPr>
              <w:t>Conclusion et perspectives</w:t>
            </w:r>
          </w:p>
        </w:tc>
        <w:tc>
          <w:tcPr>
            <w:tcW w:type="dxa" w:w="5443"/>
            <w:shd w:val="clear" w:fill="F6EBF1"/>
          </w:tcPr>
          <w:p>
            <w:r/>
            <w:r>
              <w:rPr>
                <w:sz w:val="19"/>
              </w:rPr>
              <w:t>Bilan des 3 volets, roadmap, remerciements / questions</w:t>
            </w:r>
          </w:p>
        </w:tc>
      </w:tr>
    </w:tbl>
    <w:p/>
    <w:p>
      <w:pPr>
        <w:jc w:val="center"/>
      </w:pPr>
      <w:r>
        <w:rPr>
          <w:i/>
          <w:color w:val="C0567E"/>
          <w:sz w:val="18"/>
        </w:rPr>
        <w:t>Tableau 4.1 — Déroulé proposé pour la soutenance (15–20 minutes)</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sz w:val="16"/>
      </w:rPr>
      <w:t xml:space="preserve">  |  DermaSense — PFA IAD 2025/2026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E1F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B2D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6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056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