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60" w:lineRule="auto"/>
        <w:rPr>
          <w:sz w:val="22"/>
          <w:szCs w:val="22"/>
          <w:shd w:fill="ead1dc" w:val="clear"/>
        </w:rPr>
      </w:pPr>
      <w:bookmarkStart w:colFirst="0" w:colLast="0" w:name="_hhnjf0z2lz4z" w:id="0"/>
      <w:bookmarkEnd w:id="0"/>
      <w:r w:rsidDel="00000000" w:rsidR="00000000" w:rsidRPr="00000000">
        <w:rPr>
          <w:sz w:val="22"/>
          <w:szCs w:val="22"/>
          <w:shd w:fill="ead1dc" w:val="clear"/>
          <w:rtl w:val="0"/>
        </w:rPr>
        <w:t xml:space="preserve">Especialista en datos y reproducibilidad: Sara</w:t>
      </w:r>
    </w:p>
    <w:p w:rsidR="00000000" w:rsidDel="00000000" w:rsidP="00000000" w:rsidRDefault="00000000" w:rsidRPr="00000000" w14:paraId="00000002">
      <w:pPr>
        <w:rPr>
          <w:shd w:fill="b6d7a8" w:val="clear"/>
        </w:rPr>
      </w:pPr>
      <w:r w:rsidDel="00000000" w:rsidR="00000000" w:rsidRPr="00000000">
        <w:rPr>
          <w:shd w:fill="b6d7a8" w:val="clear"/>
          <w:rtl w:val="0"/>
        </w:rPr>
        <w:t xml:space="preserve">Analista cuantitativo: Danna</w:t>
      </w:r>
    </w:p>
    <w:p w:rsidR="00000000" w:rsidDel="00000000" w:rsidP="00000000" w:rsidRDefault="00000000" w:rsidRPr="00000000" w14:paraId="00000003">
      <w:pPr>
        <w:rPr>
          <w:shd w:fill="fce5cd" w:val="clear"/>
        </w:rPr>
      </w:pPr>
      <w:r w:rsidDel="00000000" w:rsidR="00000000" w:rsidRPr="00000000">
        <w:rPr>
          <w:shd w:fill="fce5cd" w:val="clear"/>
          <w:rtl w:val="0"/>
        </w:rPr>
        <w:t xml:space="preserve">Especialista en Visualización y Comunicaciones: Angélica</w:t>
      </w:r>
    </w:p>
    <w:p w:rsidR="00000000" w:rsidDel="00000000" w:rsidP="00000000" w:rsidRDefault="00000000" w:rsidRPr="00000000" w14:paraId="00000004">
      <w:pPr>
        <w:rPr>
          <w:shd w:fill="cfe2f3" w:val="clear"/>
        </w:rPr>
      </w:pPr>
      <w:r w:rsidDel="00000000" w:rsidR="00000000" w:rsidRPr="00000000">
        <w:rPr>
          <w:shd w:fill="cfe2f3" w:val="clear"/>
          <w:rtl w:val="0"/>
        </w:rPr>
        <w:t xml:space="preserve">Líder del proyecto y Enlace con el fondo: Juan</w:t>
      </w:r>
      <w:r w:rsidDel="00000000" w:rsidR="00000000" w:rsidRPr="00000000">
        <w:rPr>
          <w:rtl w:val="0"/>
        </w:rPr>
      </w:r>
    </w:p>
    <w:p w:rsidR="00000000" w:rsidDel="00000000" w:rsidP="00000000" w:rsidRDefault="00000000" w:rsidRPr="00000000" w14:paraId="00000005">
      <w:pPr>
        <w:pStyle w:val="Heading2"/>
        <w:keepNext w:val="0"/>
        <w:keepLines w:val="0"/>
        <w:spacing w:after="60" w:lineRule="auto"/>
        <w:rPr>
          <w:b w:val="1"/>
          <w:bCs w:val="1"/>
          <w:sz w:val="34"/>
          <w:szCs w:val="34"/>
        </w:rPr>
      </w:pPr>
      <w:bookmarkStart w:colFirst="0" w:colLast="0" w:name="_yb1wccqyz43" w:id="1"/>
      <w:bookmarkEnd w:id="1"/>
      <w:r w:rsidDel="00000000" w:rsidR="00000000" w:rsidRPr="00000000">
        <w:rPr>
          <w:b w:val="1"/>
          <w:bCs w:val="1"/>
          <w:sz w:val="34"/>
          <w:szCs w:val="34"/>
          <w:rtl w:val="0"/>
        </w:rPr>
        <w:t xml:space="preserve">1. Construcción de los índices</w:t>
      </w:r>
    </w:p>
    <w:p w:rsidR="00000000" w:rsidDel="00000000" w:rsidP="00000000" w:rsidRDefault="00000000" w:rsidRPr="00000000" w14:paraId="00000006">
      <w:pPr>
        <w:spacing w:after="100" w:lineRule="auto"/>
        <w:jc w:val="both"/>
        <w:rPr>
          <w:b w:val="1"/>
          <w:bCs w:val="1"/>
        </w:rPr>
      </w:pPr>
      <w:r w:rsidDel="00000000" w:rsidR="00000000" w:rsidRPr="00000000">
        <w:rPr>
          <w:b w:val="1"/>
          <w:bCs w:val="1"/>
          <w:rtl w:val="0"/>
        </w:rPr>
        <w:t xml:space="preserve">1.1 Seleccionen tres sectores diferentes (por ejemplo: energy, materials, financials, etc.) y construyan para cada uno un universo de 10 acciones. Descarguen los precios de cierre diario y los volúmenes de transacción entre 2015 y 2025. Idealmente, utilicen la herramienta de conexión entre Excel y Bloomberg. Documenten claramente las acciones, sectores y fuente de los datos.</w:t>
      </w:r>
    </w:p>
    <w:p w:rsidR="00000000" w:rsidDel="00000000" w:rsidP="00000000" w:rsidRDefault="00000000" w:rsidRPr="00000000" w14:paraId="00000007">
      <w:pPr>
        <w:spacing w:after="100" w:lineRule="auto"/>
        <w:jc w:val="both"/>
        <w:rPr/>
      </w:pPr>
      <w:r w:rsidDel="00000000" w:rsidR="00000000" w:rsidRPr="00000000">
        <w:rPr>
          <w:rtl w:val="0"/>
        </w:rPr>
        <w:t xml:space="preserve">La decisión sobre con qué sectores trabajar fue basada en el % que ocupan en el mercado canadiense, y estos tres sectores (energía, materiales, financiero) componen en un 70% la bolsa de Toronto. Al analizarlos, están replicando el comportamiento real de uno de los mercados más importantes de la OCDE </w:t>
      </w:r>
      <w:r w:rsidDel="00000000" w:rsidR="00000000" w:rsidRPr="00000000">
        <w:rPr>
          <w:rtl w:val="0"/>
        </w:rPr>
      </w:r>
    </w:p>
    <w:p w:rsidR="00000000" w:rsidDel="00000000" w:rsidP="00000000" w:rsidRDefault="00000000" w:rsidRPr="00000000" w14:paraId="00000008">
      <w:pPr>
        <w:numPr>
          <w:ilvl w:val="0"/>
          <w:numId w:val="4"/>
        </w:numPr>
        <w:spacing w:after="100" w:lineRule="auto"/>
        <w:ind w:left="720" w:hanging="360"/>
        <w:jc w:val="both"/>
        <w:rPr>
          <w:u w:val="none"/>
        </w:rPr>
      </w:pPr>
      <w:r w:rsidDel="00000000" w:rsidR="00000000" w:rsidRPr="00000000">
        <w:rPr>
          <w:b w:val="1"/>
          <w:bCs w:val="1"/>
          <w:sz w:val="24"/>
          <w:szCs w:val="24"/>
          <w:rtl w:val="0"/>
        </w:rPr>
        <w:t xml:space="preserve">Sector Energía</w:t>
      </w:r>
      <w:r w:rsidDel="00000000" w:rsidR="00000000" w:rsidRPr="00000000">
        <w:rPr>
          <w:rtl w:val="0"/>
        </w:rPr>
        <w:t xml:space="preserve">: </w:t>
      </w:r>
      <w:r w:rsidDel="00000000" w:rsidR="00000000" w:rsidRPr="00000000">
        <w:rPr>
          <w:rtl w:val="0"/>
        </w:rPr>
        <w:t xml:space="preserve">Representa a las compañías líderes en petróleo, gas natural e </w:t>
      </w:r>
      <w:r w:rsidDel="00000000" w:rsidR="00000000" w:rsidRPr="00000000">
        <w:rPr>
          <w:rtl w:val="0"/>
        </w:rPr>
        <w:t xml:space="preserve">infraestructura de oleoductos de Canadá.</w:t>
      </w:r>
    </w:p>
    <w:p w:rsidR="00000000" w:rsidDel="00000000" w:rsidP="00000000" w:rsidRDefault="00000000" w:rsidRPr="00000000" w14:paraId="00000009">
      <w:pPr>
        <w:spacing w:after="100" w:lineRule="auto"/>
        <w:ind w:left="0" w:firstLine="0"/>
        <w:jc w:val="both"/>
        <w:rPr>
          <w:i w:val="1"/>
          <w:iCs w:val="1"/>
        </w:rPr>
      </w:pPr>
      <w:r w:rsidDel="00000000" w:rsidR="00000000" w:rsidRPr="00000000">
        <w:rPr>
          <w:rtl w:val="0"/>
        </w:rPr>
        <w:t xml:space="preserve"> </w:t>
        <w:tab/>
      </w:r>
      <w:r w:rsidDel="00000000" w:rsidR="00000000" w:rsidRPr="00000000">
        <w:rPr>
          <w:i w:val="1"/>
          <w:iCs w:val="1"/>
          <w:rtl w:val="0"/>
        </w:rPr>
        <w:t xml:space="preserve">¿Por qué fue escogido?</w:t>
      </w:r>
    </w:p>
    <w:p w:rsidR="00000000" w:rsidDel="00000000" w:rsidP="00000000" w:rsidRDefault="00000000" w:rsidRPr="00000000" w14:paraId="0000000A">
      <w:pPr>
        <w:spacing w:after="180" w:lineRule="auto"/>
        <w:ind w:left="720" w:firstLine="0"/>
        <w:jc w:val="both"/>
        <w:rPr/>
      </w:pPr>
      <w:r w:rsidDel="00000000" w:rsidR="00000000" w:rsidRPr="00000000">
        <w:rPr>
          <w:rtl w:val="0"/>
        </w:rPr>
        <w:t xml:space="preserve">Al colapsar la movilidad global en 2020 (aviones y carros parados), el petróleo llegó a cotizar en negativo por primera vez en la historia. Este sector es el ejemplo perfecto de un shock de demanda causado por el COVID y su posterior crisis inflacionaria.</w:t>
      </w:r>
    </w:p>
    <w:p w:rsidR="00000000" w:rsidDel="00000000" w:rsidP="00000000" w:rsidRDefault="00000000" w:rsidRPr="00000000" w14:paraId="0000000B">
      <w:pPr>
        <w:spacing w:after="180" w:lineRule="auto"/>
        <w:jc w:val="both"/>
        <w:rPr>
          <w:i w:val="1"/>
          <w:iCs w:val="1"/>
        </w:rPr>
      </w:pPr>
      <w:r w:rsidDel="00000000" w:rsidR="00000000" w:rsidRPr="00000000">
        <w:rPr>
          <w:rtl w:val="0"/>
        </w:rPr>
        <w:tab/>
      </w:r>
      <w:r w:rsidDel="00000000" w:rsidR="00000000" w:rsidRPr="00000000">
        <w:rPr>
          <w:i w:val="1"/>
          <w:iCs w:val="1"/>
          <w:rtl w:val="0"/>
        </w:rPr>
        <w:t xml:space="preserve">ACCIONES:</w:t>
      </w:r>
    </w:p>
    <w:p w:rsidR="00000000" w:rsidDel="00000000" w:rsidP="00000000" w:rsidRDefault="00000000" w:rsidRPr="00000000" w14:paraId="0000000C">
      <w:pPr>
        <w:numPr>
          <w:ilvl w:val="0"/>
          <w:numId w:val="10"/>
        </w:numPr>
        <w:spacing w:after="0" w:afterAutospacing="0" w:lineRule="auto"/>
        <w:ind w:left="720" w:hanging="360"/>
        <w:jc w:val="both"/>
        <w:rPr/>
      </w:pPr>
      <w:r w:rsidDel="00000000" w:rsidR="00000000" w:rsidRPr="00000000">
        <w:rPr>
          <w:rtl w:val="0"/>
        </w:rPr>
        <w:t xml:space="preserve">Suncor Energy Inc (SU CN Equity)</w:t>
      </w:r>
    </w:p>
    <w:p w:rsidR="00000000" w:rsidDel="00000000" w:rsidP="00000000" w:rsidRDefault="00000000" w:rsidRPr="00000000" w14:paraId="0000000D">
      <w:pPr>
        <w:numPr>
          <w:ilvl w:val="0"/>
          <w:numId w:val="10"/>
        </w:numPr>
        <w:spacing w:after="0" w:afterAutospacing="0" w:lineRule="auto"/>
        <w:ind w:left="720" w:hanging="360"/>
        <w:jc w:val="both"/>
        <w:rPr/>
      </w:pPr>
      <w:r w:rsidDel="00000000" w:rsidR="00000000" w:rsidRPr="00000000">
        <w:rPr>
          <w:rtl w:val="0"/>
        </w:rPr>
        <w:t xml:space="preserve">Canadian Natural Resources Ltd (CNQ CN Equity)</w:t>
      </w:r>
    </w:p>
    <w:p w:rsidR="00000000" w:rsidDel="00000000" w:rsidP="00000000" w:rsidRDefault="00000000" w:rsidRPr="00000000" w14:paraId="0000000E">
      <w:pPr>
        <w:numPr>
          <w:ilvl w:val="0"/>
          <w:numId w:val="10"/>
        </w:numPr>
        <w:spacing w:after="0" w:afterAutospacing="0" w:lineRule="auto"/>
        <w:ind w:left="720" w:hanging="360"/>
        <w:jc w:val="both"/>
        <w:rPr/>
      </w:pPr>
      <w:r w:rsidDel="00000000" w:rsidR="00000000" w:rsidRPr="00000000">
        <w:rPr>
          <w:rtl w:val="0"/>
        </w:rPr>
        <w:t xml:space="preserve">Enbridge Inc (ENB CN)</w:t>
      </w:r>
    </w:p>
    <w:p w:rsidR="00000000" w:rsidDel="00000000" w:rsidP="00000000" w:rsidRDefault="00000000" w:rsidRPr="00000000" w14:paraId="0000000F">
      <w:pPr>
        <w:numPr>
          <w:ilvl w:val="0"/>
          <w:numId w:val="10"/>
        </w:numPr>
        <w:spacing w:after="0" w:afterAutospacing="0" w:lineRule="auto"/>
        <w:ind w:left="720" w:hanging="360"/>
        <w:jc w:val="both"/>
        <w:rPr/>
      </w:pPr>
      <w:r w:rsidDel="00000000" w:rsidR="00000000" w:rsidRPr="00000000">
        <w:rPr>
          <w:rtl w:val="0"/>
        </w:rPr>
        <w:t xml:space="preserve">TC Energy Corp (TRP CN Equity)</w:t>
      </w:r>
    </w:p>
    <w:p w:rsidR="00000000" w:rsidDel="00000000" w:rsidP="00000000" w:rsidRDefault="00000000" w:rsidRPr="00000000" w14:paraId="00000010">
      <w:pPr>
        <w:numPr>
          <w:ilvl w:val="0"/>
          <w:numId w:val="10"/>
        </w:numPr>
        <w:spacing w:after="0" w:afterAutospacing="0" w:lineRule="auto"/>
        <w:ind w:left="720" w:hanging="360"/>
        <w:jc w:val="both"/>
        <w:rPr/>
      </w:pPr>
      <w:r w:rsidDel="00000000" w:rsidR="00000000" w:rsidRPr="00000000">
        <w:rPr>
          <w:rtl w:val="0"/>
        </w:rPr>
        <w:t xml:space="preserve">Cenovus Energy Inc (CVE CN Equity)</w:t>
      </w:r>
    </w:p>
    <w:p w:rsidR="00000000" w:rsidDel="00000000" w:rsidP="00000000" w:rsidRDefault="00000000" w:rsidRPr="00000000" w14:paraId="00000011">
      <w:pPr>
        <w:numPr>
          <w:ilvl w:val="0"/>
          <w:numId w:val="10"/>
        </w:numPr>
        <w:spacing w:after="0" w:afterAutospacing="0" w:lineRule="auto"/>
        <w:ind w:left="720" w:hanging="360"/>
        <w:jc w:val="both"/>
        <w:rPr/>
      </w:pPr>
      <w:r w:rsidDel="00000000" w:rsidR="00000000" w:rsidRPr="00000000">
        <w:rPr>
          <w:rtl w:val="0"/>
        </w:rPr>
        <w:t xml:space="preserve">Imperial Oil Ltd (IMO CN Equity)</w:t>
      </w:r>
    </w:p>
    <w:p w:rsidR="00000000" w:rsidDel="00000000" w:rsidP="00000000" w:rsidRDefault="00000000" w:rsidRPr="00000000" w14:paraId="00000012">
      <w:pPr>
        <w:numPr>
          <w:ilvl w:val="0"/>
          <w:numId w:val="10"/>
        </w:numPr>
        <w:spacing w:after="0" w:afterAutospacing="0" w:lineRule="auto"/>
        <w:ind w:left="720" w:hanging="360"/>
        <w:jc w:val="both"/>
        <w:rPr/>
      </w:pPr>
      <w:r w:rsidDel="00000000" w:rsidR="00000000" w:rsidRPr="00000000">
        <w:rPr>
          <w:rtl w:val="0"/>
        </w:rPr>
        <w:t xml:space="preserve">Pembina Pipeline Corp (PPL CN Equity)</w:t>
      </w:r>
    </w:p>
    <w:p w:rsidR="00000000" w:rsidDel="00000000" w:rsidP="00000000" w:rsidRDefault="00000000" w:rsidRPr="00000000" w14:paraId="00000013">
      <w:pPr>
        <w:numPr>
          <w:ilvl w:val="0"/>
          <w:numId w:val="10"/>
        </w:numPr>
        <w:spacing w:after="0" w:afterAutospacing="0" w:lineRule="auto"/>
        <w:ind w:left="720" w:hanging="360"/>
        <w:jc w:val="both"/>
        <w:rPr/>
      </w:pPr>
      <w:r w:rsidDel="00000000" w:rsidR="00000000" w:rsidRPr="00000000">
        <w:rPr>
          <w:rtl w:val="0"/>
        </w:rPr>
        <w:t xml:space="preserve">Tourmaline Oil Corp (TOU CN Equity)</w:t>
      </w:r>
    </w:p>
    <w:p w:rsidR="00000000" w:rsidDel="00000000" w:rsidP="00000000" w:rsidRDefault="00000000" w:rsidRPr="00000000" w14:paraId="00000014">
      <w:pPr>
        <w:numPr>
          <w:ilvl w:val="0"/>
          <w:numId w:val="10"/>
        </w:numPr>
        <w:spacing w:after="0" w:afterAutospacing="0" w:lineRule="auto"/>
        <w:ind w:left="720" w:hanging="360"/>
        <w:jc w:val="both"/>
        <w:rPr/>
      </w:pPr>
      <w:r w:rsidDel="00000000" w:rsidR="00000000" w:rsidRPr="00000000">
        <w:rPr>
          <w:rtl w:val="0"/>
        </w:rPr>
        <w:t xml:space="preserve">Whitecap Resources Inc (WCP CN Equity)</w:t>
      </w:r>
    </w:p>
    <w:p w:rsidR="00000000" w:rsidDel="00000000" w:rsidP="00000000" w:rsidRDefault="00000000" w:rsidRPr="00000000" w14:paraId="00000015">
      <w:pPr>
        <w:numPr>
          <w:ilvl w:val="0"/>
          <w:numId w:val="10"/>
        </w:numPr>
        <w:spacing w:after="180" w:lineRule="auto"/>
        <w:ind w:left="720" w:hanging="360"/>
        <w:jc w:val="both"/>
        <w:rPr/>
      </w:pPr>
      <w:r w:rsidDel="00000000" w:rsidR="00000000" w:rsidRPr="00000000">
        <w:rPr>
          <w:rtl w:val="0"/>
        </w:rPr>
        <w:t xml:space="preserve">ARC Resources Ltd (ARX CN Equity)</w:t>
      </w:r>
    </w:p>
    <w:p w:rsidR="00000000" w:rsidDel="00000000" w:rsidP="00000000" w:rsidRDefault="00000000" w:rsidRPr="00000000" w14:paraId="00000016">
      <w:pPr>
        <w:spacing w:after="180" w:lineRule="auto"/>
        <w:ind w:left="720" w:firstLine="0"/>
        <w:jc w:val="both"/>
        <w:rPr/>
      </w:pPr>
      <w:r w:rsidDel="00000000" w:rsidR="00000000" w:rsidRPr="00000000">
        <w:rPr>
          <w:rtl w:val="0"/>
        </w:rPr>
      </w:r>
    </w:p>
    <w:p w:rsidR="00000000" w:rsidDel="00000000" w:rsidP="00000000" w:rsidRDefault="00000000" w:rsidRPr="00000000" w14:paraId="00000017">
      <w:pPr>
        <w:numPr>
          <w:ilvl w:val="0"/>
          <w:numId w:val="4"/>
        </w:numPr>
        <w:spacing w:after="180" w:lineRule="auto"/>
        <w:ind w:left="720" w:hanging="360"/>
        <w:jc w:val="both"/>
        <w:rPr>
          <w:u w:val="none"/>
        </w:rPr>
      </w:pPr>
      <w:r w:rsidDel="00000000" w:rsidR="00000000" w:rsidRPr="00000000">
        <w:rPr>
          <w:b w:val="1"/>
          <w:bCs w:val="1"/>
          <w:rtl w:val="0"/>
        </w:rPr>
        <w:t xml:space="preserve">Sector Materiales:</w:t>
      </w:r>
      <w:r w:rsidDel="00000000" w:rsidR="00000000" w:rsidRPr="00000000">
        <w:rPr>
          <w:rtl w:val="0"/>
        </w:rPr>
        <w:t xml:space="preserve"> Representa a las megaempresas de extracción minera (oro, cobre, plata) y de fertilizantes agrícolas. </w:t>
      </w:r>
    </w:p>
    <w:p w:rsidR="00000000" w:rsidDel="00000000" w:rsidP="00000000" w:rsidRDefault="00000000" w:rsidRPr="00000000" w14:paraId="00000018">
      <w:pPr>
        <w:spacing w:after="180" w:lineRule="auto"/>
        <w:ind w:left="720" w:firstLine="0"/>
        <w:jc w:val="both"/>
        <w:rPr>
          <w:i w:val="1"/>
          <w:iCs w:val="1"/>
        </w:rPr>
      </w:pPr>
      <w:r w:rsidDel="00000000" w:rsidR="00000000" w:rsidRPr="00000000">
        <w:rPr>
          <w:i w:val="1"/>
          <w:iCs w:val="1"/>
          <w:rtl w:val="0"/>
        </w:rPr>
        <w:t xml:space="preserve">¿Por qué fue escogido?</w:t>
      </w:r>
    </w:p>
    <w:p w:rsidR="00000000" w:rsidDel="00000000" w:rsidP="00000000" w:rsidRDefault="00000000" w:rsidRPr="00000000" w14:paraId="00000019">
      <w:pPr>
        <w:numPr>
          <w:ilvl w:val="0"/>
          <w:numId w:val="1"/>
        </w:numPr>
        <w:spacing w:after="420" w:before="180" w:lineRule="auto"/>
        <w:ind w:left="720" w:hanging="360"/>
        <w:rPr>
          <w:sz w:val="22"/>
          <w:szCs w:val="22"/>
        </w:rPr>
      </w:pPr>
      <w:r w:rsidDel="00000000" w:rsidR="00000000" w:rsidRPr="00000000">
        <w:rPr>
          <w:rtl w:val="0"/>
        </w:rPr>
        <w:t xml:space="preserve">Incluye el oro y los minerales esenciales. Cuando hay crisis global o inflación (como en la post pandemic), los inversionistas corren a proteger su dinero en el oro. Es el sector "refugio" por excelencia.</w:t>
      </w:r>
    </w:p>
    <w:p w:rsidR="00000000" w:rsidDel="00000000" w:rsidP="00000000" w:rsidRDefault="00000000" w:rsidRPr="00000000" w14:paraId="0000001A">
      <w:pPr>
        <w:spacing w:after="420" w:before="180" w:lineRule="auto"/>
        <w:ind w:left="0" w:firstLine="0"/>
        <w:rPr/>
      </w:pPr>
      <w:r w:rsidDel="00000000" w:rsidR="00000000" w:rsidRPr="00000000">
        <w:rPr>
          <w:rtl w:val="0"/>
        </w:rPr>
        <w:t xml:space="preserve">ACCIONES</w:t>
      </w:r>
    </w:p>
    <w:p w:rsidR="00000000" w:rsidDel="00000000" w:rsidP="00000000" w:rsidRDefault="00000000" w:rsidRPr="00000000" w14:paraId="0000001B">
      <w:pPr>
        <w:numPr>
          <w:ilvl w:val="0"/>
          <w:numId w:val="9"/>
        </w:numPr>
        <w:spacing w:after="0" w:afterAutospacing="0" w:before="180" w:lineRule="auto"/>
        <w:ind w:left="720" w:hanging="360"/>
        <w:rPr>
          <w:u w:val="none"/>
        </w:rPr>
      </w:pPr>
      <w:r w:rsidDel="00000000" w:rsidR="00000000" w:rsidRPr="00000000">
        <w:rPr>
          <w:rtl w:val="0"/>
        </w:rPr>
        <w:t xml:space="preserve">Barrick Gold Corp (ABX CN Equity)</w:t>
      </w:r>
    </w:p>
    <w:p w:rsidR="00000000" w:rsidDel="00000000" w:rsidP="00000000" w:rsidRDefault="00000000" w:rsidRPr="00000000" w14:paraId="0000001C">
      <w:pPr>
        <w:numPr>
          <w:ilvl w:val="0"/>
          <w:numId w:val="9"/>
        </w:numPr>
        <w:spacing w:after="0" w:afterAutospacing="0" w:before="0" w:beforeAutospacing="0" w:lineRule="auto"/>
        <w:ind w:left="720" w:hanging="360"/>
        <w:rPr>
          <w:u w:val="none"/>
        </w:rPr>
      </w:pPr>
      <w:r w:rsidDel="00000000" w:rsidR="00000000" w:rsidRPr="00000000">
        <w:rPr>
          <w:rtl w:val="0"/>
        </w:rPr>
        <w:t xml:space="preserve">Agnico Eagle Mines Ltd (AEM CN Equity)</w:t>
      </w:r>
    </w:p>
    <w:p w:rsidR="00000000" w:rsidDel="00000000" w:rsidP="00000000" w:rsidRDefault="00000000" w:rsidRPr="00000000" w14:paraId="0000001D">
      <w:pPr>
        <w:numPr>
          <w:ilvl w:val="0"/>
          <w:numId w:val="9"/>
        </w:numPr>
        <w:spacing w:after="0" w:afterAutospacing="0" w:before="0" w:beforeAutospacing="0" w:lineRule="auto"/>
        <w:ind w:left="720" w:hanging="360"/>
        <w:rPr>
          <w:u w:val="none"/>
        </w:rPr>
      </w:pPr>
      <w:r w:rsidDel="00000000" w:rsidR="00000000" w:rsidRPr="00000000">
        <w:rPr>
          <w:rtl w:val="0"/>
        </w:rPr>
        <w:t xml:space="preserve">Lundin Gold Inc (LUG CN Equity)</w:t>
      </w:r>
    </w:p>
    <w:p w:rsidR="00000000" w:rsidDel="00000000" w:rsidP="00000000" w:rsidRDefault="00000000" w:rsidRPr="00000000" w14:paraId="0000001E">
      <w:pPr>
        <w:numPr>
          <w:ilvl w:val="0"/>
          <w:numId w:val="9"/>
        </w:numPr>
        <w:spacing w:after="0" w:afterAutospacing="0" w:before="0" w:beforeAutospacing="0" w:lineRule="auto"/>
        <w:ind w:left="720" w:hanging="360"/>
        <w:rPr>
          <w:u w:val="none"/>
        </w:rPr>
      </w:pPr>
      <w:r w:rsidDel="00000000" w:rsidR="00000000" w:rsidRPr="00000000">
        <w:rPr>
          <w:rtl w:val="0"/>
        </w:rPr>
        <w:t xml:space="preserve">Wheaton Precious Metals Corp (WPM CN Equity)</w:t>
      </w:r>
    </w:p>
    <w:p w:rsidR="00000000" w:rsidDel="00000000" w:rsidP="00000000" w:rsidRDefault="00000000" w:rsidRPr="00000000" w14:paraId="0000001F">
      <w:pPr>
        <w:numPr>
          <w:ilvl w:val="0"/>
          <w:numId w:val="9"/>
        </w:numPr>
        <w:spacing w:after="0" w:afterAutospacing="0" w:before="0" w:beforeAutospacing="0" w:lineRule="auto"/>
        <w:ind w:left="720" w:hanging="360"/>
        <w:rPr>
          <w:u w:val="none"/>
        </w:rPr>
      </w:pPr>
      <w:r w:rsidDel="00000000" w:rsidR="00000000" w:rsidRPr="00000000">
        <w:rPr>
          <w:rtl w:val="0"/>
        </w:rPr>
        <w:t xml:space="preserve">Franco-Nevada Corp (FNW CN Equity)</w:t>
      </w:r>
    </w:p>
    <w:p w:rsidR="00000000" w:rsidDel="00000000" w:rsidP="00000000" w:rsidRDefault="00000000" w:rsidRPr="00000000" w14:paraId="00000020">
      <w:pPr>
        <w:numPr>
          <w:ilvl w:val="0"/>
          <w:numId w:val="9"/>
        </w:numPr>
        <w:spacing w:after="0" w:afterAutospacing="0" w:before="0" w:beforeAutospacing="0" w:lineRule="auto"/>
        <w:ind w:left="720" w:hanging="360"/>
        <w:rPr>
          <w:u w:val="none"/>
        </w:rPr>
      </w:pPr>
      <w:r w:rsidDel="00000000" w:rsidR="00000000" w:rsidRPr="00000000">
        <w:rPr>
          <w:rtl w:val="0"/>
        </w:rPr>
        <w:t xml:space="preserve">Teck Resources Ltd (TECK.B CN Equity)</w:t>
      </w:r>
    </w:p>
    <w:p w:rsidR="00000000" w:rsidDel="00000000" w:rsidP="00000000" w:rsidRDefault="00000000" w:rsidRPr="00000000" w14:paraId="00000021">
      <w:pPr>
        <w:numPr>
          <w:ilvl w:val="0"/>
          <w:numId w:val="9"/>
        </w:numPr>
        <w:spacing w:after="0" w:afterAutospacing="0" w:before="0" w:beforeAutospacing="0" w:lineRule="auto"/>
        <w:ind w:left="720" w:hanging="360"/>
        <w:rPr>
          <w:u w:val="none"/>
        </w:rPr>
      </w:pPr>
      <w:r w:rsidDel="00000000" w:rsidR="00000000" w:rsidRPr="00000000">
        <w:rPr>
          <w:rtl w:val="0"/>
        </w:rPr>
        <w:t xml:space="preserve">Kinross Gold Corp (K CN Equity)</w:t>
      </w:r>
    </w:p>
    <w:p w:rsidR="00000000" w:rsidDel="00000000" w:rsidP="00000000" w:rsidRDefault="00000000" w:rsidRPr="00000000" w14:paraId="00000022">
      <w:pPr>
        <w:numPr>
          <w:ilvl w:val="0"/>
          <w:numId w:val="9"/>
        </w:numPr>
        <w:spacing w:after="0" w:afterAutospacing="0" w:before="0" w:beforeAutospacing="0" w:lineRule="auto"/>
        <w:ind w:left="720" w:hanging="360"/>
        <w:rPr>
          <w:u w:val="none"/>
        </w:rPr>
      </w:pPr>
      <w:r w:rsidDel="00000000" w:rsidR="00000000" w:rsidRPr="00000000">
        <w:rPr>
          <w:rtl w:val="0"/>
        </w:rPr>
        <w:t xml:space="preserve">First Quantum Minerals Ltd (FM CN Equity)</w:t>
      </w:r>
    </w:p>
    <w:p w:rsidR="00000000" w:rsidDel="00000000" w:rsidP="00000000" w:rsidRDefault="00000000" w:rsidRPr="00000000" w14:paraId="00000023">
      <w:pPr>
        <w:numPr>
          <w:ilvl w:val="0"/>
          <w:numId w:val="9"/>
        </w:numPr>
        <w:spacing w:after="0" w:afterAutospacing="0" w:before="0" w:beforeAutospacing="0" w:lineRule="auto"/>
        <w:ind w:left="720" w:hanging="360"/>
        <w:rPr>
          <w:u w:val="none"/>
        </w:rPr>
      </w:pPr>
      <w:r w:rsidDel="00000000" w:rsidR="00000000" w:rsidRPr="00000000">
        <w:rPr>
          <w:rtl w:val="0"/>
        </w:rPr>
        <w:t xml:space="preserve">Lundin Mining Corp (LUN CN Equity)</w:t>
      </w:r>
    </w:p>
    <w:p w:rsidR="00000000" w:rsidDel="00000000" w:rsidP="00000000" w:rsidRDefault="00000000" w:rsidRPr="00000000" w14:paraId="00000024">
      <w:pPr>
        <w:numPr>
          <w:ilvl w:val="0"/>
          <w:numId w:val="9"/>
        </w:numPr>
        <w:spacing w:after="420" w:before="0" w:beforeAutospacing="0" w:lineRule="auto"/>
        <w:ind w:left="720" w:hanging="360"/>
        <w:rPr>
          <w:u w:val="none"/>
        </w:rPr>
      </w:pPr>
      <w:r w:rsidDel="00000000" w:rsidR="00000000" w:rsidRPr="00000000">
        <w:rPr>
          <w:rtl w:val="0"/>
        </w:rPr>
        <w:t xml:space="preserve">Pan American Silver Corp (PAAS CN Equity)</w:t>
      </w:r>
    </w:p>
    <w:p w:rsidR="00000000" w:rsidDel="00000000" w:rsidP="00000000" w:rsidRDefault="00000000" w:rsidRPr="00000000" w14:paraId="00000025">
      <w:pPr>
        <w:spacing w:after="420" w:before="180" w:lineRule="auto"/>
        <w:ind w:left="720" w:firstLine="0"/>
        <w:rPr/>
      </w:pPr>
      <w:r w:rsidDel="00000000" w:rsidR="00000000" w:rsidRPr="00000000">
        <w:rPr>
          <w:rtl w:val="0"/>
        </w:rPr>
      </w:r>
    </w:p>
    <w:p w:rsidR="00000000" w:rsidDel="00000000" w:rsidP="00000000" w:rsidRDefault="00000000" w:rsidRPr="00000000" w14:paraId="00000026">
      <w:pPr>
        <w:numPr>
          <w:ilvl w:val="0"/>
          <w:numId w:val="4"/>
        </w:numPr>
        <w:spacing w:after="420" w:before="180" w:lineRule="auto"/>
        <w:ind w:left="720" w:hanging="360"/>
        <w:rPr>
          <w:b w:val="1"/>
          <w:bCs w:val="1"/>
          <w:i w:val="1"/>
          <w:iCs w:val="1"/>
          <w:sz w:val="24"/>
          <w:szCs w:val="24"/>
        </w:rPr>
      </w:pPr>
      <w:r w:rsidDel="00000000" w:rsidR="00000000" w:rsidRPr="00000000">
        <w:rPr>
          <w:b w:val="1"/>
          <w:bCs w:val="1"/>
          <w:i w:val="1"/>
          <w:iCs w:val="1"/>
          <w:sz w:val="24"/>
          <w:szCs w:val="24"/>
          <w:rtl w:val="0"/>
        </w:rPr>
        <w:t xml:space="preserve">Sector Financiero: </w:t>
      </w:r>
      <w:r w:rsidDel="00000000" w:rsidR="00000000" w:rsidRPr="00000000">
        <w:rPr>
          <w:i w:val="1"/>
          <w:iCs w:val="1"/>
          <w:rtl w:val="0"/>
        </w:rPr>
        <w:t xml:space="preserve">Representa la espina dorsal bancaria y de gestión de activos de la economía canadiense (incluye los "Big Six" bancos y grandes aseguradoras).</w:t>
      </w:r>
    </w:p>
    <w:p w:rsidR="00000000" w:rsidDel="00000000" w:rsidP="00000000" w:rsidRDefault="00000000" w:rsidRPr="00000000" w14:paraId="00000027">
      <w:pPr>
        <w:spacing w:after="420" w:before="180" w:lineRule="auto"/>
        <w:ind w:left="720" w:firstLine="0"/>
        <w:rPr>
          <w:i w:val="1"/>
          <w:iCs w:val="1"/>
        </w:rPr>
      </w:pPr>
      <w:r w:rsidDel="00000000" w:rsidR="00000000" w:rsidRPr="00000000">
        <w:rPr>
          <w:i w:val="1"/>
          <w:iCs w:val="1"/>
          <w:rtl w:val="0"/>
        </w:rPr>
        <w:t xml:space="preserve">¿Por qué fue escogido?Es el sector más sensible a las tasas de interés y a la salud del consumidor. Nos permite ver cómo el confinamiento y las ayudas del gobierno impactaron el crédito y la banca comercial. </w:t>
      </w:r>
    </w:p>
    <w:p w:rsidR="00000000" w:rsidDel="00000000" w:rsidP="00000000" w:rsidRDefault="00000000" w:rsidRPr="00000000" w14:paraId="00000028">
      <w:pPr>
        <w:spacing w:after="420" w:before="180" w:lineRule="auto"/>
        <w:ind w:left="0" w:firstLine="720"/>
        <w:rPr/>
      </w:pPr>
      <w:r w:rsidDel="00000000" w:rsidR="00000000" w:rsidRPr="00000000">
        <w:rPr>
          <w:rtl w:val="0"/>
        </w:rPr>
        <w:t xml:space="preserve">ACCIONES:</w:t>
      </w:r>
    </w:p>
    <w:p w:rsidR="00000000" w:rsidDel="00000000" w:rsidP="00000000" w:rsidRDefault="00000000" w:rsidRPr="00000000" w14:paraId="00000029">
      <w:pPr>
        <w:numPr>
          <w:ilvl w:val="0"/>
          <w:numId w:val="1"/>
        </w:numPr>
        <w:spacing w:after="0" w:afterAutospacing="0" w:before="180" w:lineRule="auto"/>
        <w:ind w:left="720" w:hanging="360"/>
        <w:rPr>
          <w:sz w:val="22"/>
          <w:szCs w:val="22"/>
        </w:rPr>
      </w:pPr>
      <w:r w:rsidDel="00000000" w:rsidR="00000000" w:rsidRPr="00000000">
        <w:rPr>
          <w:rtl w:val="0"/>
        </w:rPr>
        <w:t xml:space="preserve">- Royal Bank of Canada (RY CN Equity)</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Toronto-Dominion Bank (TD CN Equity)</w:t>
      </w:r>
    </w:p>
    <w:p w:rsidR="00000000" w:rsidDel="00000000" w:rsidP="00000000" w:rsidRDefault="00000000" w:rsidRPr="00000000" w14:paraId="0000002B">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Bank of Montreal (BMO CN Equity)</w:t>
      </w:r>
    </w:p>
    <w:p w:rsidR="00000000" w:rsidDel="00000000" w:rsidP="00000000" w:rsidRDefault="00000000" w:rsidRPr="00000000" w14:paraId="0000002C">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Bank of Nova Scotia (BNS CN Equity)</w:t>
      </w:r>
    </w:p>
    <w:p w:rsidR="00000000" w:rsidDel="00000000" w:rsidP="00000000" w:rsidRDefault="00000000" w:rsidRPr="00000000" w14:paraId="0000002D">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Canadian Imperial Bank of Commerce (CM CN Equity)</w:t>
      </w:r>
    </w:p>
    <w:p w:rsidR="00000000" w:rsidDel="00000000" w:rsidP="00000000" w:rsidRDefault="00000000" w:rsidRPr="00000000" w14:paraId="0000002E">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National Bank of Canada (NA CN Equity)</w:t>
      </w:r>
    </w:p>
    <w:p w:rsidR="00000000" w:rsidDel="00000000" w:rsidP="00000000" w:rsidRDefault="00000000" w:rsidRPr="00000000" w14:paraId="0000002F">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Brookfield Corporation (BN CN Equity)</w:t>
      </w:r>
    </w:p>
    <w:p w:rsidR="00000000" w:rsidDel="00000000" w:rsidP="00000000" w:rsidRDefault="00000000" w:rsidRPr="00000000" w14:paraId="00000030">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Manulife Financial Corp (MFC CN Equity)</w:t>
      </w:r>
    </w:p>
    <w:p w:rsidR="00000000" w:rsidDel="00000000" w:rsidP="00000000" w:rsidRDefault="00000000" w:rsidRPr="00000000" w14:paraId="00000031">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Sun Life Financial Inc (SLF CN Equity)</w:t>
      </w:r>
    </w:p>
    <w:p w:rsidR="00000000" w:rsidDel="00000000" w:rsidP="00000000" w:rsidRDefault="00000000" w:rsidRPr="00000000" w14:paraId="00000032">
      <w:pPr>
        <w:numPr>
          <w:ilvl w:val="0"/>
          <w:numId w:val="1"/>
        </w:numPr>
        <w:spacing w:after="420" w:before="0" w:beforeAutospacing="0" w:lineRule="auto"/>
        <w:ind w:left="720" w:hanging="360"/>
        <w:rPr>
          <w:sz w:val="22"/>
          <w:szCs w:val="22"/>
        </w:rPr>
      </w:pPr>
      <w:r w:rsidDel="00000000" w:rsidR="00000000" w:rsidRPr="00000000">
        <w:rPr>
          <w:rtl w:val="0"/>
        </w:rPr>
        <w:t xml:space="preserve">Great-West Lifeco Inc (GMO CN Equity)</w:t>
      </w:r>
    </w:p>
    <w:p w:rsidR="00000000" w:rsidDel="00000000" w:rsidP="00000000" w:rsidRDefault="00000000" w:rsidRPr="00000000" w14:paraId="00000033">
      <w:pPr>
        <w:spacing w:after="420" w:before="180" w:lineRule="auto"/>
        <w:ind w:left="0" w:firstLine="0"/>
        <w:rPr/>
      </w:pPr>
      <w:r w:rsidDel="00000000" w:rsidR="00000000" w:rsidRPr="00000000">
        <w:rPr>
          <w:b w:val="1"/>
          <w:bCs w:val="1"/>
          <w:i w:val="1"/>
          <w:iCs w:val="1"/>
          <w:rtl w:val="0"/>
        </w:rPr>
        <w:t xml:space="preserve">FUENTE DE LOS DATOS: </w:t>
      </w:r>
      <w:r w:rsidDel="00000000" w:rsidR="00000000" w:rsidRPr="00000000">
        <w:rPr>
          <w:sz w:val="24"/>
          <w:szCs w:val="24"/>
          <w:rtl w:val="0"/>
        </w:rPr>
        <w:t xml:space="preserve">Terminal Bloomberg LP. Precios de cierre diarios ajustados (</w:t>
      </w:r>
      <w:r w:rsidDel="00000000" w:rsidR="00000000" w:rsidRPr="00000000">
        <w:rPr>
          <w:rFonts w:ascii="Courier New" w:cs="Courier New" w:eastAsia="Courier New" w:hAnsi="Courier New"/>
          <w:color w:val="188038"/>
          <w:sz w:val="21"/>
          <w:szCs w:val="21"/>
          <w:rtl w:val="0"/>
        </w:rPr>
        <w:t xml:space="preserve">PX_LAST</w:t>
      </w:r>
      <w:r w:rsidDel="00000000" w:rsidR="00000000" w:rsidRPr="00000000">
        <w:rPr>
          <w:sz w:val="24"/>
          <w:szCs w:val="24"/>
          <w:rtl w:val="0"/>
        </w:rPr>
        <w:t xml:space="preserve">) y Volúmenes de transacción diarios (</w:t>
      </w:r>
      <w:r w:rsidDel="00000000" w:rsidR="00000000" w:rsidRPr="00000000">
        <w:rPr>
          <w:rFonts w:ascii="Courier New" w:cs="Courier New" w:eastAsia="Courier New" w:hAnsi="Courier New"/>
          <w:color w:val="188038"/>
          <w:sz w:val="21"/>
          <w:szCs w:val="21"/>
          <w:rtl w:val="0"/>
        </w:rPr>
        <w:t xml:space="preserve">PX_VOLUME</w:t>
      </w:r>
      <w:r w:rsidDel="00000000" w:rsidR="00000000" w:rsidRPr="00000000">
        <w:rPr>
          <w:sz w:val="24"/>
          <w:szCs w:val="24"/>
          <w:rtl w:val="0"/>
        </w:rPr>
        <w:t xml:space="preserve">) extraídos mediante el complemento institucional </w:t>
      </w:r>
      <w:r w:rsidDel="00000000" w:rsidR="00000000" w:rsidRPr="00000000">
        <w:rPr>
          <w:i w:val="1"/>
          <w:iCs w:val="1"/>
          <w:sz w:val="24"/>
          <w:szCs w:val="24"/>
          <w:rtl w:val="0"/>
        </w:rPr>
        <w:t xml:space="preserve">Bloomberg Excel Add-in</w:t>
      </w:r>
      <w:r w:rsidDel="00000000" w:rsidR="00000000" w:rsidRPr="00000000">
        <w:rPr>
          <w:sz w:val="24"/>
          <w:szCs w:val="24"/>
          <w:rtl w:val="0"/>
        </w:rPr>
        <w:t xml:space="preserve"> (</w:t>
      </w:r>
      <w:r w:rsidDel="00000000" w:rsidR="00000000" w:rsidRPr="00000000">
        <w:rPr>
          <w:i w:val="1"/>
          <w:iCs w:val="1"/>
          <w:sz w:val="24"/>
          <w:szCs w:val="24"/>
          <w:rtl w:val="0"/>
        </w:rPr>
        <w:t xml:space="preserve">Spreadsheet Builder</w:t>
      </w:r>
      <w:r w:rsidDel="00000000" w:rsidR="00000000" w:rsidRPr="00000000">
        <w:rPr>
          <w:sz w:val="24"/>
          <w:szCs w:val="24"/>
          <w:rtl w:val="0"/>
        </w:rPr>
        <w:t xml:space="preserve">) para el periodo histórico comprendido entre el 1 de enero de 2015 y el 31 de diciembre de 2025. Todos los activos corresponden a emisores listados en la Bolsa de Valores de Toronto (TSX), utilizando el identificador geográfico </w:t>
      </w:r>
      <w:r w:rsidDel="00000000" w:rsidR="00000000" w:rsidRPr="00000000">
        <w:rPr>
          <w:rFonts w:ascii="Courier New" w:cs="Courier New" w:eastAsia="Courier New" w:hAnsi="Courier New"/>
          <w:color w:val="188038"/>
          <w:sz w:val="21"/>
          <w:szCs w:val="21"/>
          <w:rtl w:val="0"/>
        </w:rPr>
        <w:t xml:space="preserve">CN Equity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4">
      <w:pPr>
        <w:spacing w:after="100" w:lineRule="auto"/>
        <w:ind w:left="0" w:firstLine="0"/>
        <w:jc w:val="both"/>
        <w:rPr>
          <w:shd w:fill="ead1dc" w:val="clear"/>
        </w:rPr>
      </w:pPr>
      <w:r w:rsidDel="00000000" w:rsidR="00000000" w:rsidRPr="00000000">
        <w:rPr>
          <w:rtl w:val="0"/>
        </w:rPr>
      </w:r>
    </w:p>
    <w:p w:rsidR="00000000" w:rsidDel="00000000" w:rsidP="00000000" w:rsidRDefault="00000000" w:rsidRPr="00000000" w14:paraId="00000035">
      <w:pPr>
        <w:spacing w:after="100" w:lineRule="auto"/>
        <w:jc w:val="both"/>
        <w:rPr>
          <w:shd w:fill="ead1dc" w:val="clear"/>
        </w:rPr>
      </w:pPr>
      <w:r w:rsidDel="00000000" w:rsidR="00000000" w:rsidRPr="00000000">
        <w:rPr>
          <w:rtl w:val="0"/>
        </w:rPr>
      </w:r>
    </w:p>
    <w:p w:rsidR="00000000" w:rsidDel="00000000" w:rsidP="00000000" w:rsidRDefault="00000000" w:rsidRPr="00000000" w14:paraId="00000036">
      <w:pPr>
        <w:spacing w:after="100" w:lineRule="auto"/>
        <w:jc w:val="both"/>
        <w:rPr>
          <w:shd w:fill="b6d7a8" w:val="clear"/>
        </w:rPr>
      </w:pPr>
      <w:r w:rsidDel="00000000" w:rsidR="00000000" w:rsidRPr="00000000">
        <w:rPr>
          <w:b w:val="1"/>
          <w:bCs w:val="1"/>
          <w:shd w:fill="b6d7a8" w:val="clear"/>
          <w:rtl w:val="0"/>
        </w:rPr>
        <w:t xml:space="preserve">1.2 </w:t>
      </w:r>
      <w:r w:rsidDel="00000000" w:rsidR="00000000" w:rsidRPr="00000000">
        <w:rPr>
          <w:shd w:fill="b6d7a8" w:val="clear"/>
          <w:rtl w:val="0"/>
        </w:rPr>
        <w:t xml:space="preserve">Para cada uno de los tres índices, creen pesos según el volumen de transacciones inicial (enero de 2015) sobre el total del índice. Verifiquen que los pesos sumen 1.</w:t>
      </w:r>
    </w:p>
    <w:p w:rsidR="00000000" w:rsidDel="00000000" w:rsidP="00000000" w:rsidRDefault="00000000" w:rsidRPr="00000000" w14:paraId="00000037">
      <w:pPr>
        <w:spacing w:after="100" w:lineRule="auto"/>
        <w:jc w:val="both"/>
        <w:rPr/>
      </w:pPr>
      <w:r w:rsidDel="00000000" w:rsidR="00000000" w:rsidRPr="00000000">
        <w:rPr>
          <w:rtl w:val="0"/>
        </w:rPr>
        <w:t xml:space="preserve">El desarrollo se encuentra en la hoja de Ponderación e Índices </w:t>
      </w:r>
    </w:p>
    <w:p w:rsidR="00000000" w:rsidDel="00000000" w:rsidP="00000000" w:rsidRDefault="00000000" w:rsidRPr="00000000" w14:paraId="00000038">
      <w:pPr>
        <w:spacing w:after="100" w:lineRule="auto"/>
        <w:jc w:val="both"/>
        <w:rPr/>
      </w:pPr>
      <w:r w:rsidDel="00000000" w:rsidR="00000000" w:rsidRPr="00000000">
        <w:rPr>
          <w:rtl w:val="0"/>
        </w:rPr>
        <w:t xml:space="preserve">"Volumen inicial" se interpretó como el </w:t>
      </w:r>
      <w:r w:rsidDel="00000000" w:rsidR="00000000" w:rsidRPr="00000000">
        <w:rPr>
          <w:b w:val="1"/>
          <w:bCs w:val="1"/>
          <w:rtl w:val="0"/>
        </w:rPr>
        <w:t xml:space="preserve">volumen total transado por cada acción durante todo enero de 2015</w:t>
      </w:r>
      <w:r w:rsidDel="00000000" w:rsidR="00000000" w:rsidRPr="00000000">
        <w:rPr>
          <w:rtl w:val="0"/>
        </w:rPr>
        <w:t xml:space="preserve"> (no solo el primer día del mes), sumando únicamente los días hábiles de ese mes. </w:t>
      </w:r>
    </w:p>
    <w:p w:rsidR="00000000" w:rsidDel="00000000" w:rsidP="00000000" w:rsidRDefault="00000000" w:rsidRPr="00000000" w14:paraId="00000039">
      <w:pPr>
        <w:numPr>
          <w:ilvl w:val="0"/>
          <w:numId w:val="6"/>
        </w:numPr>
        <w:spacing w:after="0" w:afterAutospacing="0" w:lineRule="auto"/>
        <w:ind w:left="720" w:hanging="360"/>
        <w:jc w:val="both"/>
        <w:rPr/>
      </w:pPr>
      <w:r w:rsidDel="00000000" w:rsidR="00000000" w:rsidRPr="00000000">
        <w:rPr>
          <w:rtl w:val="0"/>
        </w:rPr>
        <w:t xml:space="preserve">Sumamos el volumen diario de cada acción dentro del mes de enero.</w:t>
      </w:r>
    </w:p>
    <w:p w:rsidR="00000000" w:rsidDel="00000000" w:rsidP="00000000" w:rsidRDefault="00000000" w:rsidRPr="00000000" w14:paraId="0000003A">
      <w:pPr>
        <w:numPr>
          <w:ilvl w:val="0"/>
          <w:numId w:val="6"/>
        </w:numPr>
        <w:spacing w:after="0" w:afterAutospacing="0" w:lineRule="auto"/>
        <w:ind w:left="720" w:hanging="360"/>
        <w:jc w:val="both"/>
        <w:rPr/>
      </w:pPr>
      <w:r w:rsidDel="00000000" w:rsidR="00000000" w:rsidRPr="00000000">
        <w:rPr>
          <w:rtl w:val="0"/>
        </w:rPr>
        <w:t xml:space="preserve">Se sumaron los resultados del paso anterior</w:t>
      </w:r>
    </w:p>
    <w:p w:rsidR="00000000" w:rsidDel="00000000" w:rsidP="00000000" w:rsidRDefault="00000000" w:rsidRPr="00000000" w14:paraId="0000003B">
      <w:pPr>
        <w:numPr>
          <w:ilvl w:val="0"/>
          <w:numId w:val="6"/>
        </w:numPr>
        <w:spacing w:after="0" w:afterAutospacing="0" w:lineRule="auto"/>
        <w:ind w:left="720" w:hanging="360"/>
        <w:jc w:val="both"/>
        <w:rPr/>
      </w:pPr>
      <w:r w:rsidDel="00000000" w:rsidR="00000000" w:rsidRPr="00000000">
        <w:rPr>
          <w:rtl w:val="0"/>
        </w:rPr>
        <w:t xml:space="preserve">Para calcular el peso de cada acción, cada individual de enero se dividió entre el volumen total del sector </w:t>
      </w:r>
    </w:p>
    <w:p w:rsidR="00000000" w:rsidDel="00000000" w:rsidP="00000000" w:rsidRDefault="00000000" w:rsidRPr="00000000" w14:paraId="0000003C">
      <w:pPr>
        <w:numPr>
          <w:ilvl w:val="0"/>
          <w:numId w:val="6"/>
        </w:numPr>
        <w:spacing w:after="100" w:lineRule="auto"/>
        <w:ind w:left="720" w:hanging="360"/>
        <w:jc w:val="both"/>
        <w:rPr/>
      </w:pPr>
      <w:r w:rsidDel="00000000" w:rsidR="00000000" w:rsidRPr="00000000">
        <w:rPr>
          <w:rtl w:val="0"/>
        </w:rPr>
        <w:t xml:space="preserve">Por último, cómo verificación, sumamos y debe dar 1 o 0.999999 </w:t>
      </w:r>
    </w:p>
    <w:p w:rsidR="00000000" w:rsidDel="00000000" w:rsidP="00000000" w:rsidRDefault="00000000" w:rsidRPr="00000000" w14:paraId="0000003D">
      <w:pPr>
        <w:spacing w:after="100" w:lineRule="auto"/>
        <w:jc w:val="both"/>
        <w:rPr>
          <w:shd w:fill="b6d7a8" w:val="clear"/>
        </w:rPr>
      </w:pPr>
      <w:r w:rsidDel="00000000" w:rsidR="00000000" w:rsidRPr="00000000">
        <w:rPr>
          <w:rtl w:val="0"/>
        </w:rPr>
      </w:r>
    </w:p>
    <w:p w:rsidR="00000000" w:rsidDel="00000000" w:rsidP="00000000" w:rsidRDefault="00000000" w:rsidRPr="00000000" w14:paraId="0000003E">
      <w:pPr>
        <w:spacing w:after="100" w:lineRule="auto"/>
        <w:jc w:val="both"/>
        <w:rPr>
          <w:shd w:fill="c9daf8" w:val="clear"/>
        </w:rPr>
      </w:pPr>
      <w:r w:rsidDel="00000000" w:rsidR="00000000" w:rsidRPr="00000000">
        <w:rPr>
          <w:b w:val="1"/>
          <w:bCs w:val="1"/>
          <w:shd w:fill="b6d7a8" w:val="clear"/>
          <w:rtl w:val="0"/>
        </w:rPr>
        <w:t xml:space="preserve">1.3 </w:t>
      </w:r>
      <w:r w:rsidDel="00000000" w:rsidR="00000000" w:rsidRPr="00000000">
        <w:rPr>
          <w:shd w:fill="b6d7a8" w:val="clear"/>
          <w:rtl w:val="0"/>
        </w:rPr>
        <w:t xml:space="preserve">Creen también pesos según el precio inicial de cada acción (enero de 2015). Comparen estos pesos con los construidos a partir del volumen de transacciones</w:t>
      </w:r>
      <w:r w:rsidDel="00000000" w:rsidR="00000000" w:rsidRPr="00000000">
        <w:rPr>
          <w:shd w:fill="c9daf8" w:val="clear"/>
          <w:rtl w:val="0"/>
        </w:rPr>
        <w:t xml:space="preserve"> </w:t>
      </w:r>
    </w:p>
    <w:p w:rsidR="00000000" w:rsidDel="00000000" w:rsidP="00000000" w:rsidRDefault="00000000" w:rsidRPr="00000000" w14:paraId="0000003F">
      <w:pPr>
        <w:spacing w:after="100" w:lineRule="auto"/>
        <w:jc w:val="both"/>
        <w:rPr/>
      </w:pPr>
      <w:r w:rsidDel="00000000" w:rsidR="00000000" w:rsidRPr="00000000">
        <w:rPr>
          <w:rtl w:val="0"/>
        </w:rPr>
        <w:t xml:space="preserve">Este paso construye un </w:t>
      </w:r>
      <w:r w:rsidDel="00000000" w:rsidR="00000000" w:rsidRPr="00000000">
        <w:rPr>
          <w:b w:val="1"/>
          <w:bCs w:val="1"/>
          <w:rtl w:val="0"/>
        </w:rPr>
        <w:t xml:space="preserve">segundo índice alternativo</w:t>
      </w:r>
      <w:r w:rsidDel="00000000" w:rsidR="00000000" w:rsidRPr="00000000">
        <w:rPr>
          <w:rtl w:val="0"/>
        </w:rPr>
        <w:t xml:space="preserve"> para cada sector, usando el precio como criterio de ponderación en vez del volumen; con el objetivo de contrastar si la elección metodológica cambia la historia que cuenta el índice. </w:t>
      </w:r>
    </w:p>
    <w:p w:rsidR="00000000" w:rsidDel="00000000" w:rsidP="00000000" w:rsidRDefault="00000000" w:rsidRPr="00000000" w14:paraId="00000040">
      <w:pPr>
        <w:spacing w:after="100" w:lineRule="auto"/>
        <w:jc w:val="both"/>
        <w:rPr/>
      </w:pPr>
      <w:r w:rsidDel="00000000" w:rsidR="00000000" w:rsidRPr="00000000">
        <w:rPr>
          <w:rtl w:val="0"/>
        </w:rPr>
        <w:t xml:space="preserve">Un índice ponderado por precio da más peso a empresas "caras" por acción, mientras que uno ponderado por volumen da más peso a empresas muy transadas. </w:t>
      </w:r>
    </w:p>
    <w:p w:rsidR="00000000" w:rsidDel="00000000" w:rsidP="00000000" w:rsidRDefault="00000000" w:rsidRPr="00000000" w14:paraId="00000041">
      <w:pPr>
        <w:numPr>
          <w:ilvl w:val="0"/>
          <w:numId w:val="2"/>
        </w:numPr>
        <w:spacing w:after="0" w:afterAutospacing="0" w:lineRule="auto"/>
        <w:ind w:left="720" w:hanging="360"/>
        <w:jc w:val="both"/>
        <w:rPr>
          <w:u w:val="none"/>
        </w:rPr>
      </w:pPr>
      <w:r w:rsidDel="00000000" w:rsidR="00000000" w:rsidRPr="00000000">
        <w:rPr>
          <w:rtl w:val="0"/>
        </w:rPr>
        <w:t xml:space="preserve">Utilizamos el precio promedio de enero de 2015, por acción. (total de enero sobre total de días)</w:t>
      </w:r>
    </w:p>
    <w:p w:rsidR="00000000" w:rsidDel="00000000" w:rsidP="00000000" w:rsidRDefault="00000000" w:rsidRPr="00000000" w14:paraId="00000042">
      <w:pPr>
        <w:numPr>
          <w:ilvl w:val="0"/>
          <w:numId w:val="2"/>
        </w:numPr>
        <w:spacing w:after="100" w:lineRule="auto"/>
        <w:ind w:left="720" w:hanging="360"/>
        <w:jc w:val="both"/>
        <w:rPr>
          <w:u w:val="none"/>
        </w:rPr>
      </w:pPr>
      <w:r w:rsidDel="00000000" w:rsidR="00000000" w:rsidRPr="00000000">
        <w:rPr>
          <w:rtl w:val="0"/>
        </w:rPr>
        <w:t xml:space="preserve">Sumamos </w:t>
      </w:r>
    </w:p>
    <w:p w:rsidR="00000000" w:rsidDel="00000000" w:rsidP="00000000" w:rsidRDefault="00000000" w:rsidRPr="00000000" w14:paraId="00000043">
      <w:pPr>
        <w:spacing w:after="100" w:lineRule="auto"/>
        <w:jc w:val="both"/>
        <w:rPr>
          <w:shd w:fill="c9daf8" w:val="clear"/>
        </w:rPr>
      </w:pPr>
      <w:r w:rsidDel="00000000" w:rsidR="00000000" w:rsidRPr="00000000">
        <w:rPr>
          <w:shd w:fill="c9daf8" w:val="clear"/>
          <w:rtl w:val="0"/>
        </w:rPr>
        <w:t xml:space="preserve">Expliquen por qué cambian. ¿Qué implicación tiene la regla de ponderación para la lectura del índice por parte del fondo?</w:t>
      </w:r>
    </w:p>
    <w:p w:rsidR="00000000" w:rsidDel="00000000" w:rsidP="00000000" w:rsidRDefault="00000000" w:rsidRPr="00000000" w14:paraId="00000044">
      <w:pPr>
        <w:spacing w:after="100" w:lineRule="auto"/>
        <w:ind w:left="0" w:firstLine="0"/>
        <w:jc w:val="both"/>
        <w:rPr/>
      </w:pPr>
      <w:r w:rsidDel="00000000" w:rsidR="00000000" w:rsidRPr="00000000">
        <w:rPr>
          <w:rtl w:val="0"/>
        </w:rPr>
        <w:t xml:space="preserve">Los pesos cambian porque la ponderación por precio asigna importancia según el valor unitario de la acción (sujeto a decisiones corporativas como splits), mientras que la ponderación por volumen mide la liquidez y actividad real del mercado. Esto hace que acciones costosas ganen un peso desmedido sin importar cuánto se negocien. Para nuestro fondo, esta regla distorsiona la lectura del mercado al sesgar el índice hacia títulos caros y genera altos riesgos de liquidez y costos de réplica al obligarnos a comprar acciones poco líquidas al rebalancear el portafolio.</w:t>
      </w:r>
    </w:p>
    <w:p w:rsidR="00000000" w:rsidDel="00000000" w:rsidP="00000000" w:rsidRDefault="00000000" w:rsidRPr="00000000" w14:paraId="00000045">
      <w:pPr>
        <w:pStyle w:val="Heading2"/>
        <w:keepNext w:val="0"/>
        <w:keepLines w:val="0"/>
        <w:spacing w:after="60" w:lineRule="auto"/>
        <w:rPr>
          <w:b w:val="1"/>
          <w:bCs w:val="1"/>
          <w:sz w:val="34"/>
          <w:szCs w:val="34"/>
        </w:rPr>
      </w:pPr>
      <w:bookmarkStart w:colFirst="0" w:colLast="0" w:name="_51v28gau5z62" w:id="2"/>
      <w:bookmarkEnd w:id="2"/>
      <w:r w:rsidDel="00000000" w:rsidR="00000000" w:rsidRPr="00000000">
        <w:rPr>
          <w:b w:val="1"/>
          <w:bCs w:val="1"/>
          <w:sz w:val="34"/>
          <w:szCs w:val="34"/>
          <w:rtl w:val="0"/>
        </w:rPr>
        <w:t xml:space="preserve">2. Resumen y comportamiento de los datos</w:t>
      </w:r>
    </w:p>
    <w:p w:rsidR="00000000" w:rsidDel="00000000" w:rsidP="00000000" w:rsidRDefault="00000000" w:rsidRPr="00000000" w14:paraId="00000046">
      <w:pPr>
        <w:spacing w:after="100" w:lineRule="auto"/>
        <w:jc w:val="both"/>
        <w:rPr>
          <w:shd w:fill="c9daf8" w:val="clear"/>
        </w:rPr>
      </w:pPr>
      <w:r w:rsidDel="00000000" w:rsidR="00000000" w:rsidRPr="00000000">
        <w:rPr>
          <w:b w:val="1"/>
          <w:bCs w:val="1"/>
          <w:shd w:fill="c9daf8" w:val="clear"/>
          <w:rtl w:val="0"/>
        </w:rPr>
        <w:t xml:space="preserve">2.1 </w:t>
      </w:r>
      <w:r w:rsidDel="00000000" w:rsidR="00000000" w:rsidRPr="00000000">
        <w:rPr>
          <w:shd w:fill="c9daf8" w:val="clear"/>
          <w:rtl w:val="0"/>
        </w:rPr>
        <w:t xml:space="preserve">Describan la naturaleza de cada índice. ¿Qué incluye? ¿Qué sectores, industrias y tipos de empresas están representados? Señalen cualquier limitación importante de la selección de 10 acciones.</w:t>
      </w:r>
    </w:p>
    <w:p w:rsidR="00000000" w:rsidDel="00000000" w:rsidP="00000000" w:rsidRDefault="00000000" w:rsidRPr="00000000" w14:paraId="00000047">
      <w:pPr>
        <w:spacing w:after="100" w:lineRule="auto"/>
        <w:ind w:left="0" w:firstLine="0"/>
        <w:jc w:val="both"/>
        <w:rPr/>
      </w:pPr>
      <w:r w:rsidDel="00000000" w:rsidR="00000000" w:rsidRPr="00000000">
        <w:rPr>
          <w:rtl w:val="0"/>
        </w:rPr>
        <w:t xml:space="preserve">Cada índice reúne a las 1</w:t>
      </w:r>
      <w:r w:rsidDel="00000000" w:rsidR="00000000" w:rsidRPr="00000000">
        <w:rPr>
          <w:rtl w:val="0"/>
        </w:rPr>
        <w:t xml:space="preserve">0 empresas de mayor capitalización (</w:t>
      </w:r>
      <w:r w:rsidDel="00000000" w:rsidR="00000000" w:rsidRPr="00000000">
        <w:rPr>
          <w:i w:val="1"/>
          <w:iCs w:val="1"/>
          <w:rtl w:val="0"/>
        </w:rPr>
        <w:t xml:space="preserve">large caps</w:t>
      </w:r>
      <w:r w:rsidDel="00000000" w:rsidR="00000000" w:rsidRPr="00000000">
        <w:rPr>
          <w:rtl w:val="0"/>
        </w:rPr>
        <w:t xml:space="preserve">) de la Bolsa de Toronto (S&amp;P/TSX) </w:t>
      </w:r>
      <w:r w:rsidDel="00000000" w:rsidR="00000000" w:rsidRPr="00000000">
        <w:rPr>
          <w:rtl w:val="0"/>
        </w:rPr>
        <w:t xml:space="preserve">para representar tres sectores clave de la economía canadiense entre 2015 y 2025: </w:t>
      </w:r>
    </w:p>
    <w:p w:rsidR="00000000" w:rsidDel="00000000" w:rsidP="00000000" w:rsidRDefault="00000000" w:rsidRPr="00000000" w14:paraId="00000048">
      <w:pPr>
        <w:spacing w:after="100" w:lineRule="auto"/>
        <w:ind w:left="0" w:firstLine="0"/>
        <w:jc w:val="both"/>
        <w:rPr/>
      </w:pPr>
      <w:r w:rsidDel="00000000" w:rsidR="00000000" w:rsidRPr="00000000">
        <w:rPr>
          <w:rtl w:val="0"/>
        </w:rPr>
        <w:t xml:space="preserve">El sector financiero incluye a los seis grandes bancos comerciales (</w:t>
      </w:r>
      <w:r w:rsidDel="00000000" w:rsidR="00000000" w:rsidRPr="00000000">
        <w:rPr>
          <w:i w:val="1"/>
          <w:iCs w:val="1"/>
          <w:rtl w:val="0"/>
        </w:rPr>
        <w:t xml:space="preserve">Big Six</w:t>
      </w:r>
      <w:r w:rsidDel="00000000" w:rsidR="00000000" w:rsidRPr="00000000">
        <w:rPr>
          <w:rtl w:val="0"/>
        </w:rPr>
        <w:t xml:space="preserve">), a la gestora global Brookfield y a las principales aseguradoras (Manulife, Sun Life, Great-West). </w:t>
      </w:r>
    </w:p>
    <w:p w:rsidR="00000000" w:rsidDel="00000000" w:rsidP="00000000" w:rsidRDefault="00000000" w:rsidRPr="00000000" w14:paraId="00000049">
      <w:pPr>
        <w:spacing w:after="100" w:lineRule="auto"/>
        <w:ind w:left="0" w:firstLine="0"/>
        <w:jc w:val="both"/>
        <w:rPr/>
      </w:pPr>
      <w:r w:rsidDel="00000000" w:rsidR="00000000" w:rsidRPr="00000000">
        <w:rPr>
          <w:rtl w:val="0"/>
        </w:rPr>
        <w:t xml:space="preserve">El sector de materiales abarca la minería de metales preciosos como el oro y la plata, metales industriales como el cobre y empresas de regalías mineras (</w:t>
      </w:r>
      <w:r w:rsidDel="00000000" w:rsidR="00000000" w:rsidRPr="00000000">
        <w:rPr>
          <w:i w:val="1"/>
          <w:iCs w:val="1"/>
          <w:rtl w:val="0"/>
        </w:rPr>
        <w:t xml:space="preserve">streaming</w:t>
      </w:r>
      <w:r w:rsidDel="00000000" w:rsidR="00000000" w:rsidRPr="00000000">
        <w:rPr>
          <w:rtl w:val="0"/>
        </w:rPr>
        <w:t xml:space="preserve"> como Franco-Nevada). </w:t>
      </w:r>
    </w:p>
    <w:p w:rsidR="00000000" w:rsidDel="00000000" w:rsidP="00000000" w:rsidRDefault="00000000" w:rsidRPr="00000000" w14:paraId="0000004A">
      <w:pPr>
        <w:spacing w:after="100" w:lineRule="auto"/>
        <w:ind w:left="0" w:firstLine="0"/>
        <w:jc w:val="both"/>
        <w:rPr/>
      </w:pPr>
      <w:r w:rsidDel="00000000" w:rsidR="00000000" w:rsidRPr="00000000">
        <w:rPr>
          <w:rtl w:val="0"/>
        </w:rPr>
        <w:t xml:space="preserve">El sector de energía cubre la cadena de hidrocarburos, dividida entre productoras de petróleo y gas (</w:t>
      </w:r>
      <w:r w:rsidDel="00000000" w:rsidR="00000000" w:rsidRPr="00000000">
        <w:rPr>
          <w:i w:val="1"/>
          <w:iCs w:val="1"/>
          <w:rtl w:val="0"/>
        </w:rPr>
        <w:t xml:space="preserve">oil sands</w:t>
      </w:r>
      <w:r w:rsidDel="00000000" w:rsidR="00000000" w:rsidRPr="00000000">
        <w:rPr>
          <w:rtl w:val="0"/>
        </w:rPr>
        <w:t xml:space="preserve">) y transportadoras por oleoductos/gasoductos (</w:t>
      </w:r>
      <w:r w:rsidDel="00000000" w:rsidR="00000000" w:rsidRPr="00000000">
        <w:rPr>
          <w:i w:val="1"/>
          <w:iCs w:val="1"/>
          <w:rtl w:val="0"/>
        </w:rPr>
        <w:t xml:space="preserve">midstream</w:t>
      </w:r>
      <w:r w:rsidDel="00000000" w:rsidR="00000000" w:rsidRPr="00000000">
        <w:rPr>
          <w:rtl w:val="0"/>
        </w:rPr>
        <w:t xml:space="preserve"> como Enbridge). </w:t>
      </w:r>
    </w:p>
    <w:p w:rsidR="00000000" w:rsidDel="00000000" w:rsidP="00000000" w:rsidRDefault="00000000" w:rsidRPr="00000000" w14:paraId="0000004B">
      <w:pPr>
        <w:numPr>
          <w:ilvl w:val="0"/>
          <w:numId w:val="7"/>
        </w:numPr>
        <w:spacing w:after="100" w:lineRule="auto"/>
        <w:ind w:left="720" w:hanging="360"/>
        <w:jc w:val="both"/>
        <w:rPr>
          <w:u w:val="none"/>
          <w:shd w:fill="c9daf8" w:val="clear"/>
        </w:rPr>
      </w:pPr>
      <w:r w:rsidDel="00000000" w:rsidR="00000000" w:rsidRPr="00000000">
        <w:rPr>
          <w:shd w:fill="c9daf8" w:val="clear"/>
          <w:rtl w:val="0"/>
        </w:rPr>
        <w:t xml:space="preserve">Las limitaciones de seleccionar 10 acciones son: </w:t>
      </w:r>
    </w:p>
    <w:p w:rsidR="00000000" w:rsidDel="00000000" w:rsidP="00000000" w:rsidRDefault="00000000" w:rsidRPr="00000000" w14:paraId="0000004C">
      <w:pPr>
        <w:spacing w:after="100" w:lineRule="auto"/>
        <w:ind w:left="0" w:firstLine="0"/>
        <w:jc w:val="both"/>
        <w:rPr/>
      </w:pPr>
      <w:r w:rsidDel="00000000" w:rsidR="00000000" w:rsidRPr="00000000">
        <w:rPr>
          <w:rtl w:val="0"/>
        </w:rPr>
        <w:t xml:space="preserve">El sesgo de gran tamaño, que deja afuera a las medianas y a las pequeñas empresas y la alta concentración que el índice queda expuesto al riesgo individual de unas pocas acciones dominantes. </w:t>
      </w:r>
    </w:p>
    <w:p w:rsidR="00000000" w:rsidDel="00000000" w:rsidP="00000000" w:rsidRDefault="00000000" w:rsidRPr="00000000" w14:paraId="0000004D">
      <w:pPr>
        <w:spacing w:after="100" w:lineRule="auto"/>
        <w:jc w:val="both"/>
        <w:rPr>
          <w:shd w:fill="b6d7a8" w:val="clear"/>
        </w:rPr>
      </w:pPr>
      <w:r w:rsidDel="00000000" w:rsidR="00000000" w:rsidRPr="00000000">
        <w:rPr>
          <w:b w:val="1"/>
          <w:bCs w:val="1"/>
          <w:shd w:fill="b6d7a8" w:val="clear"/>
          <w:rtl w:val="0"/>
        </w:rPr>
        <w:t xml:space="preserve">2.2 </w:t>
      </w:r>
      <w:r w:rsidDel="00000000" w:rsidR="00000000" w:rsidRPr="00000000">
        <w:rPr>
          <w:shd w:fill="b6d7a8" w:val="clear"/>
          <w:rtl w:val="0"/>
        </w:rPr>
        <w:t xml:space="preserve">Calculen los retornos aritméticos diarios de cada activo y, con ellos, los retornos diarios ponderados de los tres índices para 2015–2025.</w:t>
      </w:r>
    </w:p>
    <w:p w:rsidR="00000000" w:rsidDel="00000000" w:rsidP="00000000" w:rsidRDefault="00000000" w:rsidRPr="00000000" w14:paraId="0000004E">
      <w:pPr>
        <w:spacing w:after="100" w:lineRule="auto"/>
        <w:jc w:val="both"/>
        <w:rPr>
          <w:shd w:fill="fce5cd" w:val="clear"/>
        </w:rPr>
      </w:pPr>
      <w:r w:rsidDel="00000000" w:rsidR="00000000" w:rsidRPr="00000000">
        <w:rPr>
          <w:b w:val="1"/>
          <w:bCs w:val="1"/>
          <w:shd w:fill="fce5cd" w:val="clear"/>
          <w:rtl w:val="0"/>
        </w:rPr>
        <w:t xml:space="preserve">2.3 </w:t>
      </w:r>
      <w:r w:rsidDel="00000000" w:rsidR="00000000" w:rsidRPr="00000000">
        <w:rPr>
          <w:shd w:fill="fce5cd" w:val="clear"/>
          <w:rtl w:val="0"/>
        </w:rPr>
        <w:t xml:space="preserve">Hagan un gráfico de cajas y bigotes para cada índice con los retornos diarios ponderados, mostrando los valores atípicos. Comparen la dispersión y los outliers entre índices.</w:t>
      </w:r>
    </w:p>
    <w:p w:rsidR="00000000" w:rsidDel="00000000" w:rsidP="00000000" w:rsidRDefault="00000000" w:rsidRPr="00000000" w14:paraId="0000004F">
      <w:pPr>
        <w:spacing w:after="100" w:lineRule="auto"/>
        <w:jc w:val="both"/>
        <w:rPr>
          <w:shd w:fill="fce5cd" w:val="clear"/>
        </w:rPr>
      </w:pPr>
      <w:r w:rsidDel="00000000" w:rsidR="00000000" w:rsidRPr="00000000">
        <w:rPr>
          <w:rtl w:val="0"/>
        </w:rPr>
      </w:r>
    </w:p>
    <w:p w:rsidR="00000000" w:rsidDel="00000000" w:rsidP="00000000" w:rsidRDefault="00000000" w:rsidRPr="00000000" w14:paraId="00000050">
      <w:pPr>
        <w:spacing w:after="100" w:lineRule="auto"/>
        <w:jc w:val="both"/>
        <w:rPr>
          <w:shd w:fill="fce5cd" w:val="clear"/>
        </w:rPr>
      </w:pPr>
      <w:r w:rsidDel="00000000" w:rsidR="00000000" w:rsidRPr="00000000">
        <w:rPr>
          <w:b w:val="1"/>
          <w:bCs w:val="1"/>
          <w:shd w:fill="fce5cd" w:val="clear"/>
          <w:rtl w:val="0"/>
        </w:rPr>
        <w:t xml:space="preserve">2.4 </w:t>
      </w:r>
      <w:r w:rsidDel="00000000" w:rsidR="00000000" w:rsidRPr="00000000">
        <w:rPr>
          <w:shd w:fill="fce5cd" w:val="clear"/>
          <w:rtl w:val="0"/>
        </w:rPr>
        <w:t xml:space="preserve">Hagan un histograma para cada índice con los retornos diarios ponderados. Analicen la forma, dispersión y presencia de valores extremos de las distribuciones.</w:t>
      </w:r>
    </w:p>
    <w:p w:rsidR="00000000" w:rsidDel="00000000" w:rsidP="00000000" w:rsidRDefault="00000000" w:rsidRPr="00000000" w14:paraId="00000051">
      <w:pPr>
        <w:spacing w:after="100" w:lineRule="auto"/>
        <w:jc w:val="both"/>
        <w:rPr>
          <w:shd w:fill="c9daf8" w:val="clear"/>
        </w:rPr>
      </w:pPr>
      <w:r w:rsidDel="00000000" w:rsidR="00000000" w:rsidRPr="00000000">
        <w:rPr>
          <w:b w:val="1"/>
          <w:bCs w:val="1"/>
          <w:shd w:fill="fce5cd" w:val="clear"/>
          <w:rtl w:val="0"/>
        </w:rPr>
        <w:t xml:space="preserve">2.5 </w:t>
      </w:r>
      <w:r w:rsidDel="00000000" w:rsidR="00000000" w:rsidRPr="00000000">
        <w:rPr>
          <w:shd w:fill="fce5cd" w:val="clear"/>
          <w:rtl w:val="0"/>
        </w:rPr>
        <w:t xml:space="preserve">Construyan un gráfico de línea para los tres índices, normalizados con base 100 en enero de 2015. </w:t>
      </w:r>
      <w:r w:rsidDel="00000000" w:rsidR="00000000" w:rsidRPr="00000000">
        <w:rPr>
          <w:shd w:fill="c9daf8" w:val="clear"/>
          <w:rtl w:val="0"/>
        </w:rPr>
        <w:t xml:space="preserve">Comenten patrones, tendencias o posibles estacionalidades. ¿Qué puede aprender el fondo de esta comparación que no sea evidente al observar únicamente los retornos diarios?</w:t>
      </w:r>
    </w:p>
    <w:p w:rsidR="00000000" w:rsidDel="00000000" w:rsidP="00000000" w:rsidRDefault="00000000" w:rsidRPr="00000000" w14:paraId="00000052">
      <w:pPr>
        <w:spacing w:after="100" w:lineRule="auto"/>
        <w:jc w:val="both"/>
        <w:rPr/>
      </w:pPr>
      <w:r w:rsidDel="00000000" w:rsidR="00000000" w:rsidRPr="00000000">
        <w:rPr>
          <w:rtl w:val="0"/>
        </w:rPr>
        <w:t xml:space="preserve">Al normalizar los índices a Base 100 desde 2015, el sector Financiero muestra una trayectoria constante que sube sin grandes sobresaltos hasta convertir cada 100 dólares invertidos en 269, mientras que Materiales actúa como una montaña rusa que multiplicó por diez el capital (alcanzando 1,184 dólares) pero con caídas drásticas, y Energía se comporta como un resorte que permaneció atrapado en pérdidas durante cinco años antes de rebotar en 2021 hasta los 191 dólares. De esta gráfica el fondo aprende tres lecciones que los retornos diarios ocultan: el efecto bola de nieve del interés acumulado a diez años, el riesgo en Energía de mantener al inversionista en pérdidas durante un lustro entero, y la tranquilidad del sector Financiero, cuya estabilidad evita retiros masivos por pánico en momentos de volatilidad. </w:t>
      </w:r>
    </w:p>
    <w:p w:rsidR="00000000" w:rsidDel="00000000" w:rsidP="00000000" w:rsidRDefault="00000000" w:rsidRPr="00000000" w14:paraId="00000053">
      <w:pPr>
        <w:pStyle w:val="Heading2"/>
        <w:keepNext w:val="0"/>
        <w:keepLines w:val="0"/>
        <w:spacing w:after="60" w:lineRule="auto"/>
        <w:rPr>
          <w:b w:val="1"/>
          <w:bCs w:val="1"/>
          <w:sz w:val="34"/>
          <w:szCs w:val="34"/>
        </w:rPr>
      </w:pPr>
      <w:bookmarkStart w:colFirst="0" w:colLast="0" w:name="_1we6zb9lh6ez" w:id="3"/>
      <w:bookmarkEnd w:id="3"/>
      <w:r w:rsidDel="00000000" w:rsidR="00000000" w:rsidRPr="00000000">
        <w:rPr>
          <w:b w:val="1"/>
          <w:bCs w:val="1"/>
          <w:sz w:val="34"/>
          <w:szCs w:val="34"/>
          <w:rtl w:val="0"/>
        </w:rPr>
        <w:t xml:space="preserve">3. Una comparación antes y después del COVID: 2015 vs. 2025</w:t>
      </w:r>
    </w:p>
    <w:p w:rsidR="00000000" w:rsidDel="00000000" w:rsidP="00000000" w:rsidRDefault="00000000" w:rsidRPr="00000000" w14:paraId="00000054">
      <w:pPr>
        <w:spacing w:after="100" w:lineRule="auto"/>
        <w:jc w:val="both"/>
        <w:rPr>
          <w:shd w:fill="b6d7a8" w:val="clear"/>
        </w:rPr>
      </w:pPr>
      <w:r w:rsidDel="00000000" w:rsidR="00000000" w:rsidRPr="00000000">
        <w:rPr>
          <w:b w:val="1"/>
          <w:bCs w:val="1"/>
          <w:shd w:fill="b6d7a8" w:val="clear"/>
          <w:rtl w:val="0"/>
        </w:rPr>
        <w:t xml:space="preserve">3.1 </w:t>
      </w:r>
      <w:r w:rsidDel="00000000" w:rsidR="00000000" w:rsidRPr="00000000">
        <w:rPr>
          <w:shd w:fill="b6d7a8" w:val="clear"/>
          <w:rtl w:val="0"/>
        </w:rPr>
        <w:t xml:space="preserve">Para 2015 y 2025, calculen la desviación estándar y el número de observaciones de los retornos ponderados de cada índice.</w:t>
      </w:r>
    </w:p>
    <w:p w:rsidR="00000000" w:rsidDel="00000000" w:rsidP="00000000" w:rsidRDefault="00000000" w:rsidRPr="00000000" w14:paraId="00000055">
      <w:pPr>
        <w:spacing w:after="100" w:lineRule="auto"/>
        <w:jc w:val="both"/>
        <w:rPr>
          <w:shd w:fill="b6d7a8" w:val="clear"/>
        </w:rPr>
      </w:pPr>
      <w:r w:rsidDel="00000000" w:rsidR="00000000" w:rsidRPr="00000000">
        <w:rPr>
          <w:b w:val="1"/>
          <w:bCs w:val="1"/>
          <w:shd w:fill="b6d7a8" w:val="clear"/>
          <w:rtl w:val="0"/>
        </w:rPr>
        <w:t xml:space="preserve">3.2 </w:t>
      </w:r>
      <w:r w:rsidDel="00000000" w:rsidR="00000000" w:rsidRPr="00000000">
        <w:rPr>
          <w:shd w:fill="b6d7a8" w:val="clear"/>
          <w:rtl w:val="0"/>
        </w:rPr>
        <w:t xml:space="preserve">Calculen intervalos de confianza al 95% para los retornos ponderados de cada índice usando CONFIDENCE.T. Reporten claramente el promedio y los límites inferior y superior de cada intervalo.</w:t>
      </w:r>
    </w:p>
    <w:p w:rsidR="00000000" w:rsidDel="00000000" w:rsidP="00000000" w:rsidRDefault="00000000" w:rsidRPr="00000000" w14:paraId="00000056">
      <w:pPr>
        <w:spacing w:after="100" w:lineRule="auto"/>
        <w:jc w:val="both"/>
        <w:rPr>
          <w:shd w:fill="fce5cd" w:val="clear"/>
        </w:rPr>
      </w:pPr>
      <w:r w:rsidDel="00000000" w:rsidR="00000000" w:rsidRPr="00000000">
        <w:rPr>
          <w:b w:val="1"/>
          <w:bCs w:val="1"/>
          <w:shd w:fill="fce5cd" w:val="clear"/>
          <w:rtl w:val="0"/>
        </w:rPr>
        <w:t xml:space="preserve">3.3 </w:t>
      </w:r>
      <w:r w:rsidDel="00000000" w:rsidR="00000000" w:rsidRPr="00000000">
        <w:rPr>
          <w:shd w:fill="fce5cd" w:val="clear"/>
          <w:rtl w:val="0"/>
        </w:rPr>
        <w:t xml:space="preserve">Para cada índice, construyan un gráfico de barras que permita comparar 2015 y 2025 e incluya los intervalos de confianza.</w:t>
      </w:r>
    </w:p>
    <w:p w:rsidR="00000000" w:rsidDel="00000000" w:rsidP="00000000" w:rsidRDefault="00000000" w:rsidRPr="00000000" w14:paraId="00000057">
      <w:pPr>
        <w:spacing w:after="100" w:lineRule="auto"/>
        <w:jc w:val="both"/>
        <w:rPr>
          <w:shd w:fill="c9daf8" w:val="clear"/>
        </w:rPr>
      </w:pPr>
      <w:r w:rsidDel="00000000" w:rsidR="00000000" w:rsidRPr="00000000">
        <w:rPr>
          <w:b w:val="1"/>
          <w:bCs w:val="1"/>
          <w:shd w:fill="c9daf8" w:val="clear"/>
          <w:rtl w:val="0"/>
        </w:rPr>
        <w:t xml:space="preserve">3.4 </w:t>
      </w:r>
      <w:r w:rsidDel="00000000" w:rsidR="00000000" w:rsidRPr="00000000">
        <w:rPr>
          <w:shd w:fill="c9daf8" w:val="clear"/>
          <w:rtl w:val="0"/>
        </w:rPr>
        <w:t xml:space="preserve">Interpreten los resultados. ¿Hay evidencia de un cambio notable entre 2015 y 2025? ¿Qué cambió en retornos o dispersión? ¿Qué podría ser relevante para el fondo de inversión? Distingan con claridad lo que muestran los datos de cualquier explicación causal sobre el COVID.</w:t>
      </w:r>
    </w:p>
    <w:p w:rsidR="00000000" w:rsidDel="00000000" w:rsidP="00000000" w:rsidRDefault="00000000" w:rsidRPr="00000000" w14:paraId="00000058">
      <w:pPr>
        <w:numPr>
          <w:ilvl w:val="0"/>
          <w:numId w:val="3"/>
        </w:numPr>
        <w:spacing w:after="100" w:lineRule="auto"/>
        <w:ind w:left="720" w:hanging="360"/>
        <w:jc w:val="both"/>
        <w:rPr/>
      </w:pPr>
      <w:r w:rsidDel="00000000" w:rsidR="00000000" w:rsidRPr="00000000">
        <w:rPr>
          <w:rtl w:val="0"/>
        </w:rPr>
        <w:t xml:space="preserve">Sí, hay un cambio claro en los números cuando comparamos la primera mitad del periodo (2015–2019) con la segunda (2020–2025)</w:t>
      </w:r>
    </w:p>
    <w:p w:rsidR="00000000" w:rsidDel="00000000" w:rsidP="00000000" w:rsidRDefault="00000000" w:rsidRPr="00000000" w14:paraId="00000059">
      <w:pPr>
        <w:spacing w:after="100" w:lineRule="auto"/>
        <w:ind w:left="0" w:firstLine="0"/>
        <w:jc w:val="both"/>
        <w:rPr/>
      </w:pPr>
      <w:r w:rsidDel="00000000" w:rsidR="00000000" w:rsidRPr="00000000">
        <w:rPr>
          <w:rtl w:val="0"/>
        </w:rPr>
        <w:t xml:space="preserve">Los retornos subieron en todos los sectores:</w:t>
      </w:r>
    </w:p>
    <w:p w:rsidR="00000000" w:rsidDel="00000000" w:rsidP="00000000" w:rsidRDefault="00000000" w:rsidRPr="00000000" w14:paraId="0000005A">
      <w:pPr>
        <w:spacing w:after="100" w:lineRule="auto"/>
        <w:ind w:left="0" w:firstLine="0"/>
        <w:jc w:val="both"/>
        <w:rPr/>
      </w:pPr>
      <w:r w:rsidDel="00000000" w:rsidR="00000000" w:rsidRPr="00000000">
        <w:rPr>
          <w:rtl w:val="0"/>
        </w:rPr>
        <w:t xml:space="preserve">En el sector financiero casi duplicó su ritmo de ganancias, pasando de 6.2% a 14.7%  anual.</w:t>
      </w:r>
    </w:p>
    <w:p w:rsidR="00000000" w:rsidDel="00000000" w:rsidP="00000000" w:rsidRDefault="00000000" w:rsidRPr="00000000" w14:paraId="0000005B">
      <w:pPr>
        <w:spacing w:after="100" w:lineRule="auto"/>
        <w:ind w:left="0" w:firstLine="0"/>
        <w:jc w:val="both"/>
        <w:rPr/>
      </w:pPr>
      <w:r w:rsidDel="00000000" w:rsidR="00000000" w:rsidRPr="00000000">
        <w:rPr>
          <w:rtl w:val="0"/>
        </w:rPr>
        <w:t xml:space="preserve">El sector energético pasó de perder dinero -1.7% a ganar mucho más con un 21% al año. </w:t>
      </w:r>
    </w:p>
    <w:p w:rsidR="00000000" w:rsidDel="00000000" w:rsidP="00000000" w:rsidRDefault="00000000" w:rsidRPr="00000000" w14:paraId="0000005C">
      <w:pPr>
        <w:spacing w:after="100" w:lineRule="auto"/>
        <w:ind w:left="0" w:firstLine="0"/>
        <w:jc w:val="both"/>
        <w:rPr/>
      </w:pPr>
      <w:r w:rsidDel="00000000" w:rsidR="00000000" w:rsidRPr="00000000">
        <w:rPr>
          <w:rtl w:val="0"/>
        </w:rPr>
        <w:t xml:space="preserve">En el sector de materiales se mantuvo como el sector más fuerte, subiendo de 24.1% a 35.8% anual.</w:t>
      </w:r>
    </w:p>
    <w:p w:rsidR="00000000" w:rsidDel="00000000" w:rsidP="00000000" w:rsidRDefault="00000000" w:rsidRPr="00000000" w14:paraId="0000005D">
      <w:pPr>
        <w:numPr>
          <w:ilvl w:val="0"/>
          <w:numId w:val="8"/>
        </w:numPr>
        <w:ind w:left="720" w:hanging="360"/>
        <w:jc w:val="both"/>
        <w:rPr>
          <w:color w:val="1f1f1f"/>
        </w:rPr>
      </w:pPr>
      <w:r w:rsidDel="00000000" w:rsidR="00000000" w:rsidRPr="00000000">
        <w:rPr>
          <w:color w:val="1f1f1f"/>
          <w:rtl w:val="0"/>
        </w:rPr>
        <w:t xml:space="preserve">Para nuestro fondo de inversión, los hallazgos son relevantes en tres aspectos clave:</w:t>
      </w:r>
    </w:p>
    <w:p w:rsidR="00000000" w:rsidDel="00000000" w:rsidP="00000000" w:rsidRDefault="00000000" w:rsidRPr="00000000" w14:paraId="0000005E">
      <w:pPr>
        <w:jc w:val="both"/>
        <w:rPr>
          <w:color w:val="1f1f1f"/>
          <w:shd w:fill="c9daf8" w:val="clear"/>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Mayor espacio para la gestión activa (</w:t>
      </w:r>
      <w:r w:rsidDel="00000000" w:rsidR="00000000" w:rsidRPr="00000000">
        <w:rPr>
          <w:b w:val="1"/>
          <w:bCs w:val="1"/>
          <w:i w:val="1"/>
          <w:iCs w:val="1"/>
          <w:color w:val="1f1f1f"/>
          <w:shd w:fill="c9daf8" w:val="clear"/>
          <w:rtl w:val="0"/>
        </w:rPr>
        <w:t xml:space="preserve">stock picking</w:t>
      </w:r>
      <w:r w:rsidDel="00000000" w:rsidR="00000000" w:rsidRPr="00000000">
        <w:rPr>
          <w:b w:val="1"/>
          <w:bCs w:val="1"/>
          <w:color w:val="1f1f1f"/>
          <w:shd w:fill="c9daf8" w:val="clear"/>
          <w:rtl w:val="0"/>
        </w:rPr>
        <w:t xml:space="preserve">):</w:t>
      </w:r>
      <w:r w:rsidDel="00000000" w:rsidR="00000000" w:rsidRPr="00000000">
        <w:rPr>
          <w:color w:val="1f1f1f"/>
          <w:rtl w:val="0"/>
        </w:rPr>
        <w:t xml:space="preserve"> La alta dispersión entre empresas del mismo sector demuestra que las acciones ya no se mueven en bloque, lo que permite al equipo de inversión identificar emisores líderes y generar alfa mediante la selección individual de títulos, superando el rendimiento de las estrategias pasivas.</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Ajuste en la gestión de riesgos y coberturas:</w:t>
      </w:r>
      <w:r w:rsidDel="00000000" w:rsidR="00000000" w:rsidRPr="00000000">
        <w:rPr>
          <w:color w:val="1f1f1f"/>
          <w:shd w:fill="c9daf8" w:val="clear"/>
          <w:rtl w:val="0"/>
        </w:rPr>
        <w:t xml:space="preserve"> </w:t>
      </w:r>
      <w:r w:rsidDel="00000000" w:rsidR="00000000" w:rsidRPr="00000000">
        <w:rPr>
          <w:color w:val="1f1f1f"/>
          <w:rtl w:val="0"/>
        </w:rPr>
        <w:t xml:space="preserve">El aumento generalizado de la volatilidad exige revisar los márgenes de protección (</w:t>
      </w:r>
      <w:r w:rsidDel="00000000" w:rsidR="00000000" w:rsidRPr="00000000">
        <w:rPr>
          <w:i w:val="1"/>
          <w:iCs w:val="1"/>
          <w:color w:val="1f1f1f"/>
          <w:rtl w:val="0"/>
        </w:rPr>
        <w:t xml:space="preserve">hedging</w:t>
      </w:r>
      <w:r w:rsidDel="00000000" w:rsidR="00000000" w:rsidRPr="00000000">
        <w:rPr>
          <w:color w:val="1f1f1f"/>
          <w:rtl w:val="0"/>
        </w:rPr>
        <w:t xml:space="preserve">), recalibrar el Valor en Riesgo (VaR) del portafolio y establecer límites más estrictos de exposición por emisor para mitigar pérdidas por caídas bruscas de precio.</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Rebalanceo dinámico y rotación sectorial:</w:t>
      </w:r>
      <w:r w:rsidDel="00000000" w:rsidR="00000000" w:rsidRPr="00000000">
        <w:rPr>
          <w:color w:val="1f1f1f"/>
          <w:shd w:fill="c9daf8" w:val="clear"/>
          <w:rtl w:val="0"/>
        </w:rPr>
        <w:t xml:space="preserve"> </w:t>
      </w:r>
      <w:r w:rsidDel="00000000" w:rsidR="00000000" w:rsidRPr="00000000">
        <w:rPr>
          <w:color w:val="1f1f1f"/>
          <w:rtl w:val="0"/>
        </w:rPr>
        <w:t xml:space="preserve">El cambio de perfil en sectores como Energía (que pasó de retornos negativos a ser un motor de rentabilidad) resalta la necesidad de implementar esquemas de rebalanceo táctico para aprovechar ciclos de mercado sin asumir concentraciones excesivas en acciones de alta capitalización pero menor liquidez.</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66">
      <w:pPr>
        <w:spacing w:after="100" w:lineRule="auto"/>
        <w:ind w:left="720" w:firstLine="0"/>
        <w:jc w:val="both"/>
        <w:rPr>
          <w:shd w:fill="c9daf8" w:val="clear"/>
        </w:rPr>
      </w:pPr>
      <w:r w:rsidDel="00000000" w:rsidR="00000000" w:rsidRPr="00000000">
        <w:rPr>
          <w:shd w:fill="c9daf8" w:val="clear"/>
          <w:rtl w:val="0"/>
        </w:rPr>
        <w:br w:type="textWrapping"/>
      </w:r>
    </w:p>
    <w:p w:rsidR="00000000" w:rsidDel="00000000" w:rsidP="00000000" w:rsidRDefault="00000000" w:rsidRPr="00000000" w14:paraId="00000067">
      <w:pPr>
        <w:spacing w:after="100" w:lineRule="auto"/>
        <w:jc w:val="both"/>
        <w:rPr>
          <w:b w:val="1"/>
          <w:bCs w:val="1"/>
          <w:shd w:fill="c9daf8" w:val="clear"/>
        </w:rPr>
      </w:pPr>
      <w:r w:rsidDel="00000000" w:rsidR="00000000" w:rsidRPr="00000000">
        <w:rPr>
          <w:b w:val="1"/>
          <w:bCs w:val="1"/>
          <w:shd w:fill="c9daf8" w:val="clear"/>
          <w:rtl w:val="0"/>
        </w:rPr>
        <w:t xml:space="preserve">3.5 Como equipo consultor, formulen una recomendación de inversión para el fondo a partir de la evidencia de sus tres índices. Expliquen qué sector o sectores priorizarían, mantendrían bajo observación o evitarían y por qué. Sustenten la recomendación combinando desempeño acumulado, retornos, dispersión, valores extremos y la comparación 2015–2025. Incluyan al menos una cautela metodológica que limite el alcance de la recomendación.</w:t>
      </w:r>
    </w:p>
    <w:p w:rsidR="00000000" w:rsidDel="00000000" w:rsidP="00000000" w:rsidRDefault="00000000" w:rsidRPr="00000000" w14:paraId="00000068">
      <w:pPr>
        <w:rPr>
          <w:shd w:fill="c9daf8" w:val="clear"/>
        </w:rPr>
      </w:pPr>
      <w:r w:rsidDel="00000000" w:rsidR="00000000" w:rsidRPr="00000000">
        <w:rPr>
          <w:rtl w:val="0"/>
        </w:rPr>
      </w:r>
    </w:p>
    <w:p w:rsidR="00000000" w:rsidDel="00000000" w:rsidP="00000000" w:rsidRDefault="00000000" w:rsidRPr="00000000" w14:paraId="00000069">
      <w:pPr>
        <w:rPr>
          <w:color w:val="1f1f1f"/>
        </w:rPr>
      </w:pPr>
      <w:r w:rsidDel="00000000" w:rsidR="00000000" w:rsidRPr="00000000">
        <w:rPr>
          <w:color w:val="1f1f1f"/>
          <w:rtl w:val="0"/>
        </w:rPr>
        <w:t xml:space="preserve">Como equipo consultor, con base en el comportamiento estadístico de los tres índices en el periodo 2015–2025, formulamos la siguiente recomendación estratégica de inversión:</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shd w:fill="c9daf8" w:val="clear"/>
        </w:rPr>
      </w:pPr>
      <w:bookmarkStart w:colFirst="0" w:colLast="0" w:name="_gsbfvqkb8snr" w:id="4"/>
      <w:bookmarkEnd w:id="4"/>
      <w:r w:rsidDel="00000000" w:rsidR="00000000" w:rsidRPr="00000000">
        <w:rPr>
          <w:b w:val="1"/>
          <w:bCs w:val="1"/>
          <w:color w:val="1f1f1f"/>
          <w:sz w:val="26"/>
          <w:szCs w:val="26"/>
          <w:shd w:fill="c9daf8" w:val="clear"/>
          <w:rtl w:val="0"/>
        </w:rPr>
        <w:t xml:space="preserve">Sustentación de la Recomendación de Inversión (2015–2025)</w:t>
      </w: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0" w:firstLine="0"/>
        <w:rPr>
          <w:b w:val="1"/>
          <w:bCs w:val="1"/>
          <w:color w:val="1f1f1f"/>
          <w:shd w:fill="c9daf8" w:val="clear"/>
        </w:rPr>
      </w:pPr>
      <w:r w:rsidDel="00000000" w:rsidR="00000000" w:rsidRPr="00000000">
        <w:rPr>
          <w:b w:val="1"/>
          <w:bCs w:val="1"/>
          <w:color w:val="1f1f1f"/>
          <w:shd w:fill="c9daf8" w:val="clear"/>
          <w:rtl w:val="0"/>
        </w:rPr>
        <w:t xml:space="preserve">Sector Financiero - Priorizar:</w:t>
        <w:br w:type="textWrapping"/>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Desempeño Acumulado y Retornos:</w:t>
      </w:r>
      <w:r w:rsidDel="00000000" w:rsidR="00000000" w:rsidRPr="00000000">
        <w:rPr>
          <w:color w:val="1f1f1f"/>
          <w:shd w:fill="c9daf8" w:val="clear"/>
          <w:rtl w:val="0"/>
        </w:rPr>
        <w:t xml:space="preserve"> </w:t>
      </w:r>
      <w:r w:rsidDel="00000000" w:rsidR="00000000" w:rsidRPr="00000000">
        <w:rPr>
          <w:color w:val="1f1f1f"/>
          <w:rtl w:val="0"/>
        </w:rPr>
        <w:t xml:space="preserve">Generó un retorno acumulado total de </w:t>
      </w:r>
      <w:r w:rsidDel="00000000" w:rsidR="00000000" w:rsidRPr="00000000">
        <w:rPr>
          <w:b w:val="1"/>
          <w:bCs w:val="1"/>
          <w:color w:val="1f1f1f"/>
          <w:rtl w:val="0"/>
        </w:rPr>
        <w:t xml:space="preserve">169.5%</w:t>
      </w:r>
      <w:r w:rsidDel="00000000" w:rsidR="00000000" w:rsidRPr="00000000">
        <w:rPr>
          <w:color w:val="1f1f1f"/>
          <w:rtl w:val="0"/>
        </w:rPr>
        <w:t xml:space="preserve"> en el periodo completo, acelerando su crecimiento desde un </w:t>
      </w:r>
      <w:r w:rsidDel="00000000" w:rsidR="00000000" w:rsidRPr="00000000">
        <w:rPr>
          <w:b w:val="1"/>
          <w:bCs w:val="1"/>
          <w:color w:val="1f1f1f"/>
          <w:rtl w:val="0"/>
        </w:rPr>
        <w:t xml:space="preserve">31.5%</w:t>
      </w:r>
      <w:r w:rsidDel="00000000" w:rsidR="00000000" w:rsidRPr="00000000">
        <w:rPr>
          <w:color w:val="1f1f1f"/>
          <w:rtl w:val="0"/>
        </w:rPr>
        <w:t xml:space="preserve"> (2015–2019) a un </w:t>
      </w:r>
      <w:r w:rsidDel="00000000" w:rsidR="00000000" w:rsidRPr="00000000">
        <w:rPr>
          <w:b w:val="1"/>
          <w:bCs w:val="1"/>
          <w:color w:val="1f1f1f"/>
          <w:rtl w:val="0"/>
        </w:rPr>
        <w:t xml:space="preserve">104.9%</w:t>
      </w:r>
      <w:r w:rsidDel="00000000" w:rsidR="00000000" w:rsidRPr="00000000">
        <w:rPr>
          <w:color w:val="1f1f1f"/>
          <w:rtl w:val="0"/>
        </w:rPr>
        <w:t xml:space="preserve"> (2020–2025). Su retorno promedio anualizado subió de </w:t>
      </w:r>
      <w:r w:rsidDel="00000000" w:rsidR="00000000" w:rsidRPr="00000000">
        <w:rPr>
          <w:b w:val="1"/>
          <w:bCs w:val="1"/>
          <w:color w:val="1f1f1f"/>
          <w:rtl w:val="0"/>
        </w:rPr>
        <w:t xml:space="preserve">6.2%</w:t>
      </w:r>
      <w:r w:rsidDel="00000000" w:rsidR="00000000" w:rsidRPr="00000000">
        <w:rPr>
          <w:color w:val="1f1f1f"/>
          <w:rtl w:val="0"/>
        </w:rPr>
        <w:t xml:space="preserve"> a </w:t>
      </w:r>
      <w:r w:rsidDel="00000000" w:rsidR="00000000" w:rsidRPr="00000000">
        <w:rPr>
          <w:b w:val="1"/>
          <w:bCs w:val="1"/>
          <w:color w:val="1f1f1f"/>
          <w:rtl w:val="0"/>
        </w:rPr>
        <w:t xml:space="preserve">14.7%</w:t>
      </w:r>
      <w:r w:rsidDel="00000000" w:rsidR="00000000" w:rsidRPr="00000000">
        <w:rPr>
          <w:color w:val="1f1f1f"/>
          <w:rtl w:val="0"/>
        </w:rPr>
        <w:t xml:space="preserve">.</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Dispersión y Volatilidad:</w:t>
      </w:r>
      <w:r w:rsidDel="00000000" w:rsidR="00000000" w:rsidRPr="00000000">
        <w:rPr>
          <w:color w:val="1f1f1f"/>
          <w:shd w:fill="c9daf8" w:val="clear"/>
          <w:rtl w:val="0"/>
        </w:rPr>
        <w:t xml:space="preserve"> </w:t>
      </w:r>
      <w:r w:rsidDel="00000000" w:rsidR="00000000" w:rsidRPr="00000000">
        <w:rPr>
          <w:color w:val="1f1f1f"/>
          <w:rtl w:val="0"/>
        </w:rPr>
        <w:t xml:space="preserve">Presenta la menor dispersión interaccionaria del mercado (</w:t>
      </w:r>
      <w:r w:rsidDel="00000000" w:rsidR="00000000" w:rsidRPr="00000000">
        <w:rPr>
          <w:b w:val="1"/>
          <w:bCs w:val="1"/>
          <w:color w:val="1f1f1f"/>
          <w:rtl w:val="0"/>
        </w:rPr>
        <w:t xml:space="preserve">9.4%</w:t>
      </w:r>
      <w:r w:rsidDel="00000000" w:rsidR="00000000" w:rsidRPr="00000000">
        <w:rPr>
          <w:color w:val="1f1f1f"/>
          <w:rtl w:val="0"/>
        </w:rPr>
        <w:t xml:space="preserve"> pre-2020 y </w:t>
      </w:r>
      <w:r w:rsidDel="00000000" w:rsidR="00000000" w:rsidRPr="00000000">
        <w:rPr>
          <w:b w:val="1"/>
          <w:bCs w:val="1"/>
          <w:color w:val="1f1f1f"/>
          <w:rtl w:val="0"/>
        </w:rPr>
        <w:t xml:space="preserve">12.3%</w:t>
      </w:r>
      <w:r w:rsidDel="00000000" w:rsidR="00000000" w:rsidRPr="00000000">
        <w:rPr>
          <w:color w:val="1f1f1f"/>
          <w:rtl w:val="0"/>
        </w:rPr>
        <w:t xml:space="preserve"> post-2020) y la volatilidad más baja de los tres sectores (</w:t>
      </w:r>
      <w:r w:rsidDel="00000000" w:rsidR="00000000" w:rsidRPr="00000000">
        <w:rPr>
          <w:b w:val="1"/>
          <w:bCs w:val="1"/>
          <w:color w:val="1f1f1f"/>
          <w:rtl w:val="0"/>
        </w:rPr>
        <w:t xml:space="preserve">20.6%</w:t>
      </w:r>
      <w:r w:rsidDel="00000000" w:rsidR="00000000" w:rsidRPr="00000000">
        <w:rPr>
          <w:color w:val="1f1f1f"/>
          <w:rtl w:val="0"/>
        </w:rPr>
        <w:t xml:space="preserve"> en el segundo periodo).</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Valores Extremos:</w:t>
      </w:r>
      <w:r w:rsidDel="00000000" w:rsidR="00000000" w:rsidRPr="00000000">
        <w:rPr>
          <w:color w:val="1f1f1f"/>
          <w:rtl w:val="0"/>
        </w:rPr>
        <w:t xml:space="preserve"> Registró una caída máxima diaria de </w:t>
      </w:r>
      <w:r w:rsidDel="00000000" w:rsidR="00000000" w:rsidRPr="00000000">
        <w:rPr>
          <w:b w:val="1"/>
          <w:bCs w:val="1"/>
          <w:color w:val="1f1f1f"/>
          <w:rtl w:val="0"/>
        </w:rPr>
        <w:t xml:space="preserve">-14.2%</w:t>
      </w:r>
      <w:r w:rsidDel="00000000" w:rsidR="00000000" w:rsidRPr="00000000">
        <w:rPr>
          <w:color w:val="1f1f1f"/>
          <w:rtl w:val="0"/>
        </w:rPr>
        <w:t xml:space="preserve"> y una ganancia máxima diaria de </w:t>
      </w:r>
      <w:r w:rsidDel="00000000" w:rsidR="00000000" w:rsidRPr="00000000">
        <w:rPr>
          <w:b w:val="1"/>
          <w:bCs w:val="1"/>
          <w:color w:val="1f1f1f"/>
          <w:rtl w:val="0"/>
        </w:rPr>
        <w:t xml:space="preserve">15.0%</w:t>
      </w:r>
      <w:r w:rsidDel="00000000" w:rsidR="00000000" w:rsidRPr="00000000">
        <w:rPr>
          <w:color w:val="1f1f1f"/>
          <w:rtl w:val="0"/>
        </w:rPr>
        <w:t xml:space="preserve">, demostrando alta resiliencia durante episodios de estrés en el mercado.</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71">
      <w:pPr>
        <w:numPr>
          <w:ilvl w:val="0"/>
          <w:numId w:val="5"/>
        </w:numPr>
        <w:pBdr>
          <w:top w:color="auto" w:space="0" w:sz="0" w:val="none"/>
          <w:bottom w:color="auto" w:space="0" w:sz="0" w:val="none"/>
          <w:right w:color="auto" w:space="0" w:sz="0" w:val="none"/>
          <w:between w:color="auto" w:space="0" w:sz="0" w:val="none"/>
        </w:pBdr>
        <w:ind w:left="720" w:hanging="360"/>
        <w:rPr>
          <w:shd w:fill="c9daf8" w:val="clear"/>
        </w:rPr>
      </w:pPr>
      <w:r w:rsidDel="00000000" w:rsidR="00000000" w:rsidRPr="00000000">
        <w:rPr>
          <w:b w:val="1"/>
          <w:bCs w:val="1"/>
          <w:color w:val="1f1f1f"/>
          <w:shd w:fill="c9daf8" w:val="clear"/>
          <w:rtl w:val="0"/>
        </w:rPr>
        <w:t xml:space="preserve">Sector Materiales - Mantener bajo Observación</w:t>
        <w:br w:type="textWrapping"/>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Desempeño Acumulado y Retornos:</w:t>
      </w:r>
      <w:r w:rsidDel="00000000" w:rsidR="00000000" w:rsidRPr="00000000">
        <w:rPr>
          <w:color w:val="1f1f1f"/>
          <w:rtl w:val="0"/>
        </w:rPr>
        <w:t xml:space="preserve"> Lideró en crecimiento acumulado histórico con un </w:t>
      </w:r>
      <w:r w:rsidDel="00000000" w:rsidR="00000000" w:rsidRPr="00000000">
        <w:rPr>
          <w:b w:val="1"/>
          <w:bCs w:val="1"/>
          <w:color w:val="1f1f1f"/>
          <w:rtl w:val="0"/>
        </w:rPr>
        <w:t xml:space="preserve">1,084.2%</w:t>
      </w:r>
      <w:r w:rsidDel="00000000" w:rsidR="00000000" w:rsidRPr="00000000">
        <w:rPr>
          <w:color w:val="1f1f1f"/>
          <w:rtl w:val="0"/>
        </w:rPr>
        <w:t xml:space="preserve"> (</w:t>
      </w:r>
      <w:r w:rsidDel="00000000" w:rsidR="00000000" w:rsidRPr="00000000">
        <w:rPr>
          <w:b w:val="1"/>
          <w:bCs w:val="1"/>
          <w:color w:val="1f1f1f"/>
          <w:rtl w:val="0"/>
        </w:rPr>
        <w:t xml:space="preserve">142.9%</w:t>
      </w:r>
      <w:r w:rsidDel="00000000" w:rsidR="00000000" w:rsidRPr="00000000">
        <w:rPr>
          <w:color w:val="1f1f1f"/>
          <w:rtl w:val="0"/>
        </w:rPr>
        <w:t xml:space="preserve"> en 2015–2019 y </w:t>
      </w:r>
      <w:r w:rsidDel="00000000" w:rsidR="00000000" w:rsidRPr="00000000">
        <w:rPr>
          <w:b w:val="1"/>
          <w:bCs w:val="1"/>
          <w:color w:val="1f1f1f"/>
          <w:rtl w:val="0"/>
        </w:rPr>
        <w:t xml:space="preserve">387.5%</w:t>
      </w:r>
      <w:r w:rsidDel="00000000" w:rsidR="00000000" w:rsidRPr="00000000">
        <w:rPr>
          <w:color w:val="1f1f1f"/>
          <w:rtl w:val="0"/>
        </w:rPr>
        <w:t xml:space="preserve"> en 2020–2025). Su rendimiento anualizado escaló del </w:t>
      </w:r>
      <w:r w:rsidDel="00000000" w:rsidR="00000000" w:rsidRPr="00000000">
        <w:rPr>
          <w:b w:val="1"/>
          <w:bCs w:val="1"/>
          <w:color w:val="1f1f1f"/>
          <w:rtl w:val="0"/>
        </w:rPr>
        <w:t xml:space="preserve">24.1%</w:t>
      </w:r>
      <w:r w:rsidDel="00000000" w:rsidR="00000000" w:rsidRPr="00000000">
        <w:rPr>
          <w:color w:val="1f1f1f"/>
          <w:rtl w:val="0"/>
        </w:rPr>
        <w:t xml:space="preserve"> al </w:t>
      </w:r>
      <w:r w:rsidDel="00000000" w:rsidR="00000000" w:rsidRPr="00000000">
        <w:rPr>
          <w:b w:val="1"/>
          <w:bCs w:val="1"/>
          <w:color w:val="1f1f1f"/>
          <w:rtl w:val="0"/>
        </w:rPr>
        <w:t xml:space="preserve">35.8%</w:t>
      </w:r>
      <w:r w:rsidDel="00000000" w:rsidR="00000000" w:rsidRPr="00000000">
        <w:rPr>
          <w:color w:val="1f1f1f"/>
          <w:rtl w:val="0"/>
        </w:rPr>
        <w:t xml:space="preserv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Dispersión y Volatilidad:</w:t>
      </w:r>
      <w:r w:rsidDel="00000000" w:rsidR="00000000" w:rsidRPr="00000000">
        <w:rPr>
          <w:color w:val="1f1f1f"/>
          <w:rtl w:val="0"/>
        </w:rPr>
        <w:t xml:space="preserve"> Presenta la dispersión más alta del mercado (</w:t>
      </w:r>
      <w:r w:rsidDel="00000000" w:rsidR="00000000" w:rsidRPr="00000000">
        <w:rPr>
          <w:b w:val="1"/>
          <w:bCs w:val="1"/>
          <w:color w:val="1f1f1f"/>
          <w:rtl w:val="0"/>
        </w:rPr>
        <w:t xml:space="preserve">30.9%</w:t>
      </w:r>
      <w:r w:rsidDel="00000000" w:rsidR="00000000" w:rsidRPr="00000000">
        <w:rPr>
          <w:color w:val="1f1f1f"/>
          <w:rtl w:val="0"/>
        </w:rPr>
        <w:t xml:space="preserve"> pre-2020 y </w:t>
      </w:r>
      <w:r w:rsidDel="00000000" w:rsidR="00000000" w:rsidRPr="00000000">
        <w:rPr>
          <w:b w:val="1"/>
          <w:bCs w:val="1"/>
          <w:color w:val="1f1f1f"/>
          <w:rtl w:val="0"/>
        </w:rPr>
        <w:t xml:space="preserve">27.4%</w:t>
      </w:r>
      <w:r w:rsidDel="00000000" w:rsidR="00000000" w:rsidRPr="00000000">
        <w:rPr>
          <w:color w:val="1f1f1f"/>
          <w:rtl w:val="0"/>
        </w:rPr>
        <w:t xml:space="preserve"> post-2020) combinada con una elevada volatilidad anualizada (</w:t>
      </w:r>
      <w:r w:rsidDel="00000000" w:rsidR="00000000" w:rsidRPr="00000000">
        <w:rPr>
          <w:b w:val="1"/>
          <w:bCs w:val="1"/>
          <w:color w:val="1f1f1f"/>
          <w:rtl w:val="0"/>
        </w:rPr>
        <w:t xml:space="preserve">32.0%</w:t>
      </w:r>
      <w:r w:rsidDel="00000000" w:rsidR="00000000" w:rsidRPr="00000000">
        <w:rPr>
          <w:color w:val="1f1f1f"/>
          <w:rtl w:val="0"/>
        </w:rPr>
        <w:t xml:space="preserve">), evidenciando un comportamiento muy heterogéneo entre emisores ganadores y perdedores.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rtl w:val="0"/>
        </w:rPr>
        <w:t xml:space="preserve">Valores Extremos:</w:t>
      </w:r>
      <w:r w:rsidDel="00000000" w:rsidR="00000000" w:rsidRPr="00000000">
        <w:rPr>
          <w:color w:val="1f1f1f"/>
          <w:rtl w:val="0"/>
        </w:rPr>
        <w:t xml:space="preserve"> Mostró una ganancia máxima diaria de </w:t>
      </w:r>
      <w:r w:rsidDel="00000000" w:rsidR="00000000" w:rsidRPr="00000000">
        <w:rPr>
          <w:b w:val="1"/>
          <w:bCs w:val="1"/>
          <w:color w:val="1f1f1f"/>
          <w:rtl w:val="0"/>
        </w:rPr>
        <w:t xml:space="preserve">16.9%</w:t>
      </w:r>
      <w:r w:rsidDel="00000000" w:rsidR="00000000" w:rsidRPr="00000000">
        <w:rPr>
          <w:color w:val="1f1f1f"/>
          <w:rtl w:val="0"/>
        </w:rPr>
        <w:t xml:space="preserve"> frente a una caída máxima diaria de </w:t>
      </w:r>
      <w:r w:rsidDel="00000000" w:rsidR="00000000" w:rsidRPr="00000000">
        <w:rPr>
          <w:b w:val="1"/>
          <w:bCs w:val="1"/>
          <w:color w:val="1f1f1f"/>
          <w:rtl w:val="0"/>
        </w:rPr>
        <w:t xml:space="preserve">-11.6%</w:t>
      </w:r>
      <w:r w:rsidDel="00000000" w:rsidR="00000000" w:rsidRPr="00000000">
        <w:rPr>
          <w:color w:val="1f1f1f"/>
          <w:rtl w:val="0"/>
        </w:rPr>
        <w:t xml:space="preserv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ind w:left="720" w:hanging="360"/>
        <w:rPr>
          <w:shd w:fill="c9daf8" w:val="clear"/>
        </w:rPr>
      </w:pPr>
      <w:r w:rsidDel="00000000" w:rsidR="00000000" w:rsidRPr="00000000">
        <w:rPr>
          <w:b w:val="1"/>
          <w:bCs w:val="1"/>
          <w:color w:val="1f1f1f"/>
          <w:shd w:fill="c9daf8" w:val="clear"/>
          <w:rtl w:val="0"/>
        </w:rPr>
        <w:t xml:space="preserve">Sector Energía - Evitar Compras Pasivas a Ciegas:</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ind w:left="0" w:firstLine="0"/>
        <w:rPr>
          <w:b w:val="1"/>
          <w:bCs w:val="1"/>
          <w:color w:val="1f1f1f"/>
          <w:shd w:fill="c9daf8" w:val="clear"/>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Desempeño Acumulado y Retornos:</w:t>
      </w:r>
      <w:r w:rsidDel="00000000" w:rsidR="00000000" w:rsidRPr="00000000">
        <w:rPr>
          <w:color w:val="1f1f1f"/>
          <w:shd w:fill="c9daf8" w:val="clear"/>
          <w:rtl w:val="0"/>
        </w:rPr>
        <w:t xml:space="preserve"> </w:t>
      </w:r>
      <w:r w:rsidDel="00000000" w:rsidR="00000000" w:rsidRPr="00000000">
        <w:rPr>
          <w:color w:val="1f1f1f"/>
          <w:rtl w:val="0"/>
        </w:rPr>
        <w:t xml:space="preserve">Alcanzó un retorno acumulado total del </w:t>
      </w:r>
      <w:r w:rsidDel="00000000" w:rsidR="00000000" w:rsidRPr="00000000">
        <w:rPr>
          <w:b w:val="1"/>
          <w:bCs w:val="1"/>
          <w:color w:val="1f1f1f"/>
          <w:rtl w:val="0"/>
        </w:rPr>
        <w:t xml:space="preserve">91.3%</w:t>
      </w:r>
      <w:r w:rsidDel="00000000" w:rsidR="00000000" w:rsidRPr="00000000">
        <w:rPr>
          <w:color w:val="1f1f1f"/>
          <w:rtl w:val="0"/>
        </w:rPr>
        <w:t xml:space="preserve">. Pasó de ser un destructor neto de valor en la primera etapa (</w:t>
      </w:r>
      <w:r w:rsidDel="00000000" w:rsidR="00000000" w:rsidRPr="00000000">
        <w:rPr>
          <w:b w:val="1"/>
          <w:bCs w:val="1"/>
          <w:color w:val="1f1f1f"/>
          <w:rtl w:val="0"/>
        </w:rPr>
        <w:t xml:space="preserve">-19.4%</w:t>
      </w:r>
      <w:r w:rsidDel="00000000" w:rsidR="00000000" w:rsidRPr="00000000">
        <w:rPr>
          <w:color w:val="1f1f1f"/>
          <w:rtl w:val="0"/>
        </w:rPr>
        <w:t xml:space="preserve"> acumulado, </w:t>
      </w:r>
      <w:r w:rsidDel="00000000" w:rsidR="00000000" w:rsidRPr="00000000">
        <w:rPr>
          <w:b w:val="1"/>
          <w:bCs w:val="1"/>
          <w:color w:val="1f1f1f"/>
          <w:rtl w:val="0"/>
        </w:rPr>
        <w:t xml:space="preserve">-1.7%</w:t>
      </w:r>
      <w:r w:rsidDel="00000000" w:rsidR="00000000" w:rsidRPr="00000000">
        <w:rPr>
          <w:color w:val="1f1f1f"/>
          <w:rtl w:val="0"/>
        </w:rPr>
        <w:t xml:space="preserve"> anualizado) a liderar la recuperación en la segunda (</w:t>
      </w:r>
      <w:r w:rsidDel="00000000" w:rsidR="00000000" w:rsidRPr="00000000">
        <w:rPr>
          <w:b w:val="1"/>
          <w:bCs w:val="1"/>
          <w:color w:val="1f1f1f"/>
          <w:rtl w:val="0"/>
        </w:rPr>
        <w:t xml:space="preserve">137.4%</w:t>
      </w:r>
      <w:r w:rsidDel="00000000" w:rsidR="00000000" w:rsidRPr="00000000">
        <w:rPr>
          <w:color w:val="1f1f1f"/>
          <w:rtl w:val="0"/>
        </w:rPr>
        <w:t xml:space="preserve"> acumulado, </w:t>
      </w:r>
      <w:r w:rsidDel="00000000" w:rsidR="00000000" w:rsidRPr="00000000">
        <w:rPr>
          <w:b w:val="1"/>
          <w:bCs w:val="1"/>
          <w:color w:val="1f1f1f"/>
          <w:rtl w:val="0"/>
        </w:rPr>
        <w:t xml:space="preserve">21.0%</w:t>
      </w:r>
      <w:r w:rsidDel="00000000" w:rsidR="00000000" w:rsidRPr="00000000">
        <w:rPr>
          <w:color w:val="1f1f1f"/>
          <w:rtl w:val="0"/>
        </w:rPr>
        <w:t xml:space="preserve"> anualizado).</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Dispersión y Volatilidad:</w:t>
      </w:r>
      <w:r w:rsidDel="00000000" w:rsidR="00000000" w:rsidRPr="00000000">
        <w:rPr>
          <w:color w:val="1f1f1f"/>
          <w:rtl w:val="0"/>
        </w:rPr>
        <w:t xml:space="preserve"> Su dispersión se mantuvo entre el </w:t>
      </w:r>
      <w:r w:rsidDel="00000000" w:rsidR="00000000" w:rsidRPr="00000000">
        <w:rPr>
          <w:b w:val="1"/>
          <w:bCs w:val="1"/>
          <w:color w:val="1f1f1f"/>
          <w:rtl w:val="0"/>
        </w:rPr>
        <w:t xml:space="preserve">19.5%</w:t>
      </w:r>
      <w:r w:rsidDel="00000000" w:rsidR="00000000" w:rsidRPr="00000000">
        <w:rPr>
          <w:color w:val="1f1f1f"/>
          <w:rtl w:val="0"/>
        </w:rPr>
        <w:t xml:space="preserve"> y el </w:t>
      </w:r>
      <w:r w:rsidDel="00000000" w:rsidR="00000000" w:rsidRPr="00000000">
        <w:rPr>
          <w:b w:val="1"/>
          <w:bCs w:val="1"/>
          <w:color w:val="1f1f1f"/>
          <w:rtl w:val="0"/>
        </w:rPr>
        <w:t xml:space="preserve">20.5%</w:t>
      </w:r>
      <w:r w:rsidDel="00000000" w:rsidR="00000000" w:rsidRPr="00000000">
        <w:rPr>
          <w:color w:val="1f1f1f"/>
          <w:rtl w:val="0"/>
        </w:rPr>
        <w:t xml:space="preserve">, mientras que su volatilidad subió al </w:t>
      </w:r>
      <w:r w:rsidDel="00000000" w:rsidR="00000000" w:rsidRPr="00000000">
        <w:rPr>
          <w:b w:val="1"/>
          <w:bCs w:val="1"/>
          <w:color w:val="1f1f1f"/>
          <w:rtl w:val="0"/>
        </w:rPr>
        <w:t xml:space="preserve">31.8%</w:t>
      </w:r>
      <w:r w:rsidDel="00000000" w:rsidR="00000000" w:rsidRPr="00000000">
        <w:rPr>
          <w:color w:val="1f1f1f"/>
          <w:rtl w:val="0"/>
        </w:rPr>
        <w:t xml:space="preserve"> post-2020.</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Valores Extremos:</w:t>
      </w:r>
      <w:r w:rsidDel="00000000" w:rsidR="00000000" w:rsidRPr="00000000">
        <w:rPr>
          <w:color w:val="1f1f1f"/>
          <w:shd w:fill="c9daf8" w:val="clear"/>
          <w:rtl w:val="0"/>
        </w:rPr>
        <w:t xml:space="preserve"> </w:t>
      </w:r>
      <w:r w:rsidDel="00000000" w:rsidR="00000000" w:rsidRPr="00000000">
        <w:rPr>
          <w:color w:val="1f1f1f"/>
          <w:rtl w:val="0"/>
        </w:rPr>
        <w:t xml:space="preserve">Exhibió el peor evento de cola del mercado, registrando la caída diaria más destructiva de todo el análisis (</w:t>
      </w:r>
      <w:r w:rsidDel="00000000" w:rsidR="00000000" w:rsidRPr="00000000">
        <w:rPr>
          <w:b w:val="1"/>
          <w:bCs w:val="1"/>
          <w:color w:val="1f1f1f"/>
          <w:rtl w:val="0"/>
        </w:rPr>
        <w:t xml:space="preserve">-23.8%</w:t>
      </w:r>
      <w:r w:rsidDel="00000000" w:rsidR="00000000" w:rsidRPr="00000000">
        <w:rPr>
          <w:color w:val="1f1f1f"/>
          <w:rtl w:val="0"/>
        </w:rPr>
        <w:t xml:space="preserve">), frente a una subida máxima de </w:t>
      </w:r>
      <w:r w:rsidDel="00000000" w:rsidR="00000000" w:rsidRPr="00000000">
        <w:rPr>
          <w:b w:val="1"/>
          <w:bCs w:val="1"/>
          <w:color w:val="1f1f1f"/>
          <w:rtl w:val="0"/>
        </w:rPr>
        <w:t xml:space="preserve">15.6%</w:t>
      </w:r>
      <w:r w:rsidDel="00000000" w:rsidR="00000000" w:rsidRPr="00000000">
        <w:rPr>
          <w:color w:val="1f1f1f"/>
          <w:rtl w:val="0"/>
        </w:rPr>
        <w:t xml:space="preserv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shd w:fill="c9daf8" w:val="clear"/>
        </w:rPr>
      </w:pPr>
      <w:bookmarkStart w:colFirst="0" w:colLast="0" w:name="_7fxzh7y2sujp" w:id="5"/>
      <w:bookmarkEnd w:id="5"/>
      <w:r w:rsidDel="00000000" w:rsidR="00000000" w:rsidRPr="00000000">
        <w:rPr>
          <w:b w:val="1"/>
          <w:bCs w:val="1"/>
          <w:color w:val="1f1f1f"/>
          <w:sz w:val="22"/>
          <w:szCs w:val="22"/>
          <w:shd w:fill="c9daf8" w:val="clear"/>
          <w:rtl w:val="0"/>
        </w:rPr>
        <w:t xml:space="preserve">Comparación Estructural: Periodo 2015–2019 vs. 2020–2025</w:t>
      </w:r>
    </w:p>
    <w:p w:rsidR="00000000" w:rsidDel="00000000" w:rsidP="00000000" w:rsidRDefault="00000000" w:rsidRPr="00000000" w14:paraId="0000007D">
      <w:pPr>
        <w:rPr>
          <w:color w:val="1f1f1f"/>
        </w:rPr>
      </w:pPr>
      <w:r w:rsidDel="00000000" w:rsidR="00000000" w:rsidRPr="00000000">
        <w:rPr>
          <w:color w:val="1f1f1f"/>
          <w:rtl w:val="0"/>
        </w:rPr>
        <w:t xml:space="preserve">La comparación entre ambos quinquenios evidencia un </w:t>
      </w:r>
      <w:r w:rsidDel="00000000" w:rsidR="00000000" w:rsidRPr="00000000">
        <w:rPr>
          <w:b w:val="1"/>
          <w:bCs w:val="1"/>
          <w:color w:val="1f1f1f"/>
          <w:rtl w:val="0"/>
        </w:rPr>
        <w:t xml:space="preserve">cambio claro en el régimen de mercado</w:t>
      </w:r>
      <w:r w:rsidDel="00000000" w:rsidR="00000000" w:rsidRPr="00000000">
        <w:rPr>
          <w:color w:val="1f1f1f"/>
          <w:rtl w:val="0"/>
        </w:rPr>
        <w:t xml:space="preserve">:</w:t>
      </w:r>
    </w:p>
    <w:p w:rsidR="00000000" w:rsidDel="00000000" w:rsidP="00000000" w:rsidRDefault="00000000" w:rsidRPr="00000000" w14:paraId="0000007E">
      <w:pPr>
        <w:rPr>
          <w:color w:val="1f1f1f"/>
          <w:shd w:fill="c9daf8" w:val="clear"/>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Aceleración General de Retornos:</w:t>
      </w:r>
      <w:r w:rsidDel="00000000" w:rsidR="00000000" w:rsidRPr="00000000">
        <w:rPr>
          <w:color w:val="1f1f1f"/>
          <w:shd w:fill="c9daf8" w:val="clear"/>
          <w:rtl w:val="0"/>
        </w:rPr>
        <w:t xml:space="preserve"> </w:t>
      </w:r>
      <w:r w:rsidDel="00000000" w:rsidR="00000000" w:rsidRPr="00000000">
        <w:rPr>
          <w:color w:val="1f1f1f"/>
          <w:rtl w:val="0"/>
        </w:rPr>
        <w:t xml:space="preserve">Todos los sectores incrementaron sensiblemente su tasa de rendimiento anualizado a partir de 2020.</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Elevación del Riesgo Sistemático:</w:t>
      </w:r>
      <w:r w:rsidDel="00000000" w:rsidR="00000000" w:rsidRPr="00000000">
        <w:rPr>
          <w:color w:val="1f1f1f"/>
          <w:shd w:fill="c9daf8" w:val="clear"/>
          <w:rtl w:val="0"/>
        </w:rPr>
        <w:t xml:space="preserve"> </w:t>
      </w:r>
      <w:r w:rsidDel="00000000" w:rsidR="00000000" w:rsidRPr="00000000">
        <w:rPr>
          <w:color w:val="1f1f1f"/>
          <w:rtl w:val="0"/>
        </w:rPr>
        <w:t xml:space="preserve">La volatilidad diaria aumentó en todo el mercado, duplicándose en el sector Financiero (pasó de </w:t>
      </w:r>
      <w:r w:rsidDel="00000000" w:rsidR="00000000" w:rsidRPr="00000000">
        <w:rPr>
          <w:b w:val="1"/>
          <w:bCs w:val="1"/>
          <w:color w:val="1f1f1f"/>
          <w:rtl w:val="0"/>
        </w:rPr>
        <w:t xml:space="preserve">11.9%</w:t>
      </w:r>
      <w:r w:rsidDel="00000000" w:rsidR="00000000" w:rsidRPr="00000000">
        <w:rPr>
          <w:color w:val="1f1f1f"/>
          <w:rtl w:val="0"/>
        </w:rPr>
        <w:t xml:space="preserve"> a </w:t>
      </w:r>
      <w:r w:rsidDel="00000000" w:rsidR="00000000" w:rsidRPr="00000000">
        <w:rPr>
          <w:b w:val="1"/>
          <w:bCs w:val="1"/>
          <w:color w:val="1f1f1f"/>
          <w:rtl w:val="0"/>
        </w:rPr>
        <w:t xml:space="preserve">20.6%</w:t>
      </w:r>
      <w:r w:rsidDel="00000000" w:rsidR="00000000" w:rsidRPr="00000000">
        <w:rPr>
          <w:color w:val="1f1f1f"/>
          <w:rtl w:val="0"/>
        </w:rPr>
        <w:t xml:space="preserve">) y situándose en niveles superiores al </w:t>
      </w:r>
      <w:r w:rsidDel="00000000" w:rsidR="00000000" w:rsidRPr="00000000">
        <w:rPr>
          <w:b w:val="1"/>
          <w:bCs w:val="1"/>
          <w:color w:val="1f1f1f"/>
          <w:rtl w:val="0"/>
        </w:rPr>
        <w:t xml:space="preserve">31%</w:t>
      </w:r>
      <w:r w:rsidDel="00000000" w:rsidR="00000000" w:rsidRPr="00000000">
        <w:rPr>
          <w:color w:val="1f1f1f"/>
          <w:rtl w:val="0"/>
        </w:rPr>
        <w:t xml:space="preserve"> en Energía y Materiales.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shd w:fill="c9daf8" w:val="clear"/>
          <w:rtl w:val="0"/>
        </w:rPr>
        <w:t xml:space="preserve">Pérdida de Eficiencia de la Indexación Pasiva:</w:t>
      </w:r>
      <w:r w:rsidDel="00000000" w:rsidR="00000000" w:rsidRPr="00000000">
        <w:rPr>
          <w:color w:val="1f1f1f"/>
          <w:rtl w:val="0"/>
        </w:rPr>
        <w:t xml:space="preserve"> La persistente dispersión en Materiales y Energía demuestra que las acciones del mismo sector no se mueven al unísono, abriendo espacio para la gestión activa (</w:t>
      </w:r>
      <w:r w:rsidDel="00000000" w:rsidR="00000000" w:rsidRPr="00000000">
        <w:rPr>
          <w:i w:val="1"/>
          <w:iCs w:val="1"/>
          <w:color w:val="1f1f1f"/>
          <w:rtl w:val="0"/>
        </w:rPr>
        <w:t xml:space="preserve">stock picking</w:t>
      </w:r>
      <w:r w:rsidDel="00000000" w:rsidR="00000000" w:rsidRPr="00000000">
        <w:rPr>
          <w:color w:val="1f1f1f"/>
          <w:rtl w:val="0"/>
        </w:rPr>
        <w:t xml:space="preserve">) frente a estrategias puramente pasivas.</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ind w:left="0" w:firstLine="0"/>
        <w:rPr>
          <w:color w:val="1f1f1f"/>
          <w:shd w:fill="c9daf8" w:val="clear"/>
        </w:rPr>
      </w:pPr>
      <w:r w:rsidDel="00000000" w:rsidR="00000000" w:rsidRPr="00000000">
        <w:rPr>
          <w:rtl w:val="0"/>
        </w:rPr>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shd w:fill="c9daf8" w:val="clear"/>
        </w:rPr>
      </w:pPr>
      <w:bookmarkStart w:colFirst="0" w:colLast="0" w:name="_kjx7vys82nl" w:id="6"/>
      <w:bookmarkEnd w:id="6"/>
      <w:r w:rsidDel="00000000" w:rsidR="00000000" w:rsidRPr="00000000">
        <w:rPr>
          <w:b w:val="1"/>
          <w:bCs w:val="1"/>
          <w:color w:val="1f1f1f"/>
          <w:sz w:val="22"/>
          <w:szCs w:val="22"/>
          <w:shd w:fill="c9daf8" w:val="clear"/>
          <w:rtl w:val="0"/>
        </w:rPr>
        <w:t xml:space="preserve">Cautelas Metodológicas (Limitaciones del Alcance)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color w:val="1f1f1f"/>
          <w:rtl w:val="0"/>
        </w:rPr>
        <w:t xml:space="preserve">Como cautela metodológica, los datos cuantitativos del archivo demuestran una coincidencia temporal de mayor retorno y variabilidad en la ventana 2020–2025, pero no prueban que el COVID-19 fuera la causa directa o única de estos cambios. Adicionalmente, el análisis presenta un sesgo de sobrevivencia al utilizar una muestra fija de empresas sin ajustar por entidades deslistadas, y un riesgo de extrapolación, ya que el comportamiento reciente de las materias primas responde a un ciclo específico que no garantiza rendimientos futuros. </w:t>
      </w:r>
    </w:p>
    <w:p w:rsidR="00000000" w:rsidDel="00000000" w:rsidP="00000000" w:rsidRDefault="00000000" w:rsidRPr="00000000" w14:paraId="0000008B">
      <w:pPr>
        <w:rPr>
          <w:shd w:fill="c9daf8" w:val="clear"/>
        </w:rPr>
      </w:pPr>
      <w:r w:rsidDel="00000000" w:rsidR="00000000" w:rsidRPr="00000000">
        <w:rPr>
          <w:rtl w:val="0"/>
        </w:rPr>
      </w:r>
    </w:p>
    <w:p w:rsidR="00000000" w:rsidDel="00000000" w:rsidP="00000000" w:rsidRDefault="00000000" w:rsidRPr="00000000" w14:paraId="0000008C">
      <w:pPr>
        <w:rPr>
          <w:shd w:fill="c9daf8"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