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nicholsi,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>G. nicholsi and E. carlsbergi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</w:t>
      </w:r>
      <w:r w:rsidR="00B50F01">
        <w:t>s</w:t>
      </w:r>
      <w:r>
        <w:t xml:space="preserve">soni, E. Antarctica and G. braueri </w:t>
      </w:r>
      <w:r w:rsidR="00B50F01">
        <w:t xml:space="preserve">(and P. bolini,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r>
        <w:lastRenderedPageBreak/>
        <w:t>But C. maderensis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>Note: cannot do against weights as they are max. weights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F15C28" w:rsidP="00292E76">
      <w:pPr>
        <w:pStyle w:val="ListParagraph"/>
        <w:numPr>
          <w:ilvl w:val="1"/>
          <w:numId w:val="11"/>
        </w:numPr>
      </w:pPr>
      <w:r>
        <w:t>SD of estimates with 10</w:t>
      </w:r>
      <w:r w:rsidR="00E76B2C">
        <w:t>,000 replicates: 0.02</w:t>
      </w:r>
      <w:r w:rsidR="00B03263">
        <w:t>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F15C28" w:rsidRDefault="00F15C28" w:rsidP="00294D83">
      <w:pPr>
        <w:pStyle w:val="ListParagraph"/>
        <w:numPr>
          <w:ilvl w:val="0"/>
          <w:numId w:val="11"/>
        </w:numPr>
      </w:pPr>
      <w:r>
        <w:t>Higher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K. anderssoni (mean_M = 0.25 sd_M = 0.02)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Antarctica (mean_M = 0.24 sd_M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G. braueri (mean_M = 0.24 sd_M = 0.02)</w:t>
      </w:r>
    </w:p>
    <w:p w:rsidR="00294D83" w:rsidRDefault="00F15C28" w:rsidP="00294D83">
      <w:pPr>
        <w:pStyle w:val="ListParagraph"/>
        <w:numPr>
          <w:ilvl w:val="0"/>
          <w:numId w:val="11"/>
        </w:numPr>
      </w:pPr>
      <w:r>
        <w:t>Lower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carlsbergi (mean_M = 0.20 sd_M = 0.01)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P. bolini (mean_M = 0.19 sd_M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G. nicholsi (mean_M = 0.15 sd_M = 0.02)</w:t>
      </w:r>
    </w:p>
    <w:p w:rsidR="001E7D04" w:rsidRDefault="001E7D04" w:rsidP="001E7D04">
      <w:pPr>
        <w:pStyle w:val="Heading4"/>
      </w:pPr>
      <w:r>
        <w:t>Kruskal-Wallis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77DE9">
        <w:t>48.95</w:t>
      </w:r>
      <w:r w:rsidR="00E529AF">
        <w:t xml:space="preserve"> (95% HDI</w:t>
      </w:r>
      <w:r w:rsidR="005A51A3">
        <w:t xml:space="preserve"> </w:t>
      </w:r>
      <w:r w:rsidR="00E77DE9">
        <w:t>37.92</w:t>
      </w:r>
      <w:r w:rsidR="005A51A3">
        <w:t xml:space="preserve"> – </w:t>
      </w:r>
      <w:r w:rsidR="00E77DE9">
        <w:t>61.35</w:t>
      </w:r>
      <w:r w:rsidR="005A51A3">
        <w:t>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E77DE9">
        <w:t>2.26x10^-8 (95% HDI 1.32</w:t>
      </w:r>
      <w:r w:rsidR="005A51A3">
        <w:t xml:space="preserve"> x 10^-13 – 1.</w:t>
      </w:r>
      <w:r w:rsidR="00E77DE9">
        <w:t>80</w:t>
      </w:r>
      <w:r w:rsidR="005A51A3">
        <w:t xml:space="preserve"> x 10^-07)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7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05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14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258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48139B" w:rsidP="003677A8">
            <w:r>
              <w:t>0.04</w:t>
            </w:r>
          </w:p>
          <w:p w:rsidR="0048139B" w:rsidRDefault="0048139B" w:rsidP="003677A8">
            <w:r>
              <w:t>(0.00 to 1)</w:t>
            </w:r>
          </w:p>
        </w:tc>
        <w:tc>
          <w:tcPr>
            <w:tcW w:w="1305" w:type="dxa"/>
          </w:tcPr>
          <w:p w:rsidR="003A52BD" w:rsidRDefault="0048139B" w:rsidP="003677A8">
            <w:r>
              <w:t>1</w:t>
            </w:r>
          </w:p>
          <w:p w:rsidR="0048139B" w:rsidRDefault="0048139B" w:rsidP="003677A8">
            <w:r>
              <w:t>(1 to 1)</w:t>
            </w:r>
          </w:p>
        </w:tc>
        <w:tc>
          <w:tcPr>
            <w:tcW w:w="1314" w:type="dxa"/>
          </w:tcPr>
          <w:p w:rsidR="003A52BD" w:rsidRDefault="0048139B" w:rsidP="003677A8">
            <w:r>
              <w:t>7.26e-6</w:t>
            </w:r>
          </w:p>
          <w:p w:rsidR="0048139B" w:rsidRDefault="0048139B" w:rsidP="003677A8">
            <w:r>
              <w:t>(1.85e-3 to 3.08e-4)</w:t>
            </w:r>
          </w:p>
        </w:tc>
        <w:tc>
          <w:tcPr>
            <w:tcW w:w="1258" w:type="dxa"/>
          </w:tcPr>
          <w:p w:rsidR="003A52BD" w:rsidRDefault="0048139B" w:rsidP="003677A8">
            <w:r>
              <w:t>0.01</w:t>
            </w:r>
          </w:p>
          <w:p w:rsidR="0048139B" w:rsidRDefault="0048139B" w:rsidP="003677A8">
            <w:r>
              <w:t>(2.64e-4 to 0.49)</w:t>
            </w:r>
          </w:p>
        </w:tc>
        <w:tc>
          <w:tcPr>
            <w:tcW w:w="1193" w:type="dxa"/>
          </w:tcPr>
          <w:p w:rsidR="003A52BD" w:rsidRDefault="0048139B" w:rsidP="003677A8">
            <w:r>
              <w:t>1</w:t>
            </w:r>
          </w:p>
          <w:p w:rsidR="0048139B" w:rsidRDefault="0048139B" w:rsidP="003677A8">
            <w:r>
              <w:t>(1 to 1)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6A70E9" w:rsidP="002A54F9">
            <w:r>
              <w:t>0.07</w:t>
            </w:r>
          </w:p>
          <w:p w:rsidR="006A70E9" w:rsidRDefault="006A70E9" w:rsidP="002A54F9">
            <w:r>
              <w:t>(0.01 to 1)</w:t>
            </w:r>
          </w:p>
        </w:tc>
        <w:tc>
          <w:tcPr>
            <w:tcW w:w="1314" w:type="dxa"/>
          </w:tcPr>
          <w:p w:rsidR="003A52BD" w:rsidRDefault="006A70E9" w:rsidP="003677A8">
            <w:r>
              <w:t>0.01</w:t>
            </w:r>
          </w:p>
          <w:p w:rsidR="006A70E9" w:rsidRDefault="006A70E9" w:rsidP="003677A8">
            <w:r>
              <w:t>(0.02 to 1)</w:t>
            </w:r>
          </w:p>
        </w:tc>
        <w:tc>
          <w:tcPr>
            <w:tcW w:w="1258" w:type="dxa"/>
          </w:tcPr>
          <w:p w:rsidR="003A52BD" w:rsidRDefault="006A70E9" w:rsidP="003677A8">
            <w:r>
              <w:t>1</w:t>
            </w:r>
          </w:p>
          <w:p w:rsidR="006A70E9" w:rsidRDefault="006A70E9" w:rsidP="003677A8">
            <w:r>
              <w:t>(1 to 1)</w:t>
            </w:r>
          </w:p>
        </w:tc>
        <w:tc>
          <w:tcPr>
            <w:tcW w:w="1193" w:type="dxa"/>
          </w:tcPr>
          <w:p w:rsidR="006A70E9" w:rsidRDefault="006A70E9" w:rsidP="003677A8">
            <w:r>
              <w:t>3.06e-3</w:t>
            </w:r>
          </w:p>
          <w:p w:rsidR="006A70E9" w:rsidRDefault="006A70E9" w:rsidP="003677A8">
            <w:r>
              <w:t>(1.74e-6 to 1.85e-1)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6A70E9" w:rsidP="003677A8">
            <w:r>
              <w:t>9.40e-6</w:t>
            </w:r>
          </w:p>
          <w:p w:rsidR="006A70E9" w:rsidRDefault="006A70E9" w:rsidP="003677A8">
            <w:r>
              <w:t>(4.93e-8 to 6.87e-4)</w:t>
            </w:r>
          </w:p>
        </w:tc>
        <w:tc>
          <w:tcPr>
            <w:tcW w:w="1258" w:type="dxa"/>
          </w:tcPr>
          <w:p w:rsidR="003A52BD" w:rsidRDefault="006A70E9" w:rsidP="003677A8">
            <w:r>
              <w:t>0.</w:t>
            </w:r>
            <w:r w:rsidR="00F52830">
              <w:t>03</w:t>
            </w:r>
          </w:p>
          <w:p w:rsidR="00F52830" w:rsidRDefault="00F52830" w:rsidP="003677A8">
            <w:r>
              <w:t>(4.42e-5 to 0.80)</w:t>
            </w:r>
          </w:p>
        </w:tc>
        <w:tc>
          <w:tcPr>
            <w:tcW w:w="1193" w:type="dxa"/>
          </w:tcPr>
          <w:p w:rsidR="003A52BD" w:rsidRDefault="000F518A" w:rsidP="003677A8">
            <w:r>
              <w:t>1</w:t>
            </w:r>
          </w:p>
          <w:p w:rsidR="000F518A" w:rsidRDefault="000F518A" w:rsidP="003677A8">
            <w:r>
              <w:t>(0.58 to 1)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534A00" w:rsidP="003677A8">
            <w:r>
              <w:t>0.16</w:t>
            </w:r>
          </w:p>
          <w:p w:rsidR="00534A00" w:rsidRDefault="00534A00" w:rsidP="00534A00">
            <w:r>
              <w:t>(0.05 to 1)</w:t>
            </w:r>
          </w:p>
        </w:tc>
        <w:tc>
          <w:tcPr>
            <w:tcW w:w="1193" w:type="dxa"/>
          </w:tcPr>
          <w:p w:rsidR="003A52BD" w:rsidRDefault="000F518A" w:rsidP="003677A8">
            <w:r>
              <w:t>2.87e-7</w:t>
            </w:r>
          </w:p>
          <w:p w:rsidR="000F518A" w:rsidRDefault="000F518A" w:rsidP="003677A8">
            <w:r>
              <w:t>(1.03e-10 to 8.04e-6)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6A70E9" w:rsidP="003677A8">
            <w:r>
              <w:t>7.35e-4</w:t>
            </w:r>
          </w:p>
          <w:p w:rsidR="006A70E9" w:rsidRDefault="006A70E9" w:rsidP="003677A8">
            <w:r>
              <w:t>(1.80e-7 to 3.74e-2)</w:t>
            </w:r>
          </w:p>
          <w:p w:rsidR="006A70E9" w:rsidRDefault="006A70E9" w:rsidP="003677A8"/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3677A8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3A52BD" w:rsidP="003677A8"/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</w:t>
      </w:r>
      <w:r w:rsidR="00BC6D99">
        <w:t>1 to -0.12</w:t>
      </w:r>
      <w:r w:rsidR="0033386B">
        <w:t>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F15C28">
        <w:t>0.01</w:t>
      </w:r>
      <w:r w:rsidR="008279EC">
        <w:t xml:space="preserve"> (95% HDI </w:t>
      </w:r>
      <w:r w:rsidR="00F15C28">
        <w:t>5.65e-5</w:t>
      </w:r>
      <w:r w:rsidR="008279EC">
        <w:t xml:space="preserve"> to </w:t>
      </w:r>
      <w:r w:rsidR="00F15C28">
        <w:t>0.16</w:t>
      </w:r>
      <w:r>
        <w:t>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</w:t>
      </w:r>
      <w:r w:rsidR="005D4CD6">
        <w:t>sd 1.19 to 1.36</w:t>
      </w:r>
      <w:r>
        <w:t>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>Seems low – may be due to parameters being derived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>E. carlsbergi (2.76 mean) and G. nicholsi (2.31 mean) found at highest temps.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>G. braueri at lowest temps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4029C3" w:rsidP="000D5299">
      <w:pPr>
        <w:pStyle w:val="ListParagraph"/>
        <w:numPr>
          <w:ilvl w:val="1"/>
          <w:numId w:val="19"/>
        </w:numPr>
      </w:pPr>
      <w:r>
        <w:t>Chi = 52.17</w:t>
      </w:r>
      <w:r w:rsidR="00D86A7C">
        <w:t xml:space="preserve"> (95% HDI 42.08</w:t>
      </w:r>
      <w:r w:rsidR="00C11EA3">
        <w:t xml:space="preserve"> to </w:t>
      </w:r>
      <w:r w:rsidR="00D86A7C">
        <w:t>63.07</w:t>
      </w:r>
      <w:r w:rsidR="00C11EA3">
        <w:t>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 xml:space="preserve">P </w:t>
      </w:r>
      <w:r w:rsidR="00D86A7C">
        <w:t>= 9.81e-10</w:t>
      </w:r>
      <w:r>
        <w:t xml:space="preserve"> (95% HDI </w:t>
      </w:r>
      <w:r w:rsidR="00D86A7C">
        <w:t xml:space="preserve">1.37e-13 </w:t>
      </w:r>
      <w:r>
        <w:t xml:space="preserve">to </w:t>
      </w:r>
      <w:r w:rsidR="00D86A7C">
        <w:t>3.02e-8</w:t>
      </w:r>
      <w:r>
        <w:t>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Myctophids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553309">
            <w:r>
              <w:t>0.</w:t>
            </w:r>
            <w:r w:rsidR="00553309">
              <w:t>08</w:t>
            </w:r>
            <w:r>
              <w:t xml:space="preserve"> (0.03 to 0.19)</w:t>
            </w:r>
          </w:p>
        </w:tc>
        <w:tc>
          <w:tcPr>
            <w:tcW w:w="1099" w:type="dxa"/>
          </w:tcPr>
          <w:p w:rsidR="00986D0E" w:rsidRDefault="00553309" w:rsidP="00EB6610">
            <w:r>
              <w:t>3.21e-4</w:t>
            </w:r>
          </w:p>
          <w:p w:rsidR="00553309" w:rsidRDefault="00553309" w:rsidP="00EB6610">
            <w:r>
              <w:t>(1.06e-8 to 3.44 e-2)</w:t>
            </w:r>
          </w:p>
        </w:tc>
        <w:tc>
          <w:tcPr>
            <w:tcW w:w="1215" w:type="dxa"/>
          </w:tcPr>
          <w:p w:rsidR="00986D0E" w:rsidRDefault="00553309" w:rsidP="00553309">
            <w:r>
              <w:t>-362</w:t>
            </w:r>
            <w:r w:rsidR="00986D0E">
              <w:t xml:space="preserve"> (-3</w:t>
            </w:r>
            <w:r>
              <w:t>89</w:t>
            </w:r>
            <w:r w:rsidR="00986D0E">
              <w:t xml:space="preserve"> to -3</w:t>
            </w:r>
            <w:r>
              <w:t>39</w:t>
            </w:r>
            <w:r w:rsidR="00986D0E"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3F324E" w:rsidP="00EB6610">
            <w:r>
              <w:t xml:space="preserve">0.00 (-0.00 </w:t>
            </w:r>
            <w:r w:rsidR="00986D0E">
              <w:t>to 0.00)</w:t>
            </w:r>
          </w:p>
        </w:tc>
        <w:tc>
          <w:tcPr>
            <w:tcW w:w="1390" w:type="dxa"/>
          </w:tcPr>
          <w:p w:rsidR="00986D0E" w:rsidRDefault="003F324E" w:rsidP="003F324E">
            <w:r>
              <w:t>0.48</w:t>
            </w:r>
            <w:r w:rsidR="00986D0E">
              <w:t xml:space="preserve"> (0.</w:t>
            </w:r>
            <w:r>
              <w:t>38 to 0.60</w:t>
            </w:r>
            <w:r w:rsidR="00986D0E">
              <w:t>)</w:t>
            </w:r>
          </w:p>
        </w:tc>
        <w:tc>
          <w:tcPr>
            <w:tcW w:w="1099" w:type="dxa"/>
          </w:tcPr>
          <w:p w:rsidR="00986D0E" w:rsidRDefault="00FE54D1" w:rsidP="003F324E">
            <w:r>
              <w:t>0.</w:t>
            </w:r>
            <w:r w:rsidR="003F324E">
              <w:t>20</w:t>
            </w:r>
            <w:r>
              <w:t xml:space="preserve"> (</w:t>
            </w:r>
            <w:r w:rsidR="003F324E">
              <w:t>6.39e-</w:t>
            </w:r>
            <w:r>
              <w:t>4 to 0.94)</w:t>
            </w:r>
          </w:p>
        </w:tc>
        <w:tc>
          <w:tcPr>
            <w:tcW w:w="1215" w:type="dxa"/>
          </w:tcPr>
          <w:p w:rsidR="00986D0E" w:rsidRDefault="00986D0E" w:rsidP="003F324E">
            <w:r>
              <w:t>-3</w:t>
            </w:r>
            <w:r w:rsidR="003F324E">
              <w:t xml:space="preserve">75 (-403 </w:t>
            </w:r>
            <w:r>
              <w:t>to -3</w:t>
            </w:r>
            <w:r w:rsidR="003F324E">
              <w:t>47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305311" w:rsidP="00EB6610">
            <w:r>
              <w:t>-0.02 (</w:t>
            </w:r>
            <w:r w:rsidR="00B95113">
              <w:t>-</w:t>
            </w:r>
            <w:r>
              <w:t>0.03 to 0.01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B95113" w:rsidP="00B95113">
            <w:r>
              <w:t>0.05 (0.01</w:t>
            </w:r>
            <w:r w:rsidR="00305311">
              <w:t xml:space="preserve"> to 0.1</w:t>
            </w:r>
            <w:r>
              <w:t>1</w:t>
            </w:r>
            <w:r w:rsidR="00305311">
              <w:t>)</w:t>
            </w:r>
          </w:p>
        </w:tc>
        <w:tc>
          <w:tcPr>
            <w:tcW w:w="1099" w:type="dxa"/>
          </w:tcPr>
          <w:p w:rsidR="00305311" w:rsidRDefault="00B95113" w:rsidP="00CB605C">
            <w:r>
              <w:t>6.35e-3 (3.45e-5 to 0.18)</w:t>
            </w:r>
          </w:p>
        </w:tc>
        <w:tc>
          <w:tcPr>
            <w:tcW w:w="1215" w:type="dxa"/>
          </w:tcPr>
          <w:p w:rsidR="00986D0E" w:rsidRDefault="00B95113" w:rsidP="00305311">
            <w:r>
              <w:t>-359 (-378 to -333)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2468AE" w:rsidP="00EB6610">
            <w:r>
              <w:t>0.00 (-0.01 to 0.00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2468AE" w:rsidP="00EB6610">
            <w:r>
              <w:t>0.50 (0.39 to 0.60)</w:t>
            </w:r>
          </w:p>
        </w:tc>
        <w:tc>
          <w:tcPr>
            <w:tcW w:w="1099" w:type="dxa"/>
          </w:tcPr>
          <w:p w:rsidR="00986D0E" w:rsidRDefault="002468AE" w:rsidP="00EB6610">
            <w:r>
              <w:t>0.69 (0.06 to 0.99)</w:t>
            </w:r>
          </w:p>
        </w:tc>
        <w:tc>
          <w:tcPr>
            <w:tcW w:w="1215" w:type="dxa"/>
          </w:tcPr>
          <w:p w:rsidR="00986D0E" w:rsidRDefault="00986D0E" w:rsidP="002468AE">
            <w:r>
              <w:t>-37</w:t>
            </w:r>
            <w:r w:rsidR="002468AE">
              <w:t>5 (-402 to -345)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96502C" w:rsidP="0096502C">
            <w:r>
              <w:t>0.17</w:t>
            </w:r>
            <w:r w:rsidR="00746E87">
              <w:t xml:space="preserve"> (0.</w:t>
            </w:r>
            <w:r>
              <w:t>09 to 0.26</w:t>
            </w:r>
            <w:r w:rsidR="00746E87">
              <w:t>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96502C" w:rsidP="0096502C">
            <w:r>
              <w:t>0.05</w:t>
            </w:r>
            <w:r w:rsidR="004A7530">
              <w:t xml:space="preserve"> </w:t>
            </w:r>
            <w:r>
              <w:t>(2.91e-6 to 0.91)</w:t>
            </w:r>
          </w:p>
        </w:tc>
        <w:tc>
          <w:tcPr>
            <w:tcW w:w="1215" w:type="dxa"/>
            <w:vMerge w:val="restart"/>
          </w:tcPr>
          <w:p w:rsidR="00746E87" w:rsidRDefault="004A7530" w:rsidP="00F75B86">
            <w:r>
              <w:t>-3</w:t>
            </w:r>
            <w:r w:rsidR="00F75B86">
              <w:t>68</w:t>
            </w:r>
            <w:r>
              <w:t xml:space="preserve"> (-</w:t>
            </w:r>
            <w:r w:rsidR="00F75B86">
              <w:t xml:space="preserve">395 </w:t>
            </w:r>
            <w:r>
              <w:t>to -3</w:t>
            </w:r>
            <w:r w:rsidR="00F75B86">
              <w:t>41</w:t>
            </w:r>
            <w:r>
              <w:t>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96502C" w:rsidP="00EB6610">
            <w:r>
              <w:t>0.03 (5.29e-5 to 0.60)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9649A" w:rsidP="00EB6610">
            <w:r>
              <w:lastRenderedPageBreak/>
              <w:t xml:space="preserve">0.00 (-0.01 to </w:t>
            </w:r>
            <w:r w:rsidR="00746E87">
              <w:t>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96502C" w:rsidP="00EB6610">
            <w:r>
              <w:lastRenderedPageBreak/>
              <w:t>0.09 (0.00 to 0.93)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4B6FCD">
            <w:r>
              <w:t>0.</w:t>
            </w:r>
            <w:r w:rsidR="004B6FCD">
              <w:t>50 (0.37 to 0.64</w:t>
            </w:r>
            <w:r>
              <w:t>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B6FCD" w:rsidP="00EB6610">
            <w:r>
              <w:t>0.10</w:t>
            </w:r>
            <w:r w:rsidR="00407D8A">
              <w:t xml:space="preserve">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4B6FCD">
            <w:r>
              <w:t>-3</w:t>
            </w:r>
            <w:r w:rsidR="004B6FCD">
              <w:t>58</w:t>
            </w:r>
            <w:r>
              <w:t xml:space="preserve"> (-3</w:t>
            </w:r>
            <w:r w:rsidR="004B6FCD">
              <w:t>82</w:t>
            </w:r>
            <w:r>
              <w:t xml:space="preserve"> to </w:t>
            </w:r>
            <w:r w:rsidR="004B6FCD">
              <w:t>-330</w:t>
            </w:r>
            <w:bookmarkStart w:id="0" w:name="_GoBack"/>
            <w:bookmarkEnd w:id="0"/>
            <w:r>
              <w:t>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B6FCD">
            <w:r>
              <w:t>0.</w:t>
            </w:r>
            <w:r w:rsidR="004B6FCD">
              <w:t xml:space="preserve">16 </w:t>
            </w:r>
            <w:r>
              <w:t>(</w:t>
            </w:r>
            <w:r w:rsidR="004B6FCD">
              <w:t>0.05 to 0.98</w:t>
            </w:r>
            <w:r>
              <w:t>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4B6FCD" w:rsidP="004B6FCD">
            <w:r>
              <w:t xml:space="preserve">0.00 (0.00 </w:t>
            </w:r>
            <w:r w:rsidR="008A5174">
              <w:t>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4B6FCD">
            <w:r>
              <w:t>0.</w:t>
            </w:r>
            <w:r w:rsidR="004B6FCD">
              <w:t>36</w:t>
            </w:r>
            <w:r>
              <w:t xml:space="preserve"> (0.</w:t>
            </w:r>
            <w:r w:rsidR="004B6FCD">
              <w:t>07 to 1</w:t>
            </w:r>
            <w:r>
              <w:t>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EB6610" w:rsidRPr="00EB6610" w:rsidRDefault="00EB6610" w:rsidP="00C44756"/>
    <w:sectPr w:rsidR="00EB6610" w:rsidRPr="00EB66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6E4" w:rsidRDefault="00FD66E4" w:rsidP="002D221E">
      <w:pPr>
        <w:spacing w:after="0" w:line="240" w:lineRule="auto"/>
      </w:pPr>
      <w:r>
        <w:separator/>
      </w:r>
    </w:p>
  </w:endnote>
  <w:endnote w:type="continuationSeparator" w:id="0">
    <w:p w:rsidR="00FD66E4" w:rsidRDefault="00FD66E4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6E4" w:rsidRDefault="00FD66E4" w:rsidP="002D221E">
      <w:pPr>
        <w:spacing w:after="0" w:line="240" w:lineRule="auto"/>
      </w:pPr>
      <w:r>
        <w:separator/>
      </w:r>
    </w:p>
  </w:footnote>
  <w:footnote w:type="continuationSeparator" w:id="0">
    <w:p w:rsidR="00FD66E4" w:rsidRDefault="00FD66E4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0"/>
  </w:num>
  <w:num w:numId="4">
    <w:abstractNumId w:val="3"/>
  </w:num>
  <w:num w:numId="5">
    <w:abstractNumId w:val="1"/>
  </w:num>
  <w:num w:numId="6">
    <w:abstractNumId w:val="23"/>
  </w:num>
  <w:num w:numId="7">
    <w:abstractNumId w:val="21"/>
  </w:num>
  <w:num w:numId="8">
    <w:abstractNumId w:val="5"/>
  </w:num>
  <w:num w:numId="9">
    <w:abstractNumId w:val="15"/>
  </w:num>
  <w:num w:numId="10">
    <w:abstractNumId w:val="4"/>
  </w:num>
  <w:num w:numId="11">
    <w:abstractNumId w:val="17"/>
  </w:num>
  <w:num w:numId="12">
    <w:abstractNumId w:val="14"/>
  </w:num>
  <w:num w:numId="13">
    <w:abstractNumId w:val="19"/>
  </w:num>
  <w:num w:numId="14">
    <w:abstractNumId w:val="16"/>
  </w:num>
  <w:num w:numId="15">
    <w:abstractNumId w:val="10"/>
  </w:num>
  <w:num w:numId="16">
    <w:abstractNumId w:val="2"/>
  </w:num>
  <w:num w:numId="17">
    <w:abstractNumId w:val="8"/>
  </w:num>
  <w:num w:numId="18">
    <w:abstractNumId w:val="11"/>
  </w:num>
  <w:num w:numId="19">
    <w:abstractNumId w:val="7"/>
  </w:num>
  <w:num w:numId="20">
    <w:abstractNumId w:val="22"/>
  </w:num>
  <w:num w:numId="21">
    <w:abstractNumId w:val="0"/>
  </w:num>
  <w:num w:numId="22">
    <w:abstractNumId w:val="13"/>
  </w:num>
  <w:num w:numId="23">
    <w:abstractNumId w:val="1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62D5B"/>
    <w:rsid w:val="000767A7"/>
    <w:rsid w:val="000D5299"/>
    <w:rsid w:val="000F518A"/>
    <w:rsid w:val="0011300D"/>
    <w:rsid w:val="00134512"/>
    <w:rsid w:val="00172C51"/>
    <w:rsid w:val="001756BB"/>
    <w:rsid w:val="00180FEF"/>
    <w:rsid w:val="001932D3"/>
    <w:rsid w:val="001A2704"/>
    <w:rsid w:val="001A40E1"/>
    <w:rsid w:val="001D250D"/>
    <w:rsid w:val="001E7D04"/>
    <w:rsid w:val="00201162"/>
    <w:rsid w:val="002012B0"/>
    <w:rsid w:val="00212B31"/>
    <w:rsid w:val="00222EC1"/>
    <w:rsid w:val="0022568C"/>
    <w:rsid w:val="002468AE"/>
    <w:rsid w:val="00251662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05311"/>
    <w:rsid w:val="00331E12"/>
    <w:rsid w:val="0033386B"/>
    <w:rsid w:val="003625F3"/>
    <w:rsid w:val="00362947"/>
    <w:rsid w:val="00374DE5"/>
    <w:rsid w:val="0037588B"/>
    <w:rsid w:val="00393827"/>
    <w:rsid w:val="003A52BD"/>
    <w:rsid w:val="003A5702"/>
    <w:rsid w:val="003A648B"/>
    <w:rsid w:val="003E0B3A"/>
    <w:rsid w:val="003F324E"/>
    <w:rsid w:val="004029C3"/>
    <w:rsid w:val="00407D8A"/>
    <w:rsid w:val="0042286F"/>
    <w:rsid w:val="004547CB"/>
    <w:rsid w:val="0047417B"/>
    <w:rsid w:val="0048139B"/>
    <w:rsid w:val="00487B14"/>
    <w:rsid w:val="004A7530"/>
    <w:rsid w:val="004B6FCD"/>
    <w:rsid w:val="004C3011"/>
    <w:rsid w:val="004C6DDF"/>
    <w:rsid w:val="005150F2"/>
    <w:rsid w:val="00533FF0"/>
    <w:rsid w:val="00534A00"/>
    <w:rsid w:val="00553309"/>
    <w:rsid w:val="0057721F"/>
    <w:rsid w:val="005A51A3"/>
    <w:rsid w:val="005B77E0"/>
    <w:rsid w:val="005D4CD6"/>
    <w:rsid w:val="005F68B5"/>
    <w:rsid w:val="00617D41"/>
    <w:rsid w:val="00621D90"/>
    <w:rsid w:val="006225C8"/>
    <w:rsid w:val="006579D9"/>
    <w:rsid w:val="006604D2"/>
    <w:rsid w:val="006803AE"/>
    <w:rsid w:val="006A70E9"/>
    <w:rsid w:val="006B487B"/>
    <w:rsid w:val="006C4F31"/>
    <w:rsid w:val="006F74A1"/>
    <w:rsid w:val="0070396B"/>
    <w:rsid w:val="00707A56"/>
    <w:rsid w:val="00712160"/>
    <w:rsid w:val="00727491"/>
    <w:rsid w:val="00746E87"/>
    <w:rsid w:val="0077281D"/>
    <w:rsid w:val="00783FF2"/>
    <w:rsid w:val="0079649A"/>
    <w:rsid w:val="0079785E"/>
    <w:rsid w:val="007B02E3"/>
    <w:rsid w:val="007C2574"/>
    <w:rsid w:val="007C4FFA"/>
    <w:rsid w:val="007D2089"/>
    <w:rsid w:val="007D7A95"/>
    <w:rsid w:val="007F5471"/>
    <w:rsid w:val="0081437B"/>
    <w:rsid w:val="008279EC"/>
    <w:rsid w:val="00833FAF"/>
    <w:rsid w:val="00875E30"/>
    <w:rsid w:val="008948BA"/>
    <w:rsid w:val="008A248C"/>
    <w:rsid w:val="008A5174"/>
    <w:rsid w:val="008E7AF4"/>
    <w:rsid w:val="00924BA2"/>
    <w:rsid w:val="0096502C"/>
    <w:rsid w:val="00975184"/>
    <w:rsid w:val="009778F1"/>
    <w:rsid w:val="0098655F"/>
    <w:rsid w:val="00986D0E"/>
    <w:rsid w:val="009A22E4"/>
    <w:rsid w:val="009A7976"/>
    <w:rsid w:val="009B7374"/>
    <w:rsid w:val="009C3072"/>
    <w:rsid w:val="009D521D"/>
    <w:rsid w:val="009E6B15"/>
    <w:rsid w:val="00A00E5F"/>
    <w:rsid w:val="00A236F8"/>
    <w:rsid w:val="00A31461"/>
    <w:rsid w:val="00AA6B2A"/>
    <w:rsid w:val="00AB6D71"/>
    <w:rsid w:val="00AF3039"/>
    <w:rsid w:val="00AF67DA"/>
    <w:rsid w:val="00B03263"/>
    <w:rsid w:val="00B03BE6"/>
    <w:rsid w:val="00B1278A"/>
    <w:rsid w:val="00B34925"/>
    <w:rsid w:val="00B353C5"/>
    <w:rsid w:val="00B50F01"/>
    <w:rsid w:val="00B6729A"/>
    <w:rsid w:val="00B70743"/>
    <w:rsid w:val="00B91D82"/>
    <w:rsid w:val="00B95113"/>
    <w:rsid w:val="00B96B47"/>
    <w:rsid w:val="00BA152F"/>
    <w:rsid w:val="00BB024F"/>
    <w:rsid w:val="00BB25CC"/>
    <w:rsid w:val="00BB4C99"/>
    <w:rsid w:val="00BC082D"/>
    <w:rsid w:val="00BC086E"/>
    <w:rsid w:val="00BC6D99"/>
    <w:rsid w:val="00BC70BB"/>
    <w:rsid w:val="00C11355"/>
    <w:rsid w:val="00C11EA3"/>
    <w:rsid w:val="00C44756"/>
    <w:rsid w:val="00C5027B"/>
    <w:rsid w:val="00C6409E"/>
    <w:rsid w:val="00C662F3"/>
    <w:rsid w:val="00CB605C"/>
    <w:rsid w:val="00CC000B"/>
    <w:rsid w:val="00CD5E28"/>
    <w:rsid w:val="00CE0BD0"/>
    <w:rsid w:val="00CE23B9"/>
    <w:rsid w:val="00D60611"/>
    <w:rsid w:val="00D73CD1"/>
    <w:rsid w:val="00D86A7C"/>
    <w:rsid w:val="00D875A9"/>
    <w:rsid w:val="00DE2EE4"/>
    <w:rsid w:val="00DF002C"/>
    <w:rsid w:val="00E529AF"/>
    <w:rsid w:val="00E658A1"/>
    <w:rsid w:val="00E76B2C"/>
    <w:rsid w:val="00E77DE9"/>
    <w:rsid w:val="00E8098D"/>
    <w:rsid w:val="00EA1696"/>
    <w:rsid w:val="00EB6610"/>
    <w:rsid w:val="00ED16C4"/>
    <w:rsid w:val="00EF69CB"/>
    <w:rsid w:val="00F133DF"/>
    <w:rsid w:val="00F15702"/>
    <w:rsid w:val="00F15C28"/>
    <w:rsid w:val="00F23E70"/>
    <w:rsid w:val="00F24033"/>
    <w:rsid w:val="00F52830"/>
    <w:rsid w:val="00F55554"/>
    <w:rsid w:val="00F66DC5"/>
    <w:rsid w:val="00F71957"/>
    <w:rsid w:val="00F75B86"/>
    <w:rsid w:val="00F86F65"/>
    <w:rsid w:val="00FC73DD"/>
    <w:rsid w:val="00FD1287"/>
    <w:rsid w:val="00FD66E4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E878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131</cp:revision>
  <dcterms:created xsi:type="dcterms:W3CDTF">2019-07-02T11:03:00Z</dcterms:created>
  <dcterms:modified xsi:type="dcterms:W3CDTF">2019-07-24T17:51:00Z</dcterms:modified>
</cp:coreProperties>
</file>