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4538C9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53B222F4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73171">
        <w:rPr>
          <w:b/>
        </w:rPr>
        <w:t>Long</w:t>
      </w:r>
      <w:r w:rsidRPr="00AB6941">
        <w:rPr>
          <w:b/>
        </w:rPr>
        <w:t>”</w:t>
      </w:r>
    </w:p>
    <w:p w14:paraId="7CD0544A" w14:textId="10D184EC" w:rsidR="001704C9" w:rsidRDefault="00F5380A" w:rsidP="001704C9">
      <w:pPr>
        <w:pStyle w:val="ListParagraph"/>
        <w:numPr>
          <w:ilvl w:val="1"/>
          <w:numId w:val="12"/>
        </w:numPr>
      </w:pPr>
      <w:r>
        <w:t>Chain length = 3</w:t>
      </w:r>
      <w:r w:rsidR="001704C9">
        <w:t>00,000</w:t>
      </w:r>
    </w:p>
    <w:p w14:paraId="4F6448DA" w14:textId="73F3D0C4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F5380A">
        <w:t>20</w:t>
      </w:r>
      <w:r w:rsidR="00073171">
        <w:t>0</w:t>
      </w:r>
      <w:bookmarkStart w:id="0" w:name="_GoBack"/>
      <w:bookmarkEnd w:id="0"/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574B823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F5380A">
        <w:t>100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22BA7F95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60C9B072" w14:textId="3252EF3C" w:rsidR="00C563C9" w:rsidRPr="00C563C9" w:rsidRDefault="00C563C9" w:rsidP="00C563C9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2A4FBEDD" w14:textId="77777777" w:rsidR="00047109" w:rsidRPr="0062349D" w:rsidRDefault="00047109" w:rsidP="00047109"/>
    <w:sectPr w:rsidR="00047109" w:rsidRPr="006234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EEDD4" w14:textId="77777777" w:rsidR="00517E4A" w:rsidRDefault="00517E4A" w:rsidP="005C757D">
      <w:pPr>
        <w:spacing w:after="0" w:line="240" w:lineRule="auto"/>
      </w:pPr>
      <w:r>
        <w:separator/>
      </w:r>
    </w:p>
  </w:endnote>
  <w:endnote w:type="continuationSeparator" w:id="0">
    <w:p w14:paraId="10FBE028" w14:textId="77777777" w:rsidR="00517E4A" w:rsidRDefault="00517E4A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5B545" w14:textId="77777777" w:rsidR="00517E4A" w:rsidRDefault="00517E4A" w:rsidP="005C757D">
      <w:pPr>
        <w:spacing w:after="0" w:line="240" w:lineRule="auto"/>
      </w:pPr>
      <w:r>
        <w:separator/>
      </w:r>
    </w:p>
  </w:footnote>
  <w:footnote w:type="continuationSeparator" w:id="0">
    <w:p w14:paraId="0BC0A79D" w14:textId="77777777" w:rsidR="00517E4A" w:rsidRDefault="00517E4A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5C757D" w:rsidRDefault="005C757D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4340A8"/>
    <w:multiLevelType w:val="hybridMultilevel"/>
    <w:tmpl w:val="75F23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47109"/>
    <w:rsid w:val="00073171"/>
    <w:rsid w:val="000925BF"/>
    <w:rsid w:val="001225DB"/>
    <w:rsid w:val="001704C9"/>
    <w:rsid w:val="001F38B2"/>
    <w:rsid w:val="002003C5"/>
    <w:rsid w:val="0031621A"/>
    <w:rsid w:val="00320A45"/>
    <w:rsid w:val="004F4ADA"/>
    <w:rsid w:val="00517E4A"/>
    <w:rsid w:val="005C757D"/>
    <w:rsid w:val="005F1115"/>
    <w:rsid w:val="006142C3"/>
    <w:rsid w:val="0062349D"/>
    <w:rsid w:val="007967D5"/>
    <w:rsid w:val="008A3DD1"/>
    <w:rsid w:val="008C569C"/>
    <w:rsid w:val="00907B2E"/>
    <w:rsid w:val="00970EFD"/>
    <w:rsid w:val="009A7976"/>
    <w:rsid w:val="009E6B15"/>
    <w:rsid w:val="00AB6941"/>
    <w:rsid w:val="00AE3287"/>
    <w:rsid w:val="00AE418C"/>
    <w:rsid w:val="00C3072C"/>
    <w:rsid w:val="00C563C9"/>
    <w:rsid w:val="00D740BB"/>
    <w:rsid w:val="00DD4D93"/>
    <w:rsid w:val="00DE409B"/>
    <w:rsid w:val="00E10556"/>
    <w:rsid w:val="00ED1EF8"/>
    <w:rsid w:val="00EF5445"/>
    <w:rsid w:val="00F5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25</cp:revision>
  <dcterms:created xsi:type="dcterms:W3CDTF">2019-09-13T09:50:00Z</dcterms:created>
  <dcterms:modified xsi:type="dcterms:W3CDTF">2019-09-16T13:29:00Z</dcterms:modified>
</cp:coreProperties>
</file>