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46CFDBAC"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5BA333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6D2B96B4"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08EAD3EB"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6FCEEBC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7703C729"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BFCA974"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7B0992C5"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Unless otherwise noted, hazard estimates for CRN represent the total,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991BA0">
        <w:rPr>
          <w:rFonts w:ascii="Times New Roman" w:hAnsi="Times New Roman" w:cs="Times New Roman"/>
          <w:sz w:val="24"/>
          <w:szCs w:val="24"/>
        </w:rPr>
        <w:t>we</w:t>
      </w:r>
      <w:r w:rsidR="00C0308E">
        <w:rPr>
          <w:rFonts w:ascii="Times New Roman" w:hAnsi="Times New Roman" w:cs="Times New Roman"/>
          <w:sz w:val="24"/>
          <w:szCs w:val="24"/>
        </w:rPr>
        <w:t xml:space="preserve"> 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lastRenderedPageBreak/>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907C34">
        <w:rPr>
          <w:rFonts w:ascii="Times New Roman" w:hAnsi="Times New Roman" w:cs="Times New Roman"/>
          <w:sz w:val="24"/>
          <w:szCs w:val="24"/>
        </w:rPr>
        <w:instrText xml:space="preserve"> ADDIN ZOTERO_ITEM CSL_CITATION {"citationID":"gcUSUdrF","properties":{"formattedCitation":"\\super 38\\nosupersub{}","plainCitation":"38","noteIndex":0},"citationItems":[{"id":1133,"uris":["http://zotero.org/users/5917738/items/I4BPN39W"],"uri":["http://zotero.org/users/5917738/items/I4BPN39W"],"itemData":{"id":1133,"type":"article-journal","abstract":"It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38</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27920456"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{"citationID":"pPdix7h0","properties":{"formattedCitation":"\\super 39\\nosupersub{}","plainCitation":"39","noteIndex":0},"citationItems":[{"id":1087,"uris":["http://zotero.org/users/5917738/items/C9P954VX"],"uri":["http://zotero.org/users/5917738/items/C9P954VX"],"itemData":{"id":1087,"type":"article-journal","abstract":"Nonproportional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39</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we 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influential observations, </w:t>
      </w:r>
      <w:r w:rsidR="00D44E24">
        <w:rPr>
          <w:rFonts w:ascii="Times New Roman" w:hAnsi="Times New Roman" w:cs="Times New Roman"/>
          <w:sz w:val="24"/>
          <w:szCs w:val="24"/>
        </w:rPr>
        <w:t>we 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or log-linearity, we</w:t>
      </w:r>
      <w:r w:rsidR="001817CF">
        <w:rPr>
          <w:rFonts w:ascii="Times New Roman" w:hAnsi="Times New Roman" w:cs="Times New Roman"/>
          <w:sz w:val="24"/>
          <w:szCs w:val="24"/>
        </w:rPr>
        <w:t xml:space="preserve">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{"citationID":"BmLeulYb","properties":{"formattedCitation":"\\super 40\\nosupersub{}","plainCitation":"40","noteIndex":0},"citationItems":[{"id":1021,"uris":["http://zotero.org/users/5917738/items/C9W2X5AH"],"uri":["http://zotero.org/users/5917738/items/C9W2X5AH"],"itemData":{"id":1021,"type":"book","event-place":"Vienna,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40</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{"citationID":"x8vs1aOB","properties":{"formattedCitation":"\\super 41\\nosupersub{}","plainCitation":"41","noteIndex":0},"citationItems":[{"id":1126,"uris":["http://zotero.org/users/5917738/items/LK3WKERN"],"uri":["http://zotero.org/users/5917738/items/LK3WKERN"],"itemData":{"id":1126,"type":"book","event-place":"Boston,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41</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{"citationID":"mn8CbsHj","properties":{"formattedCitation":"\\super 42\\nosupersub{}","plainCitation":"42","noteIndex":0},"citationItems":[{"id":1127,"uris":["http://zotero.org/users/5917738/items/VYABRGI3"],"uri":["http://zotero.org/users/5917738/items/VYABRGI3"],"itemData":{"id":1127,"type":"article-journal","title":"survival: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42</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{"citationID":"gc8Bzq7D","properties":{"formattedCitation":"\\super 43\\nosupersub{}","plainCitation":"43","noteIndex":0},"citationItems":[{"id":1018,"uris":["http://zotero.org/users/5917738/items/WRL4YBWR"],"uri":["http://zotero.org/users/5917738/items/WRL4YBWR"],"itemData":{"id":1018,"type":"article-journal","container-title":"Journal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43</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0008FF9"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w:t>
      </w:r>
      <w:r w:rsidR="00B84F41">
        <w:rPr>
          <w:rFonts w:ascii="Times New Roman" w:hAnsi="Times New Roman" w:cs="Times New Roman"/>
          <w:sz w:val="24"/>
          <w:szCs w:val="24"/>
        </w:rPr>
        <w:lastRenderedPageBreak/>
        <w:t xml:space="preserve">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776AE11A"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lastRenderedPageBreak/>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we 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4E0E7ED"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19420757"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lastRenderedPageBreak/>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.163 – 1.300</w:t>
      </w:r>
      <w:r w:rsidR="0078461C">
        <w:rPr>
          <w:rFonts w:ascii="Times New Roman" w:hAnsi="Times New Roman" w:cs="Times New Roman"/>
          <w:iCs/>
          <w:sz w:val="24"/>
          <w:szCs w:val="24"/>
        </w:rPr>
        <w:t>;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A complete list of </w:t>
      </w:r>
      <w:r w:rsidR="0040340F">
        <w:rPr>
          <w:rFonts w:ascii="Times New Roman" w:hAnsi="Times New Roman" w:cs="Times New Roman"/>
          <w:iCs/>
          <w:sz w:val="24"/>
          <w:szCs w:val="24"/>
        </w:rPr>
        <w:t>coefficients for included covariates in all-cause mortality models is listed in Supplementary Table</w:t>
      </w:r>
      <w:r w:rsidR="002C0174">
        <w:rPr>
          <w:rFonts w:ascii="Times New Roman" w:hAnsi="Times New Roman" w:cs="Times New Roman"/>
          <w:iCs/>
          <w:sz w:val="24"/>
          <w:szCs w:val="24"/>
        </w:rPr>
        <w:t xml:space="preserve"> 1.</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5D351C17"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09D559E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xml:space="preserve">, although this </w:t>
      </w:r>
      <w:r w:rsidR="00907D34">
        <w:rPr>
          <w:rFonts w:ascii="Times New Roman" w:hAnsi="Times New Roman" w:cs="Times New Roman"/>
          <w:iCs/>
          <w:sz w:val="24"/>
          <w:szCs w:val="24"/>
        </w:rPr>
        <w:lastRenderedPageBreak/>
        <w:t>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we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The adjusted hazard of disease-specific mortality was not significantly different between the two 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2797B1D4"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2 shows </w:t>
      </w:r>
      <w:r w:rsidR="004325D0">
        <w:rPr>
          <w:rFonts w:ascii="Times New Roman" w:hAnsi="Times New Roman" w:cs="Times New Roman"/>
          <w:iCs/>
          <w:sz w:val="24"/>
          <w:szCs w:val="24"/>
        </w:rPr>
        <w:t>hazard ratios for all included confounders in disease-specific models.</w:t>
      </w:r>
    </w:p>
    <w:p w14:paraId="73B33746" w14:textId="73D4A82A" w:rsidR="00960A76" w:rsidRDefault="00960A76"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71E34692" w:rsidR="00960A76" w:rsidRDefault="00171154"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We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t>
      </w:r>
      <w:r w:rsidR="00B6656B">
        <w:rPr>
          <w:rFonts w:ascii="Times New Roman" w:hAnsi="Times New Roman" w:cs="Times New Roman"/>
          <w:iCs/>
          <w:sz w:val="24"/>
          <w:szCs w:val="24"/>
        </w:rPr>
        <w:lastRenderedPageBreak/>
        <w:t>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prevalence of CRN </w:t>
      </w:r>
      <w:r w:rsidR="006A763E">
        <w:rPr>
          <w:rFonts w:ascii="Times New Roman" w:hAnsi="Times New Roman" w:cs="Times New Roman"/>
          <w:iCs/>
          <w:sz w:val="24"/>
          <w:szCs w:val="24"/>
        </w:rPr>
        <w:t>(</w:t>
      </w:r>
      <w:r w:rsidR="007C357D">
        <w:rPr>
          <w:rFonts w:ascii="Times New Roman" w:hAnsi="Times New Roman" w:cs="Times New Roman"/>
          <w:iCs/>
          <w:sz w:val="24"/>
          <w:szCs w:val="24"/>
        </w:rPr>
        <w:t>32%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2</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we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change</w:t>
      </w:r>
      <w:r w:rsidR="00C33C75">
        <w:rPr>
          <w:rFonts w:ascii="Times New Roman" w:hAnsi="Times New Roman" w:cs="Times New Roman"/>
          <w:iCs/>
          <w:sz w:val="24"/>
          <w:szCs w:val="24"/>
        </w:rPr>
        <w:t xml:space="preserve"> </w:t>
      </w:r>
      <w:r w:rsidR="00E1751C">
        <w:rPr>
          <w:rFonts w:ascii="Times New Roman" w:hAnsi="Times New Roman" w:cs="Times New Roman"/>
          <w:iCs/>
          <w:sz w:val="24"/>
          <w:szCs w:val="24"/>
        </w:rPr>
        <w:t>results</w:t>
      </w:r>
      <w:r w:rsidR="00C33C75">
        <w:rPr>
          <w:rFonts w:ascii="Times New Roman" w:hAnsi="Times New Roman" w:cs="Times New Roman"/>
          <w:iCs/>
          <w:sz w:val="24"/>
          <w:szCs w:val="24"/>
        </w:rPr>
        <w:t xml:space="preserve">, thus we 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8C493C">
        <w:rPr>
          <w:rFonts w:ascii="Times New Roman" w:hAnsi="Times New Roman" w:cs="Times New Roman"/>
          <w:iCs/>
          <w:sz w:val="24"/>
          <w:szCs w:val="24"/>
        </w:rPr>
        <w:t>3</w:t>
      </w:r>
      <w:r w:rsidR="00C33C75" w:rsidRPr="004475AD">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CRN associated risks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77777777"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data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we found tha</w:t>
      </w:r>
      <w:r w:rsidR="00063F41">
        <w:rPr>
          <w:rFonts w:ascii="Times New Roman" w:hAnsi="Times New Roman" w:cs="Times New Roman"/>
          <w:iCs/>
          <w:sz w:val="24"/>
          <w:szCs w:val="24"/>
        </w:rPr>
        <w:t>t nearly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411EA5">
        <w:rPr>
          <w:rFonts w:ascii="Times New Roman" w:hAnsi="Times New Roman" w:cs="Times New Roman"/>
          <w:iCs/>
          <w:sz w:val="24"/>
          <w:szCs w:val="24"/>
        </w:rPr>
        <w:t xml:space="preserve">For years in which </w:t>
      </w:r>
      <w:r w:rsidR="00B47639">
        <w:rPr>
          <w:rFonts w:ascii="Times New Roman" w:hAnsi="Times New Roman" w:cs="Times New Roman"/>
          <w:iCs/>
          <w:sz w:val="24"/>
          <w:szCs w:val="24"/>
        </w:rPr>
        <w:t>more than one survey item was used to assess CRN,</w:t>
      </w:r>
      <w:r w:rsidR="00945CDC">
        <w:rPr>
          <w:rFonts w:ascii="Times New Roman" w:hAnsi="Times New Roman" w:cs="Times New Roman"/>
          <w:iCs/>
          <w:sz w:val="24"/>
          <w:szCs w:val="24"/>
        </w:rPr>
        <w:t xml:space="preserve"> we found </w:t>
      </w:r>
      <w:r w:rsidR="00CA4DED">
        <w:rPr>
          <w:rFonts w:ascii="Times New Roman" w:hAnsi="Times New Roman" w:cs="Times New Roman"/>
          <w:iCs/>
          <w:sz w:val="24"/>
          <w:szCs w:val="24"/>
        </w:rPr>
        <w:t xml:space="preserve">delaying taking medication was the most common </w:t>
      </w:r>
      <w:r w:rsidR="00FB1C97">
        <w:rPr>
          <w:rFonts w:ascii="Times New Roman" w:hAnsi="Times New Roman" w:cs="Times New Roman"/>
          <w:iCs/>
          <w:sz w:val="24"/>
          <w:szCs w:val="24"/>
        </w:rPr>
        <w:t xml:space="preserve">strategy used to manage costs, </w:t>
      </w:r>
      <w:r w:rsidR="00945CDC">
        <w:rPr>
          <w:rFonts w:ascii="Times New Roman" w:hAnsi="Times New Roman" w:cs="Times New Roman"/>
          <w:iCs/>
          <w:sz w:val="24"/>
          <w:szCs w:val="24"/>
        </w:rPr>
        <w:t>th</w:t>
      </w:r>
      <w:r w:rsidR="00FB1C97">
        <w:rPr>
          <w:rFonts w:ascii="Times New Roman" w:hAnsi="Times New Roman" w:cs="Times New Roman"/>
          <w:iCs/>
          <w:sz w:val="24"/>
          <w:szCs w:val="24"/>
        </w:rPr>
        <w:t xml:space="preserve">ough more than </w:t>
      </w:r>
      <w:r w:rsidR="00977E95">
        <w:rPr>
          <w:rFonts w:ascii="Times New Roman" w:hAnsi="Times New Roman" w:cs="Times New Roman"/>
          <w:iCs/>
          <w:sz w:val="24"/>
          <w:szCs w:val="24"/>
        </w:rPr>
        <w:t>half</w:t>
      </w:r>
      <w:r w:rsidR="00FB1C97">
        <w:rPr>
          <w:rFonts w:ascii="Times New Roman" w:hAnsi="Times New Roman" w:cs="Times New Roman"/>
          <w:iCs/>
          <w:sz w:val="24"/>
          <w:szCs w:val="24"/>
        </w:rPr>
        <w:t xml:space="preserve"> of </w:t>
      </w:r>
      <w:r w:rsidR="00FA2DB7">
        <w:rPr>
          <w:rFonts w:ascii="Times New Roman" w:hAnsi="Times New Roman" w:cs="Times New Roman"/>
          <w:iCs/>
          <w:sz w:val="24"/>
          <w:szCs w:val="24"/>
        </w:rPr>
        <w:t>nonadherent</w:t>
      </w:r>
      <w:r w:rsidR="00945CDC">
        <w:rPr>
          <w:rFonts w:ascii="Times New Roman" w:hAnsi="Times New Roman" w:cs="Times New Roman"/>
          <w:iCs/>
          <w:sz w:val="24"/>
          <w:szCs w:val="24"/>
        </w:rPr>
        <w:t xml:space="preserve"> patients reported multiple</w:t>
      </w:r>
      <w:r w:rsidR="006B3F80">
        <w:rPr>
          <w:rFonts w:ascii="Times New Roman" w:hAnsi="Times New Roman" w:cs="Times New Roman"/>
          <w:iCs/>
          <w:sz w:val="24"/>
          <w:szCs w:val="24"/>
        </w:rPr>
        <w:t xml:space="preserve"> </w:t>
      </w:r>
      <w:r w:rsidR="00FB1C97">
        <w:rPr>
          <w:rFonts w:ascii="Times New Roman" w:hAnsi="Times New Roman" w:cs="Times New Roman"/>
          <w:iCs/>
          <w:sz w:val="24"/>
          <w:szCs w:val="24"/>
        </w:rPr>
        <w:t>forms of CRN</w:t>
      </w:r>
      <w:r w:rsidR="000539F9">
        <w:rPr>
          <w:rFonts w:ascii="Times New Roman" w:hAnsi="Times New Roman" w:cs="Times New Roman"/>
          <w:iCs/>
          <w:sz w:val="24"/>
          <w:szCs w:val="24"/>
        </w:rPr>
        <w:t>.</w:t>
      </w:r>
      <w:r w:rsidR="00E8020A">
        <w:rPr>
          <w:rFonts w:ascii="Times New Roman" w:hAnsi="Times New Roman" w:cs="Times New Roman"/>
          <w:iCs/>
          <w:sz w:val="24"/>
          <w:szCs w:val="24"/>
        </w:rPr>
        <w:t xml:space="preserve"> Moreover, </w:t>
      </w:r>
      <w:r w:rsidR="007B655D">
        <w:rPr>
          <w:rFonts w:ascii="Times New Roman" w:hAnsi="Times New Roman" w:cs="Times New Roman"/>
          <w:iCs/>
          <w:sz w:val="24"/>
          <w:szCs w:val="24"/>
        </w:rPr>
        <w:t xml:space="preserve">we </w:t>
      </w:r>
      <w:r w:rsidR="001A5091">
        <w:rPr>
          <w:rFonts w:ascii="Times New Roman" w:hAnsi="Times New Roman" w:cs="Times New Roman"/>
          <w:iCs/>
          <w:sz w:val="24"/>
          <w:szCs w:val="24"/>
        </w:rPr>
        <w:t>demonstrat</w:t>
      </w:r>
      <w:r w:rsidR="00AF4657">
        <w:rPr>
          <w:rFonts w:ascii="Times New Roman" w:hAnsi="Times New Roman" w:cs="Times New Roman"/>
          <w:iCs/>
          <w:sz w:val="24"/>
          <w:szCs w:val="24"/>
        </w:rPr>
        <w:t>e</w:t>
      </w:r>
      <w:r w:rsidR="001A5091">
        <w:rPr>
          <w:rFonts w:ascii="Times New Roman" w:hAnsi="Times New Roman" w:cs="Times New Roman"/>
          <w:iCs/>
          <w:sz w:val="24"/>
          <w:szCs w:val="24"/>
        </w:rPr>
        <w:t xml:space="preserve"> </w:t>
      </w:r>
      <w:r w:rsidR="005E0C99">
        <w:rPr>
          <w:rFonts w:ascii="Times New Roman" w:hAnsi="Times New Roman" w:cs="Times New Roman"/>
          <w:iCs/>
          <w:sz w:val="24"/>
          <w:szCs w:val="24"/>
        </w:rPr>
        <w:t xml:space="preserve">that CRN is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w:t>
      </w:r>
      <w:r w:rsidR="006D0807">
        <w:rPr>
          <w:rFonts w:ascii="Times New Roman" w:hAnsi="Times New Roman" w:cs="Times New Roman"/>
          <w:iCs/>
          <w:sz w:val="24"/>
          <w:szCs w:val="24"/>
        </w:rPr>
        <w:t>s</w:t>
      </w:r>
      <w:r w:rsidR="005E0C99">
        <w:rPr>
          <w:rFonts w:ascii="Times New Roman" w:hAnsi="Times New Roman" w:cs="Times New Roman"/>
          <w:iCs/>
          <w:sz w:val="24"/>
          <w:szCs w:val="24"/>
        </w:rPr>
        <w:t xml:space="preserve"> of all-cause and disease-specific mortality</w:t>
      </w:r>
      <w:r w:rsidR="00D34015">
        <w:rPr>
          <w:rFonts w:ascii="Times New Roman" w:hAnsi="Times New Roman" w:cs="Times New Roman"/>
          <w:iCs/>
          <w:sz w:val="24"/>
          <w:szCs w:val="24"/>
        </w:rPr>
        <w:t xml:space="preserve"> among individuals with diabetes or CVD, including hypertension</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w:t>
      </w:r>
      <w:r w:rsidR="00223037">
        <w:rPr>
          <w:rFonts w:ascii="Times New Roman" w:hAnsi="Times New Roman" w:cs="Times New Roman"/>
          <w:iCs/>
          <w:sz w:val="24"/>
          <w:szCs w:val="24"/>
        </w:rPr>
        <w:lastRenderedPageBreak/>
        <w:t xml:space="preserve">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E4B13">
        <w:rPr>
          <w:rFonts w:ascii="Times New Roman" w:hAnsi="Times New Roman" w:cs="Times New Roman"/>
          <w:iCs/>
          <w:sz w:val="24"/>
          <w:szCs w:val="24"/>
        </w:rPr>
        <w:t>chronic illness type</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75756169"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F51307">
        <w:rPr>
          <w:rFonts w:ascii="Times New Roman" w:hAnsi="Times New Roman" w:cs="Times New Roman"/>
          <w:iCs/>
          <w:sz w:val="24"/>
          <w:szCs w:val="24"/>
        </w:rPr>
        <w:fldChar w:fldCharType="begin"/>
      </w:r>
      <w:r w:rsidR="00430EA4">
        <w:rPr>
          <w:rFonts w:ascii="Times New Roman" w:hAnsi="Times New Roman" w:cs="Times New Roman"/>
          <w:iCs/>
          <w:sz w:val="24"/>
          <w:szCs w:val="24"/>
        </w:rPr>
        <w:instrText xml:space="preserve"> ADDIN ZOTERO_ITEM CSL_CITATION {"citationID":"vBjrNLZc","properties":{"formattedCitation":"\\super 25\\nosupersub{}","plainCitation":"25","noteIndex":0},"citationItems":[{"id":654,"uris":["http://zotero.org/users/5917738/items/UM8BXSBM"],"uri":["http://zotero.org/users/5917738/items/UM8BXSBM"],"itemData":{"id":654,"type":"article-journal","abstract":"Nonadherence,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K."},{"family":"Ayala","given":"Carma"}],"issued":{"date-parts":[["2016"]]}}}],"schema":"https://github.com/citation-style-language/schema/raw/master/csl-citation.json"} </w:instrText>
      </w:r>
      <w:r w:rsidR="00F51307">
        <w:rPr>
          <w:rFonts w:ascii="Times New Roman" w:hAnsi="Times New Roman" w:cs="Times New Roman"/>
          <w:iCs/>
          <w:sz w:val="24"/>
          <w:szCs w:val="24"/>
        </w:rPr>
        <w:fldChar w:fldCharType="separate"/>
      </w:r>
      <w:r w:rsidR="00430EA4" w:rsidRPr="00430EA4">
        <w:rPr>
          <w:rFonts w:ascii="Times New Roman" w:hAnsi="Times New Roman" w:cs="Times New Roman"/>
          <w:sz w:val="24"/>
          <w:szCs w:val="24"/>
          <w:vertAlign w:val="superscript"/>
        </w:rPr>
        <w:t>25</w:t>
      </w:r>
      <w:r w:rsidR="00F51307">
        <w:rPr>
          <w:rFonts w:ascii="Times New Roman" w:hAnsi="Times New Roman" w:cs="Times New Roman"/>
          <w:iCs/>
          <w:sz w:val="24"/>
          <w:szCs w:val="24"/>
        </w:rPr>
        <w:fldChar w:fldCharType="end"/>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we 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 status.</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914959">
        <w:rPr>
          <w:rFonts w:ascii="Times New Roman" w:hAnsi="Times New Roman" w:cs="Times New Roman"/>
          <w:iCs/>
          <w:sz w:val="24"/>
          <w:szCs w:val="24"/>
        </w:rPr>
        <w:t xml:space="preserve">, rather than negative,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13267925"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8B6BD6">
        <w:rPr>
          <w:rFonts w:ascii="Times New Roman" w:hAnsi="Times New Roman" w:cs="Times New Roman"/>
          <w:iCs/>
          <w:sz w:val="24"/>
          <w:szCs w:val="24"/>
        </w:rPr>
        <w:t>The prev</w:t>
      </w:r>
      <w:r w:rsidR="00E41672">
        <w:rPr>
          <w:rFonts w:ascii="Times New Roman" w:hAnsi="Times New Roman" w:cs="Times New Roman"/>
          <w:iCs/>
          <w:sz w:val="24"/>
          <w:szCs w:val="24"/>
        </w:rPr>
        <w:t>alence of CRN reported in this sample</w:t>
      </w:r>
      <w:r w:rsidR="00EA2A9D">
        <w:rPr>
          <w:rFonts w:ascii="Times New Roman" w:hAnsi="Times New Roman" w:cs="Times New Roman"/>
          <w:iCs/>
          <w:sz w:val="24"/>
          <w:szCs w:val="24"/>
        </w:rPr>
        <w:t xml:space="preserve"> is</w:t>
      </w:r>
      <w:r w:rsidR="00EA2A9D">
        <w:rPr>
          <w:rFonts w:ascii="Times New Roman" w:hAnsi="Times New Roman" w:cs="Times New Roman"/>
          <w:iCs/>
          <w:sz w:val="24"/>
          <w:szCs w:val="24"/>
        </w:rPr>
        <w:t xml:space="preserve"> lower than estimates from community and clinical samples</w:t>
      </w:r>
      <w:r w:rsidR="00EA2A9D">
        <w:rPr>
          <w:rFonts w:ascii="Times New Roman" w:hAnsi="Times New Roman" w:cs="Times New Roman"/>
          <w:iCs/>
          <w:sz w:val="24"/>
          <w:szCs w:val="24"/>
        </w:rPr>
        <w:t>,</w:t>
      </w:r>
      <w:r w:rsidR="00EA2A9D">
        <w:rPr>
          <w:rFonts w:ascii="Times New Roman" w:hAnsi="Times New Roman" w:cs="Times New Roman"/>
          <w:iCs/>
          <w:sz w:val="24"/>
          <w:szCs w:val="24"/>
        </w:rPr>
        <w:fldChar w:fldCharType="begin"/>
      </w:r>
      <w:r w:rsidR="00EA2A9D">
        <w:rPr>
          <w:rFonts w:ascii="Times New Roman" w:hAnsi="Times New Roman" w:cs="Times New Roman"/>
          <w:iCs/>
          <w:sz w:val="24"/>
          <w:szCs w:val="24"/>
        </w:rPr>
        <w:instrText xml:space="preserve"> ADDIN ZOTERO_ITEM CSL_CITATION {"citationID":"HdddNjXF","properties":{"formattedCitation":"\\super 23,24,34\\nosupersub{}","plainCitation":"23,24,34","noteIndex":0},"citationItems":[{"id":619,"uris":["http://zotero.org/users/5917738/items/5HKMVCT4"],"uri":["http://zotero.org/users/5917738/items/5HKMVCT4"],"itemData":{"id":619,"type":"report","page":"1-16","title":"Costs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EA2A9D">
        <w:rPr>
          <w:rFonts w:ascii="Times New Roman" w:hAnsi="Times New Roman" w:cs="Times New Roman"/>
          <w:iCs/>
          <w:sz w:val="24"/>
          <w:szCs w:val="24"/>
        </w:rPr>
        <w:fldChar w:fldCharType="separate"/>
      </w:r>
      <w:r w:rsidR="00EA2A9D" w:rsidRPr="00780EA6">
        <w:rPr>
          <w:rFonts w:ascii="Times New Roman" w:hAnsi="Times New Roman" w:cs="Times New Roman"/>
          <w:sz w:val="24"/>
          <w:szCs w:val="24"/>
          <w:vertAlign w:val="superscript"/>
        </w:rPr>
        <w:t>23,24,34</w:t>
      </w:r>
      <w:r w:rsidR="00EA2A9D">
        <w:rPr>
          <w:rFonts w:ascii="Times New Roman" w:hAnsi="Times New Roman" w:cs="Times New Roman"/>
          <w:iCs/>
          <w:sz w:val="24"/>
          <w:szCs w:val="24"/>
        </w:rPr>
        <w:fldChar w:fldCharType="end"/>
      </w:r>
      <w:r w:rsidR="00EA2A9D">
        <w:rPr>
          <w:rFonts w:ascii="Times New Roman" w:hAnsi="Times New Roman" w:cs="Times New Roman"/>
          <w:iCs/>
          <w:sz w:val="24"/>
          <w:szCs w:val="24"/>
        </w:rPr>
        <w:t xml:space="preserve"> </w:t>
      </w:r>
      <w:r w:rsidR="00EA2A9D">
        <w:rPr>
          <w:rFonts w:ascii="Times New Roman" w:hAnsi="Times New Roman" w:cs="Times New Roman"/>
          <w:iCs/>
          <w:sz w:val="24"/>
          <w:szCs w:val="24"/>
        </w:rPr>
        <w:t xml:space="preserve">but </w:t>
      </w:r>
      <w:r w:rsidR="00E41672">
        <w:rPr>
          <w:rFonts w:ascii="Times New Roman" w:hAnsi="Times New Roman" w:cs="Times New Roman"/>
          <w:iCs/>
          <w:sz w:val="24"/>
          <w:szCs w:val="24"/>
        </w:rPr>
        <w:t>remains largely consistent with that reported in other nationally representative data</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BE5D70">
        <w:rPr>
          <w:rFonts w:ascii="Times New Roman" w:hAnsi="Times New Roman" w:cs="Times New Roman"/>
          <w:iCs/>
          <w:sz w:val="24"/>
          <w:szCs w:val="24"/>
        </w:rPr>
        <w:instrText xml:space="preserve"> ADDIN ZOTERO_ITEM CSL_CITATION {"citationID":"HQVDF6j3","properties":{"formattedCitation":"\\super 44\\nosupersub{}","plainCitation":"44","noteIndex":0},"citationItems":[{"id":1214,"uris":["http://zotero.org/users/5917738/items/48FJPADJ"],"uri":["http://zotero.org/users/5917738/items/48FJPADJ"],"itemData":{"id":1214,"type":"article-journal","abstract":"Aims:\nTo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BE5D70" w:rsidRPr="00BE5D70">
        <w:rPr>
          <w:rFonts w:ascii="Times New Roman" w:hAnsi="Times New Roman" w:cs="Times New Roman"/>
          <w:sz w:val="24"/>
          <w:szCs w:val="24"/>
          <w:vertAlign w:val="superscript"/>
        </w:rPr>
        <w:t>44</w:t>
      </w:r>
      <w:r w:rsidR="003F6D9C">
        <w:rPr>
          <w:rFonts w:ascii="Times New Roman" w:hAnsi="Times New Roman" w:cs="Times New Roman"/>
          <w:iCs/>
          <w:sz w:val="24"/>
          <w:szCs w:val="24"/>
        </w:rPr>
        <w:fldChar w:fldCharType="end"/>
      </w:r>
      <w:r w:rsidR="009F166B">
        <w:rPr>
          <w:rFonts w:ascii="Times New Roman" w:hAnsi="Times New Roman" w:cs="Times New Roman"/>
          <w:iCs/>
          <w:sz w:val="24"/>
          <w:szCs w:val="24"/>
        </w:rPr>
        <w:t xml:space="preserve"> </w:t>
      </w:r>
      <w:r w:rsidR="00057769">
        <w:rPr>
          <w:rFonts w:ascii="Times New Roman" w:hAnsi="Times New Roman" w:cs="Times New Roman"/>
          <w:iCs/>
          <w:sz w:val="24"/>
          <w:szCs w:val="24"/>
        </w:rPr>
        <w:t xml:space="preserve">While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40581C">
        <w:rPr>
          <w:rFonts w:ascii="Times New Roman" w:hAnsi="Times New Roman" w:cs="Times New Roman"/>
          <w:iCs/>
          <w:sz w:val="24"/>
          <w:szCs w:val="24"/>
        </w:rPr>
        <w:t>we note that the</w:t>
      </w:r>
      <w:r w:rsidR="00C90E7C">
        <w:rPr>
          <w:rFonts w:ascii="Times New Roman" w:hAnsi="Times New Roman" w:cs="Times New Roman"/>
          <w:iCs/>
          <w:sz w:val="24"/>
          <w:szCs w:val="24"/>
        </w:rPr>
        <w:t xml:space="preserve"> magni</w:t>
      </w:r>
      <w:r w:rsidR="005D7D6E">
        <w:rPr>
          <w:rFonts w:ascii="Times New Roman" w:hAnsi="Times New Roman" w:cs="Times New Roman"/>
          <w:iCs/>
          <w:sz w:val="24"/>
          <w:szCs w:val="24"/>
        </w:rPr>
        <w:t>tude of 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9E60FB">
        <w:rPr>
          <w:rFonts w:ascii="Times New Roman" w:hAnsi="Times New Roman" w:cs="Times New Roman"/>
          <w:iCs/>
          <w:sz w:val="24"/>
          <w:szCs w:val="24"/>
        </w:rPr>
        <w:t>similar to</w:t>
      </w:r>
      <w:r w:rsidR="004859B1">
        <w:rPr>
          <w:rFonts w:ascii="Times New Roman" w:hAnsi="Times New Roman" w:cs="Times New Roman"/>
          <w:iCs/>
          <w:sz w:val="24"/>
          <w:szCs w:val="24"/>
        </w:rPr>
        <w:t xml:space="preserve"> or lower than</w:t>
      </w:r>
      <w:r w:rsidR="00942015">
        <w:rPr>
          <w:rFonts w:ascii="Times New Roman" w:hAnsi="Times New Roman" w:cs="Times New Roman"/>
          <w:iCs/>
          <w:sz w:val="24"/>
          <w:szCs w:val="24"/>
        </w:rPr>
        <w:t xml:space="preserve"> previous estimates </w:t>
      </w:r>
      <w:r w:rsidR="00AA00EF">
        <w:rPr>
          <w:rFonts w:ascii="Times New Roman" w:hAnsi="Times New Roman" w:cs="Times New Roman"/>
          <w:iCs/>
          <w:sz w:val="24"/>
          <w:szCs w:val="24"/>
        </w:rPr>
        <w:t xml:space="preserve">of the association between mortality and nonadherence in </w:t>
      </w:r>
      <w:r w:rsidR="003E0AD3">
        <w:rPr>
          <w:rFonts w:ascii="Times New Roman" w:hAnsi="Times New Roman" w:cs="Times New Roman"/>
          <w:iCs/>
          <w:sz w:val="24"/>
          <w:szCs w:val="24"/>
        </w:rPr>
        <w:t>observational studies</w:t>
      </w:r>
      <w:r w:rsidR="00AA00EF">
        <w:rPr>
          <w:rFonts w:ascii="Times New Roman" w:hAnsi="Times New Roman" w:cs="Times New Roman"/>
          <w:iCs/>
          <w:sz w:val="24"/>
          <w:szCs w:val="24"/>
        </w:rPr>
        <w:t>.</w:t>
      </w:r>
      <w:r w:rsidR="005E47DD">
        <w:rPr>
          <w:rFonts w:ascii="Times New Roman" w:hAnsi="Times New Roman" w:cs="Times New Roman"/>
          <w:iCs/>
          <w:sz w:val="24"/>
          <w:szCs w:val="24"/>
        </w:rPr>
        <w:fldChar w:fldCharType="begin"/>
      </w:r>
      <w:r w:rsidR="00CD4721">
        <w:rPr>
          <w:rFonts w:ascii="Times New Roman" w:hAnsi="Times New Roman" w:cs="Times New Roman"/>
          <w:iCs/>
          <w:sz w:val="24"/>
          <w:szCs w:val="24"/>
        </w:rPr>
        <w:instrText xml:space="preserve"> ADDIN ZOTERO_ITEM CSL_CITATION {"citationID":"RwCpi5nD","properties":{"formattedCitation":"\\super 45,46\\nosupersub{}","plainCitation":"45,46","noteIndex":0},"citationItems":[{"id":1228,"uris":["http://zotero.org/users/5917738/items/8JMMTQHI"],"uri":["http://zotero.org/users/5917738/items/8JMMTQHI"],"itemData":{"id":1228,"type":"article-journal","abstract":"Aims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CD4721" w:rsidRPr="00CD4721">
        <w:rPr>
          <w:rFonts w:ascii="Times New Roman" w:hAnsi="Times New Roman" w:cs="Times New Roman"/>
          <w:sz w:val="24"/>
          <w:szCs w:val="24"/>
          <w:vertAlign w:val="superscript"/>
        </w:rPr>
        <w:t>45,46</w:t>
      </w:r>
      <w:r w:rsidR="005E47DD">
        <w:rPr>
          <w:rFonts w:ascii="Times New Roman" w:hAnsi="Times New Roman" w:cs="Times New Roman"/>
          <w:iCs/>
          <w:sz w:val="24"/>
          <w:szCs w:val="24"/>
        </w:rPr>
        <w:fldChar w:fldCharType="end"/>
      </w:r>
      <w:r w:rsidR="008620C6">
        <w:rPr>
          <w:rFonts w:ascii="Times New Roman" w:hAnsi="Times New Roman" w:cs="Times New Roman"/>
          <w:iCs/>
          <w:sz w:val="24"/>
          <w:szCs w:val="24"/>
        </w:rPr>
        <w:t xml:space="preserve"> </w:t>
      </w:r>
      <w:r w:rsidR="007F728B">
        <w:rPr>
          <w:rFonts w:ascii="Times New Roman" w:hAnsi="Times New Roman" w:cs="Times New Roman"/>
          <w:iCs/>
          <w:sz w:val="24"/>
          <w:szCs w:val="24"/>
        </w:rPr>
        <w:t xml:space="preserve">Discrepancies may be a </w:t>
      </w:r>
      <w:r w:rsidR="00D85CF9">
        <w:rPr>
          <w:rFonts w:ascii="Times New Roman" w:hAnsi="Times New Roman" w:cs="Times New Roman"/>
          <w:iCs/>
          <w:sz w:val="24"/>
          <w:szCs w:val="24"/>
        </w:rPr>
        <w:t>result of the narrow range of non-adherence behaviors considered in this analysis</w:t>
      </w:r>
      <w:r w:rsidR="004E1B8C">
        <w:rPr>
          <w:rFonts w:ascii="Times New Roman" w:hAnsi="Times New Roman" w:cs="Times New Roman"/>
          <w:iCs/>
          <w:sz w:val="24"/>
          <w:szCs w:val="24"/>
        </w:rPr>
        <w:t xml:space="preserve">, as well </w:t>
      </w:r>
      <w:r w:rsidR="00274F5D">
        <w:rPr>
          <w:rFonts w:ascii="Times New Roman" w:hAnsi="Times New Roman" w:cs="Times New Roman"/>
          <w:iCs/>
          <w:sz w:val="24"/>
          <w:szCs w:val="24"/>
        </w:rPr>
        <w:t>as the</w:t>
      </w:r>
      <w:r w:rsidR="00C85C16">
        <w:rPr>
          <w:rFonts w:ascii="Times New Roman" w:hAnsi="Times New Roman" w:cs="Times New Roman"/>
          <w:iCs/>
          <w:sz w:val="24"/>
          <w:szCs w:val="24"/>
        </w:rPr>
        <w:t xml:space="preserve"> lack of specificity in </w:t>
      </w:r>
      <w:r w:rsidR="004B0ADE">
        <w:rPr>
          <w:rFonts w:ascii="Times New Roman" w:hAnsi="Times New Roman" w:cs="Times New Roman"/>
          <w:iCs/>
          <w:sz w:val="24"/>
          <w:szCs w:val="24"/>
        </w:rPr>
        <w:t xml:space="preserve">type of medication </w:t>
      </w:r>
      <w:r w:rsidR="00113A9C">
        <w:rPr>
          <w:rFonts w:ascii="Times New Roman" w:hAnsi="Times New Roman" w:cs="Times New Roman"/>
          <w:iCs/>
          <w:sz w:val="24"/>
          <w:szCs w:val="24"/>
        </w:rPr>
        <w:t>not being adhered to.</w:t>
      </w:r>
    </w:p>
    <w:p w14:paraId="714350D9" w14:textId="7652ED51" w:rsidR="00A77286" w:rsidRDefault="00A77286"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EE0C90">
        <w:rPr>
          <w:rFonts w:ascii="Times New Roman" w:hAnsi="Times New Roman" w:cs="Times New Roman"/>
          <w:iCs/>
          <w:sz w:val="24"/>
          <w:szCs w:val="24"/>
        </w:rPr>
        <w:t>The lack of association between CRN and mortality in respondents interviewed after 2010 is also notable</w:t>
      </w:r>
      <w:r w:rsidR="000D65EA">
        <w:rPr>
          <w:rFonts w:ascii="Times New Roman" w:hAnsi="Times New Roman" w:cs="Times New Roman"/>
          <w:iCs/>
          <w:sz w:val="24"/>
          <w:szCs w:val="24"/>
        </w:rPr>
        <w:t xml:space="preserve">. </w:t>
      </w:r>
      <w:r w:rsidR="00BA2CF7">
        <w:rPr>
          <w:rFonts w:ascii="Times New Roman" w:hAnsi="Times New Roman" w:cs="Times New Roman"/>
          <w:iCs/>
          <w:sz w:val="24"/>
          <w:szCs w:val="24"/>
        </w:rPr>
        <w:t>Although</w:t>
      </w:r>
      <w:r w:rsidR="0037105F">
        <w:rPr>
          <w:rFonts w:ascii="Times New Roman" w:hAnsi="Times New Roman" w:cs="Times New Roman"/>
          <w:iCs/>
          <w:sz w:val="24"/>
          <w:szCs w:val="24"/>
        </w:rPr>
        <w:t xml:space="preserve"> we anticipated that</w:t>
      </w:r>
      <w:r w:rsidR="000A47E3">
        <w:rPr>
          <w:rFonts w:ascii="Times New Roman" w:hAnsi="Times New Roman" w:cs="Times New Roman"/>
          <w:iCs/>
          <w:sz w:val="24"/>
          <w:szCs w:val="24"/>
        </w:rPr>
        <w:t xml:space="preserve"> CRN</w:t>
      </w:r>
      <w:r w:rsidR="00CF2F35">
        <w:rPr>
          <w:rFonts w:ascii="Times New Roman" w:hAnsi="Times New Roman" w:cs="Times New Roman"/>
          <w:iCs/>
          <w:sz w:val="24"/>
          <w:szCs w:val="24"/>
        </w:rPr>
        <w:t xml:space="preserve"> </w:t>
      </w:r>
      <w:r w:rsidR="00B0352E">
        <w:rPr>
          <w:rFonts w:ascii="Times New Roman" w:hAnsi="Times New Roman" w:cs="Times New Roman"/>
          <w:iCs/>
          <w:sz w:val="24"/>
          <w:szCs w:val="24"/>
        </w:rPr>
        <w:t xml:space="preserve">identified </w:t>
      </w:r>
      <w:r w:rsidR="00596F89">
        <w:rPr>
          <w:rFonts w:ascii="Times New Roman" w:hAnsi="Times New Roman" w:cs="Times New Roman"/>
          <w:iCs/>
          <w:sz w:val="24"/>
          <w:szCs w:val="24"/>
        </w:rPr>
        <w:t>in 2011 and later</w:t>
      </w:r>
      <w:r w:rsidR="005003DC">
        <w:rPr>
          <w:rFonts w:ascii="Times New Roman" w:hAnsi="Times New Roman" w:cs="Times New Roman"/>
          <w:iCs/>
          <w:sz w:val="24"/>
          <w:szCs w:val="24"/>
        </w:rPr>
        <w:t xml:space="preserve"> </w:t>
      </w:r>
      <w:r w:rsidR="00596F89">
        <w:rPr>
          <w:rFonts w:ascii="Times New Roman" w:hAnsi="Times New Roman" w:cs="Times New Roman"/>
          <w:iCs/>
          <w:sz w:val="24"/>
          <w:szCs w:val="24"/>
        </w:rPr>
        <w:t xml:space="preserve">would be associated with stronger mortality associations </w:t>
      </w:r>
      <w:r w:rsidR="008E0A4F">
        <w:rPr>
          <w:rFonts w:ascii="Times New Roman" w:hAnsi="Times New Roman" w:cs="Times New Roman"/>
          <w:iCs/>
          <w:sz w:val="24"/>
          <w:szCs w:val="24"/>
        </w:rPr>
        <w:t>given t</w:t>
      </w:r>
      <w:r w:rsidR="00143F54">
        <w:rPr>
          <w:rFonts w:ascii="Times New Roman" w:hAnsi="Times New Roman" w:cs="Times New Roman"/>
          <w:iCs/>
          <w:sz w:val="24"/>
          <w:szCs w:val="24"/>
        </w:rPr>
        <w:t xml:space="preserve">he greater specificity in </w:t>
      </w:r>
      <w:r w:rsidR="00596F89">
        <w:rPr>
          <w:rFonts w:ascii="Times New Roman" w:hAnsi="Times New Roman" w:cs="Times New Roman"/>
          <w:iCs/>
          <w:sz w:val="24"/>
          <w:szCs w:val="24"/>
        </w:rPr>
        <w:t>NHIS survey items</w:t>
      </w:r>
      <w:r w:rsidR="006F4468">
        <w:rPr>
          <w:rFonts w:ascii="Times New Roman" w:hAnsi="Times New Roman" w:cs="Times New Roman"/>
          <w:iCs/>
          <w:sz w:val="24"/>
          <w:szCs w:val="24"/>
        </w:rPr>
        <w:t>,</w:t>
      </w:r>
      <w:r w:rsidR="006F4468">
        <w:rPr>
          <w:rFonts w:ascii="Times New Roman" w:hAnsi="Times New Roman" w:cs="Times New Roman"/>
          <w:iCs/>
          <w:sz w:val="24"/>
          <w:szCs w:val="24"/>
        </w:rPr>
        <w:fldChar w:fldCharType="begin"/>
      </w:r>
      <w:r w:rsidR="006F4468">
        <w:rPr>
          <w:rFonts w:ascii="Times New Roman" w:hAnsi="Times New Roman" w:cs="Times New Roman"/>
          <w:iCs/>
          <w:sz w:val="24"/>
          <w:szCs w:val="24"/>
        </w:rPr>
        <w:instrText xml:space="preserve"> ADDIN ZOTERO_ITEM CSL_CITATION {"citationID":"qgKtp5Dt","properties":{"formattedCitation":"\\super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6F4468">
        <w:rPr>
          <w:rFonts w:ascii="Times New Roman" w:hAnsi="Times New Roman" w:cs="Times New Roman"/>
          <w:iCs/>
          <w:sz w:val="24"/>
          <w:szCs w:val="24"/>
        </w:rPr>
        <w:fldChar w:fldCharType="separate"/>
      </w:r>
      <w:r w:rsidR="006F4468" w:rsidRPr="006F4468">
        <w:rPr>
          <w:rFonts w:ascii="Times New Roman" w:hAnsi="Times New Roman" w:cs="Times New Roman"/>
          <w:sz w:val="24"/>
          <w:szCs w:val="24"/>
          <w:vertAlign w:val="superscript"/>
        </w:rPr>
        <w:t>16</w:t>
      </w:r>
      <w:r w:rsidR="006F4468">
        <w:rPr>
          <w:rFonts w:ascii="Times New Roman" w:hAnsi="Times New Roman" w:cs="Times New Roman"/>
          <w:iCs/>
          <w:sz w:val="24"/>
          <w:szCs w:val="24"/>
        </w:rPr>
        <w:fldChar w:fldCharType="end"/>
      </w:r>
      <w:r w:rsidR="00342967">
        <w:rPr>
          <w:rFonts w:ascii="Times New Roman" w:hAnsi="Times New Roman" w:cs="Times New Roman"/>
          <w:iCs/>
          <w:sz w:val="24"/>
          <w:szCs w:val="24"/>
        </w:rPr>
        <w:t xml:space="preserve"> it may be that </w:t>
      </w:r>
      <w:r w:rsidR="003212F0">
        <w:rPr>
          <w:rFonts w:ascii="Times New Roman" w:hAnsi="Times New Roman" w:cs="Times New Roman"/>
          <w:iCs/>
          <w:sz w:val="24"/>
          <w:szCs w:val="24"/>
        </w:rPr>
        <w:t xml:space="preserve">important dimensions of CRN were not captured </w:t>
      </w:r>
      <w:r w:rsidR="000379E7">
        <w:rPr>
          <w:rFonts w:ascii="Times New Roman" w:hAnsi="Times New Roman" w:cs="Times New Roman"/>
          <w:iCs/>
          <w:sz w:val="24"/>
          <w:szCs w:val="24"/>
        </w:rPr>
        <w:t xml:space="preserve">by </w:t>
      </w:r>
      <w:r w:rsidR="003212F0">
        <w:rPr>
          <w:rFonts w:ascii="Times New Roman" w:hAnsi="Times New Roman" w:cs="Times New Roman"/>
          <w:iCs/>
          <w:sz w:val="24"/>
          <w:szCs w:val="24"/>
        </w:rPr>
        <w:t>the new questions</w:t>
      </w:r>
      <w:r w:rsidR="006C5089">
        <w:rPr>
          <w:rFonts w:ascii="Times New Roman" w:hAnsi="Times New Roman" w:cs="Times New Roman"/>
          <w:iCs/>
          <w:sz w:val="24"/>
          <w:szCs w:val="24"/>
        </w:rPr>
        <w:t xml:space="preserve">. </w:t>
      </w:r>
      <w:r w:rsidR="00226AE2">
        <w:rPr>
          <w:rFonts w:ascii="Times New Roman" w:hAnsi="Times New Roman" w:cs="Times New Roman"/>
          <w:iCs/>
          <w:sz w:val="24"/>
          <w:szCs w:val="24"/>
        </w:rPr>
        <w:t xml:space="preserve">Alternatively, </w:t>
      </w:r>
      <w:r w:rsidR="00062638">
        <w:rPr>
          <w:rFonts w:ascii="Times New Roman" w:hAnsi="Times New Roman" w:cs="Times New Roman"/>
          <w:iCs/>
          <w:sz w:val="24"/>
          <w:szCs w:val="24"/>
        </w:rPr>
        <w:t>the null findings may be a result of the</w:t>
      </w:r>
      <w:r w:rsidR="00503DC3">
        <w:rPr>
          <w:rFonts w:ascii="Times New Roman" w:hAnsi="Times New Roman" w:cs="Times New Roman"/>
          <w:iCs/>
          <w:sz w:val="24"/>
          <w:szCs w:val="24"/>
        </w:rPr>
        <w:t xml:space="preserve"> shorter follow-up times and</w:t>
      </w:r>
      <w:r w:rsidR="00062638">
        <w:rPr>
          <w:rFonts w:ascii="Times New Roman" w:hAnsi="Times New Roman" w:cs="Times New Roman"/>
          <w:iCs/>
          <w:sz w:val="24"/>
          <w:szCs w:val="24"/>
        </w:rPr>
        <w:t xml:space="preserve"> substantially lower </w:t>
      </w:r>
      <w:r w:rsidR="004C1C53">
        <w:rPr>
          <w:rFonts w:ascii="Times New Roman" w:hAnsi="Times New Roman" w:cs="Times New Roman"/>
          <w:iCs/>
          <w:sz w:val="24"/>
          <w:szCs w:val="24"/>
        </w:rPr>
        <w:t>sample size in the later s</w:t>
      </w:r>
      <w:r w:rsidR="005237C4">
        <w:rPr>
          <w:rFonts w:ascii="Times New Roman" w:hAnsi="Times New Roman" w:cs="Times New Roman"/>
          <w:iCs/>
          <w:sz w:val="24"/>
          <w:szCs w:val="24"/>
        </w:rPr>
        <w:t>urvey years</w:t>
      </w:r>
      <w:r w:rsidR="00DA5D31">
        <w:rPr>
          <w:rFonts w:ascii="Times New Roman" w:hAnsi="Times New Roman" w:cs="Times New Roman"/>
          <w:iCs/>
          <w:sz w:val="24"/>
          <w:szCs w:val="24"/>
        </w:rPr>
        <w:t>.</w:t>
      </w:r>
      <w:r w:rsidR="00F003B6">
        <w:rPr>
          <w:rFonts w:ascii="Times New Roman" w:hAnsi="Times New Roman" w:cs="Times New Roman"/>
          <w:iCs/>
          <w:sz w:val="24"/>
          <w:szCs w:val="24"/>
        </w:rPr>
        <w:t xml:space="preserve"> </w:t>
      </w:r>
      <w:r w:rsidR="00707B73">
        <w:rPr>
          <w:rFonts w:ascii="Times New Roman" w:hAnsi="Times New Roman" w:cs="Times New Roman"/>
          <w:iCs/>
          <w:sz w:val="24"/>
          <w:szCs w:val="24"/>
        </w:rPr>
        <w:t>Negative consequences of nonadherence depend</w:t>
      </w:r>
      <w:r w:rsidR="00840EB3">
        <w:rPr>
          <w:rFonts w:ascii="Times New Roman" w:hAnsi="Times New Roman" w:cs="Times New Roman"/>
          <w:iCs/>
          <w:sz w:val="24"/>
          <w:szCs w:val="24"/>
        </w:rPr>
        <w:t xml:space="preserve"> on </w:t>
      </w:r>
      <w:r w:rsidR="00840EB3">
        <w:rPr>
          <w:rFonts w:ascii="Times New Roman" w:hAnsi="Times New Roman" w:cs="Times New Roman"/>
          <w:iCs/>
          <w:sz w:val="24"/>
          <w:szCs w:val="24"/>
        </w:rPr>
        <w:lastRenderedPageBreak/>
        <w:t>the disease</w:t>
      </w:r>
      <w:r w:rsidR="00BC574D">
        <w:rPr>
          <w:rFonts w:ascii="Times New Roman" w:hAnsi="Times New Roman" w:cs="Times New Roman"/>
          <w:iCs/>
          <w:sz w:val="24"/>
          <w:szCs w:val="24"/>
        </w:rPr>
        <w:t>,</w:t>
      </w:r>
      <w:r w:rsidR="00840EB3">
        <w:rPr>
          <w:rFonts w:ascii="Times New Roman" w:hAnsi="Times New Roman" w:cs="Times New Roman"/>
          <w:iCs/>
          <w:sz w:val="24"/>
          <w:szCs w:val="24"/>
        </w:rPr>
        <w:t xml:space="preserve"> medication</w:t>
      </w:r>
      <w:r w:rsidR="00BC574D">
        <w:rPr>
          <w:rFonts w:ascii="Times New Roman" w:hAnsi="Times New Roman" w:cs="Times New Roman"/>
          <w:iCs/>
          <w:sz w:val="24"/>
          <w:szCs w:val="24"/>
        </w:rPr>
        <w:t xml:space="preserve">, and severity </w:t>
      </w:r>
      <w:r w:rsidR="002C51CD">
        <w:rPr>
          <w:rFonts w:ascii="Times New Roman" w:hAnsi="Times New Roman" w:cs="Times New Roman"/>
          <w:iCs/>
          <w:sz w:val="24"/>
          <w:szCs w:val="24"/>
        </w:rPr>
        <w:t xml:space="preserve">and duration </w:t>
      </w:r>
      <w:r w:rsidR="00BC574D">
        <w:rPr>
          <w:rFonts w:ascii="Times New Roman" w:hAnsi="Times New Roman" w:cs="Times New Roman"/>
          <w:iCs/>
          <w:sz w:val="24"/>
          <w:szCs w:val="24"/>
        </w:rPr>
        <w:t>of restriction</w:t>
      </w:r>
      <w:r w:rsidR="00E05144">
        <w:rPr>
          <w:rFonts w:ascii="Times New Roman" w:hAnsi="Times New Roman" w:cs="Times New Roman"/>
          <w:iCs/>
          <w:sz w:val="24"/>
          <w:szCs w:val="24"/>
        </w:rPr>
        <w:t>,</w:t>
      </w:r>
      <w:r w:rsidR="009A0132">
        <w:rPr>
          <w:rFonts w:ascii="Times New Roman" w:hAnsi="Times New Roman" w:cs="Times New Roman"/>
          <w:iCs/>
          <w:sz w:val="24"/>
          <w:szCs w:val="24"/>
        </w:rPr>
        <w:fldChar w:fldCharType="begin"/>
      </w:r>
      <w:r w:rsidR="00CD4721">
        <w:rPr>
          <w:rFonts w:ascii="Times New Roman" w:hAnsi="Times New Roman" w:cs="Times New Roman"/>
          <w:iCs/>
          <w:sz w:val="24"/>
          <w:szCs w:val="24"/>
        </w:rPr>
        <w:instrText xml:space="preserve"> ADDIN ZOTERO_ITEM CSL_CITATION {"citationID":"gYPTq1Fb","properties":{"formattedCitation":"\\super 28,47\\nosupersub{}","plainCitation":"28,47","noteIndex":0},"citationItems":[{"id":652,"uris":["http://zotero.org/users/5917738/items/NY2ET4KV"],"uri":["http://zotero.org/users/5917738/items/NY2ET4KV"],"itemData":{"id":652,"type":"article-journal","abstract":"Background: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P."}],"issued":{"date-parts":[["2014",5]]}}},{"id":1190,"uris":["http://zotero.org/users/5917738/items/SBQHAW63"],"uri":["http://zotero.org/users/5917738/items/SBQHAW63"],"itemData":{"id":1190,"type":"article-journal","abstract":"Objective\nWe sought to determine lifetime costs, morbidity, and mortality associated with varying adherence to antihypertensive and 3-hydroxy-3-methylglutaryl-coenzyme A reductase inhibitors (statin) therapy in a hypertensive population.\nMethods\nA model was constructed to compare costs and outcomes under three adherence scenarios: no treatment, ideal adherence, and real-world adherence. Simulated patients’ characteristics matched those of participants in the Anglo-Scandinavian Cardiac Outcomes Trial–Lipid-Lowering Arm and event probabilities were calculated with Framingham Heart Study risk equations. The real-world adherence scenario employed adherence data from an observational study of a US population; risk reductions at each level of adherence were based on linear extrapolations from clinical trials. Outputs included life expectancy, frequencies of primary and secondary coronary heart disease and stroke, and direct medical costs in 2006 US$. The incremental cost per life-year gained and incremental cost per event avoided were calculated comparing the three adherence scenarios.\nResults\nMean life expectancy was 14.73 years (no-treatment scenario), 15.07 (real-world adherence), and 15.49 (ideal adherence). The average number of cardiovascular events per patients was 0.738 (no treatment), 0.610 (real-world adherence), and 0.441 (ideal adherence). The incremental cost of real-world adherence versus no treatment is $30,585 per life-year gained, and ideal adherence versus real-world adherence is $22,121 per life-year gained.\nConclusions\nHypertensive patients taking antihypertensive and statin therapy at real-world adherence levels can be expected to receive approximately 50% of the potential benefit seen in clinical trials. Depending on its cost, the incremental benefits of an effective adherence intervention program could make it an attractive value.","container-title":"Value in Health","DOI":"10.1111/j.1524-4733.2008.00447.x","ISSN":"1098-3015","issue":"4","journalAbbreviation":"Value in Health","language":"en","page":"489-497","source":"ScienceDirect","title":"The Clinical and Economic Burden of Nonadherence with Antihypertensive and Lipid-Lowering Therapy in Hypertensive Patients","volume":"12","author":[{"family":"Cherry","given":"Spencer B."},{"family":"Benner","given":"Joshua S."},{"family":"Hussein","given":"Mohamed A."},{"family":"Tang","given":"Simon S. K."},{"family":"Nichol","given":"Michael B."}],"issued":{"date-parts":[["2009",6,1]]}}}],"schema":"https://github.com/citation-style-language/schema/raw/master/csl-citation.json"} </w:instrText>
      </w:r>
      <w:r w:rsidR="009A0132">
        <w:rPr>
          <w:rFonts w:ascii="Times New Roman" w:hAnsi="Times New Roman" w:cs="Times New Roman"/>
          <w:iCs/>
          <w:sz w:val="24"/>
          <w:szCs w:val="24"/>
        </w:rPr>
        <w:fldChar w:fldCharType="separate"/>
      </w:r>
      <w:r w:rsidR="00CD4721" w:rsidRPr="00CD4721">
        <w:rPr>
          <w:rFonts w:ascii="Times New Roman" w:hAnsi="Times New Roman" w:cs="Times New Roman"/>
          <w:sz w:val="24"/>
          <w:szCs w:val="24"/>
          <w:vertAlign w:val="superscript"/>
        </w:rPr>
        <w:t>28,47</w:t>
      </w:r>
      <w:r w:rsidR="009A0132">
        <w:rPr>
          <w:rFonts w:ascii="Times New Roman" w:hAnsi="Times New Roman" w:cs="Times New Roman"/>
          <w:iCs/>
          <w:sz w:val="24"/>
          <w:szCs w:val="24"/>
        </w:rPr>
        <w:fldChar w:fldCharType="end"/>
      </w:r>
      <w:r w:rsidR="00A34E5F">
        <w:rPr>
          <w:rFonts w:ascii="Times New Roman" w:hAnsi="Times New Roman" w:cs="Times New Roman"/>
          <w:iCs/>
          <w:sz w:val="24"/>
          <w:szCs w:val="24"/>
        </w:rPr>
        <w:t xml:space="preserve"> </w:t>
      </w:r>
      <w:r w:rsidR="002C51CD">
        <w:rPr>
          <w:rFonts w:ascii="Times New Roman" w:hAnsi="Times New Roman" w:cs="Times New Roman"/>
          <w:iCs/>
          <w:sz w:val="24"/>
          <w:szCs w:val="24"/>
        </w:rPr>
        <w:t xml:space="preserve">thus, </w:t>
      </w:r>
      <w:r w:rsidR="00230389">
        <w:rPr>
          <w:rFonts w:ascii="Times New Roman" w:hAnsi="Times New Roman" w:cs="Times New Roman"/>
          <w:iCs/>
          <w:sz w:val="24"/>
          <w:szCs w:val="24"/>
        </w:rPr>
        <w:t>it is possible that</w:t>
      </w:r>
      <w:r w:rsidR="00AA17AB">
        <w:rPr>
          <w:rFonts w:ascii="Times New Roman" w:hAnsi="Times New Roman" w:cs="Times New Roman"/>
          <w:iCs/>
          <w:sz w:val="24"/>
          <w:szCs w:val="24"/>
        </w:rPr>
        <w:t xml:space="preserve"> with longer follow-up we would observe similar risks of mortality in those interviewed </w:t>
      </w:r>
      <w:r w:rsidR="00C82C61">
        <w:rPr>
          <w:rFonts w:ascii="Times New Roman" w:hAnsi="Times New Roman" w:cs="Times New Roman"/>
          <w:iCs/>
          <w:sz w:val="24"/>
          <w:szCs w:val="24"/>
        </w:rPr>
        <w:t>before</w:t>
      </w:r>
      <w:r w:rsidR="00AA17AB">
        <w:rPr>
          <w:rFonts w:ascii="Times New Roman" w:hAnsi="Times New Roman" w:cs="Times New Roman"/>
          <w:iCs/>
          <w:sz w:val="24"/>
          <w:szCs w:val="24"/>
        </w:rPr>
        <w:t xml:space="preserve"> 201</w:t>
      </w:r>
      <w:r w:rsidR="00C82C61">
        <w:rPr>
          <w:rFonts w:ascii="Times New Roman" w:hAnsi="Times New Roman" w:cs="Times New Roman"/>
          <w:iCs/>
          <w:sz w:val="24"/>
          <w:szCs w:val="24"/>
        </w:rPr>
        <w:t>1</w:t>
      </w:r>
      <w:r w:rsidR="00AA17AB">
        <w:rPr>
          <w:rFonts w:ascii="Times New Roman" w:hAnsi="Times New Roman" w:cs="Times New Roman"/>
          <w:iCs/>
          <w:sz w:val="24"/>
          <w:szCs w:val="24"/>
        </w:rPr>
        <w:t>.</w:t>
      </w:r>
      <w:r w:rsidR="009A46AF">
        <w:rPr>
          <w:rFonts w:ascii="Times New Roman" w:hAnsi="Times New Roman" w:cs="Times New Roman"/>
          <w:iCs/>
          <w:sz w:val="24"/>
          <w:szCs w:val="24"/>
        </w:rPr>
        <w:t xml:space="preserve"> </w:t>
      </w:r>
      <w:r w:rsidR="00AA17AB">
        <w:rPr>
          <w:rFonts w:ascii="Times New Roman" w:hAnsi="Times New Roman" w:cs="Times New Roman"/>
          <w:iCs/>
          <w:sz w:val="24"/>
          <w:szCs w:val="24"/>
        </w:rPr>
        <w:t>Finally,</w:t>
      </w:r>
      <w:r w:rsidR="005D3BAC">
        <w:rPr>
          <w:rFonts w:ascii="Times New Roman" w:hAnsi="Times New Roman" w:cs="Times New Roman"/>
          <w:iCs/>
          <w:sz w:val="24"/>
          <w:szCs w:val="24"/>
        </w:rPr>
        <w:t xml:space="preserve"> </w:t>
      </w:r>
      <w:r w:rsidR="00435B64">
        <w:rPr>
          <w:rFonts w:ascii="Times New Roman" w:hAnsi="Times New Roman" w:cs="Times New Roman"/>
          <w:iCs/>
          <w:sz w:val="24"/>
          <w:szCs w:val="24"/>
        </w:rPr>
        <w:t>period effects</w:t>
      </w:r>
      <w:r w:rsidR="00C723B6">
        <w:rPr>
          <w:rFonts w:ascii="Times New Roman" w:hAnsi="Times New Roman" w:cs="Times New Roman"/>
          <w:iCs/>
          <w:sz w:val="24"/>
          <w:szCs w:val="24"/>
        </w:rPr>
        <w:t xml:space="preserve"> such as the implementation of the Affordable Care Act in 2010</w:t>
      </w:r>
      <w:r w:rsidR="002F69F5">
        <w:rPr>
          <w:rFonts w:ascii="Times New Roman" w:hAnsi="Times New Roman" w:cs="Times New Roman"/>
          <w:iCs/>
          <w:sz w:val="24"/>
          <w:szCs w:val="24"/>
        </w:rPr>
        <w:t xml:space="preserve"> may have </w:t>
      </w:r>
      <w:r w:rsidR="00733BBF">
        <w:rPr>
          <w:rFonts w:ascii="Times New Roman" w:hAnsi="Times New Roman" w:cs="Times New Roman"/>
          <w:iCs/>
          <w:sz w:val="24"/>
          <w:szCs w:val="24"/>
        </w:rPr>
        <w:t>mitigated the risks associated</w:t>
      </w:r>
      <w:r w:rsidR="005922D7">
        <w:rPr>
          <w:rFonts w:ascii="Times New Roman" w:hAnsi="Times New Roman" w:cs="Times New Roman"/>
          <w:iCs/>
          <w:sz w:val="24"/>
          <w:szCs w:val="24"/>
        </w:rPr>
        <w:t xml:space="preserve"> with CRN</w:t>
      </w:r>
      <w:r w:rsidR="00733BBF">
        <w:rPr>
          <w:rFonts w:ascii="Times New Roman" w:hAnsi="Times New Roman" w:cs="Times New Roman"/>
          <w:iCs/>
          <w:sz w:val="24"/>
          <w:szCs w:val="24"/>
        </w:rPr>
        <w:t xml:space="preserve">, </w:t>
      </w:r>
      <w:r w:rsidR="004172B3">
        <w:rPr>
          <w:rFonts w:ascii="Times New Roman" w:hAnsi="Times New Roman" w:cs="Times New Roman"/>
          <w:iCs/>
          <w:sz w:val="24"/>
          <w:szCs w:val="24"/>
        </w:rPr>
        <w:t>such as</w:t>
      </w:r>
      <w:r w:rsidR="00733BBF">
        <w:rPr>
          <w:rFonts w:ascii="Times New Roman" w:hAnsi="Times New Roman" w:cs="Times New Roman"/>
          <w:iCs/>
          <w:sz w:val="24"/>
          <w:szCs w:val="24"/>
        </w:rPr>
        <w:t xml:space="preserve"> by</w:t>
      </w:r>
      <w:r w:rsidR="004172B3">
        <w:rPr>
          <w:rFonts w:ascii="Times New Roman" w:hAnsi="Times New Roman" w:cs="Times New Roman"/>
          <w:iCs/>
          <w:sz w:val="24"/>
          <w:szCs w:val="24"/>
        </w:rPr>
        <w:t xml:space="preserve"> increa</w:t>
      </w:r>
      <w:r w:rsidR="00733BBF">
        <w:rPr>
          <w:rFonts w:ascii="Times New Roman" w:hAnsi="Times New Roman" w:cs="Times New Roman"/>
          <w:iCs/>
          <w:sz w:val="24"/>
          <w:szCs w:val="24"/>
        </w:rPr>
        <w:t>sing</w:t>
      </w:r>
      <w:r w:rsidR="004172B3">
        <w:rPr>
          <w:rFonts w:ascii="Times New Roman" w:hAnsi="Times New Roman" w:cs="Times New Roman"/>
          <w:iCs/>
          <w:sz w:val="24"/>
          <w:szCs w:val="24"/>
        </w:rPr>
        <w:t xml:space="preserve"> access to primary care physicians</w:t>
      </w:r>
      <w:r w:rsidR="00B34397">
        <w:rPr>
          <w:rFonts w:ascii="Times New Roman" w:hAnsi="Times New Roman" w:cs="Times New Roman"/>
          <w:iCs/>
          <w:sz w:val="24"/>
          <w:szCs w:val="24"/>
        </w:rPr>
        <w:t>, prevention services,</w:t>
      </w:r>
      <w:r w:rsidR="004172B3">
        <w:rPr>
          <w:rFonts w:ascii="Times New Roman" w:hAnsi="Times New Roman" w:cs="Times New Roman"/>
          <w:iCs/>
          <w:sz w:val="24"/>
          <w:szCs w:val="24"/>
        </w:rPr>
        <w:t xml:space="preserve"> and </w:t>
      </w:r>
      <w:r w:rsidR="00FD39A1">
        <w:rPr>
          <w:rFonts w:ascii="Times New Roman" w:hAnsi="Times New Roman" w:cs="Times New Roman"/>
          <w:iCs/>
          <w:sz w:val="24"/>
          <w:szCs w:val="24"/>
        </w:rPr>
        <w:t>Medicaid expansion</w:t>
      </w:r>
      <w:r w:rsidR="009C6C8D">
        <w:rPr>
          <w:rFonts w:ascii="Times New Roman" w:hAnsi="Times New Roman" w:cs="Times New Roman"/>
          <w:iCs/>
          <w:sz w:val="24"/>
          <w:szCs w:val="24"/>
        </w:rPr>
        <w:t>.</w:t>
      </w:r>
      <w:r w:rsidR="00404AF2">
        <w:rPr>
          <w:rFonts w:ascii="Times New Roman" w:hAnsi="Times New Roman" w:cs="Times New Roman"/>
          <w:iCs/>
          <w:sz w:val="24"/>
          <w:szCs w:val="24"/>
        </w:rPr>
        <w:fldChar w:fldCharType="begin"/>
      </w:r>
      <w:r w:rsidR="00CD4721">
        <w:rPr>
          <w:rFonts w:ascii="Times New Roman" w:hAnsi="Times New Roman" w:cs="Times New Roman"/>
          <w:iCs/>
          <w:sz w:val="24"/>
          <w:szCs w:val="24"/>
        </w:rPr>
        <w:instrText xml:space="preserve"> ADDIN ZOTERO_ITEM CSL_CITATION {"citationID":"pu5lOXJt","properties":{"formattedCitation":"\\super 48\\uc0\\u8211{}50\\nosupersub{}","plainCitation":"48–50","noteIndex":0},"citationItems":[{"id":1195,"uris":["http://zotero.org/users/5917738/items/HBU9EBT5"],"uri":["http://zotero.org/users/5917738/items/HBU9EBT5"],"itemData":{"id":1195,"type":"article-journal","abstract":"&lt;h3&gt;Importance&lt;/h3&gt;&lt;p&gt;The Affordable Care Act (ACA) completed its second open enrollment period in February 2015. Assessing the law’s effects has major policy implications.&lt;/p&gt;&lt;h3&gt;Objectives&lt;/h3&gt;&lt;p&gt;To estimate national changes in self-reported coverage, access to care, and health during the ACA’s first 2 open enrollment periods and to assess differences between low-income adults in states that expanded Medicaid and in states that did not expand Medicaid.&lt;/p&gt;&lt;h3&gt;Design, Setting, and Participants&lt;/h3&gt;&lt;p&gt;Analysis of the 2012-2015 Gallup-Healthways Well-Being Index, a daily national telephone survey. Using multivariable regression to adjust for pre-ACA trends and sociodemographics, we examined changes in outcomes for the nonelderly US adult population aged 18 through 64 years (n = 507 055) since the first open enrollment period began in October 2013. Linear regressions were used to model each outcome as a function of a linear monthly time trend and quarterly indicators. Then, pre-ACA (January 2012-September 2013) and post-ACA (January 2014-March 2015) changes for adults with incomes below 138% of the poverty level in Medicaid expansion states (n = 48 905 among 28 states and Washington, DC) vs nonexpansion states (n = 37 283 among 22 states) were compared using a differences-in-differences approach.&lt;/p&gt;&lt;h3&gt;Exposures&lt;/h3&gt;&lt;p&gt;Beginning of the ACA’s first open enrollment period (October 2013).&lt;/p&gt;&lt;h3&gt;Main Outcomes and Measures&lt;/h3&gt;&lt;p&gt;Self-reported rates of being uninsured, lacking a personal physician, lacking easy access to medicine, inability to afford needed care, overall health status, and health-related activity limitations.&lt;/p&gt;&lt;h3&gt;Results&lt;/h3&gt;&lt;p&gt;Among the 507 055 adults in this survey, pre-ACA trends were significantly worsening for all outcomes. Compared with the pre-ACA trends, by the first quarter of 2015, the adjusted proportions who were uninsured decreased by 7.9 percentage points (95% CI, −9.1 to −6.7); who lacked a personal physician, −3.5 percentage points (95% CI, −4.8 to −2.2); who lacked easy access to medicine, −2.4 percentage points (95% CI, −3.3 to −1.5); who were unable to afford care, −5.5 percentage points (95% CI, −6.7 to −4.2); who reported fair/poor health, −3.4 percentage points (95% CI, −4.6 to −2.2); and the percentage of days with activities limited by health, −1.7 percentage points (95% CI, −2.4 to −0.9). Coverage changes were largest among minorities; for example, the decrease in the uninsured rate was larger among Latino adults (−11.9 percentage points [95% CI, −15.3 to −8.5]) than white adults (−6.1 percentage points [95% CI, −7.3 to −4.8]). Medicaid expansion was associated with significant reductions among low-income adults in the uninsured rate (differences-in-differences estimate, −5.2 percentage points [95% CI, −7.9 to −2.6]), lacking a personal physician (−1.8 percentage points [95% CI, −3.4 to −0.3]), and difficulty accessing medicine (−2.2 percentage points [95% CI, −3.8 to −0.7]).&lt;/p&gt;&lt;h3&gt;Conclusions and Relevance&lt;/h3&gt;&lt;p&gt;The ACA’s first 2 open enrollment periods were associated with significantly improved trends in self-reported coverage, access to primary care and medications, affordability, and health. Low-income adults in states that expanded Medicaid reported significant gains in insurance coverage and access compared with adults in states that did not expand Medicaid.&lt;/p&gt;","container-title":"JAMA","DOI":"10.1001/jama.2015.8421","ISSN":"0098-7484","issue":"4","journalAbbreviation":"JAMA","language":"en","page":"366-374","source":"jamanetwork.com","title":"Changes in Self-reported Insurance Coverage, Access to Care, and Health Under the Affordable Care Act","volume":"314","author":[{"family":"Sommers","given":"Benjamin D."},{"family":"Gunja","given":"Munira Z."},{"family":"Finegold","given":"Kenneth"},{"family":"Musco","given":"Thomas"}],"issued":{"date-parts":[["2015",7,28]]}}},{"id":1198,"uris":["http://zotero.org/users/5917738/items/33A5NPBU"],"uri":["http://zotero.org/users/5917738/items/33A5NPBU"],"itemData":{"id":1198,"type":"article-journal","container-title":"Public Health Reports","DOI":"10.1177/003335491112600118","ISSN":"0033-3549","issue":"1","journalAbbreviation":"Public Health Rep","page":"130-135","source":"SAGE Journals","title":"The Patient Protection and Affordable Care Act: Implications for Public Health Policy and Practice","title-short":"The Patient Protection and Affordable Care Act","volume":"126","author":[{"family":"Rosenbaum","given":"Sara"}],"issued":{"date-parts":[["2011",1,1]]}}},{"id":1200,"uris":["http://zotero.org/users/5917738/items/9QSWJYHM"],"uri":["http://zotero.org/users/5917738/items/9QSWJYHM"],"itemData":{"id":1200,"type":"report","number":"0898-2937","publisher":"National Bureau of Economic Research","title":"Medicaid and mortality: new evidence from linked survey and administrative data","author":[{"family":"Miller","given":"Sarah"},{"family":"Altekruse","given":"Sean"},{"family":"Johnson","given":"Norman"},{"family":"Wherry","given":"Laura R"}],"issued":{"date-parts":[["2019"]]}}}],"schema":"https://github.com/citation-style-language/schema/raw/master/csl-citation.json"} </w:instrText>
      </w:r>
      <w:r w:rsidR="00404AF2">
        <w:rPr>
          <w:rFonts w:ascii="Times New Roman" w:hAnsi="Times New Roman" w:cs="Times New Roman"/>
          <w:iCs/>
          <w:sz w:val="24"/>
          <w:szCs w:val="24"/>
        </w:rPr>
        <w:fldChar w:fldCharType="separate"/>
      </w:r>
      <w:r w:rsidR="00CD4721" w:rsidRPr="00CD4721">
        <w:rPr>
          <w:rFonts w:ascii="Times New Roman" w:hAnsi="Times New Roman" w:cs="Times New Roman"/>
          <w:sz w:val="24"/>
          <w:szCs w:val="24"/>
          <w:vertAlign w:val="superscript"/>
        </w:rPr>
        <w:t>48–50</w:t>
      </w:r>
      <w:r w:rsidR="00404AF2">
        <w:rPr>
          <w:rFonts w:ascii="Times New Roman" w:hAnsi="Times New Roman" w:cs="Times New Roman"/>
          <w:iCs/>
          <w:sz w:val="24"/>
          <w:szCs w:val="24"/>
        </w:rPr>
        <w:fldChar w:fldCharType="end"/>
      </w:r>
      <w:r w:rsidR="002F69F5">
        <w:rPr>
          <w:rFonts w:ascii="Times New Roman" w:hAnsi="Times New Roman" w:cs="Times New Roman"/>
          <w:iCs/>
          <w:sz w:val="24"/>
          <w:szCs w:val="24"/>
        </w:rPr>
        <w:t xml:space="preserve"> </w:t>
      </w:r>
      <w:r w:rsidR="007379C4">
        <w:rPr>
          <w:rFonts w:ascii="Times New Roman" w:hAnsi="Times New Roman" w:cs="Times New Roman"/>
          <w:iCs/>
          <w:sz w:val="24"/>
          <w:szCs w:val="24"/>
        </w:rPr>
        <w:t>For instance, p</w:t>
      </w:r>
      <w:r w:rsidR="00957DAA">
        <w:rPr>
          <w:rFonts w:ascii="Times New Roman" w:hAnsi="Times New Roman" w:cs="Times New Roman"/>
          <w:iCs/>
          <w:sz w:val="24"/>
          <w:szCs w:val="24"/>
        </w:rPr>
        <w:t>revious</w:t>
      </w:r>
      <w:r w:rsidR="00782672">
        <w:rPr>
          <w:rFonts w:ascii="Times New Roman" w:hAnsi="Times New Roman" w:cs="Times New Roman"/>
          <w:iCs/>
          <w:sz w:val="24"/>
          <w:szCs w:val="24"/>
        </w:rPr>
        <w:t xml:space="preserve"> analyses have</w:t>
      </w:r>
      <w:r w:rsidR="00CA6D8C">
        <w:rPr>
          <w:rFonts w:ascii="Times New Roman" w:hAnsi="Times New Roman" w:cs="Times New Roman"/>
          <w:iCs/>
          <w:sz w:val="24"/>
          <w:szCs w:val="24"/>
        </w:rPr>
        <w:t xml:space="preserve"> also</w:t>
      </w:r>
      <w:r w:rsidR="00782672">
        <w:rPr>
          <w:rFonts w:ascii="Times New Roman" w:hAnsi="Times New Roman" w:cs="Times New Roman"/>
          <w:iCs/>
          <w:sz w:val="24"/>
          <w:szCs w:val="24"/>
        </w:rPr>
        <w:t xml:space="preserve"> shown </w:t>
      </w:r>
      <w:r w:rsidR="00477162">
        <w:rPr>
          <w:rFonts w:ascii="Times New Roman" w:hAnsi="Times New Roman" w:cs="Times New Roman"/>
          <w:iCs/>
          <w:sz w:val="24"/>
          <w:szCs w:val="24"/>
        </w:rPr>
        <w:t>lower rates of CRN</w:t>
      </w:r>
      <w:r w:rsidR="005253DA">
        <w:rPr>
          <w:rFonts w:ascii="Times New Roman" w:hAnsi="Times New Roman" w:cs="Times New Roman"/>
          <w:iCs/>
          <w:sz w:val="24"/>
          <w:szCs w:val="24"/>
        </w:rPr>
        <w:t>, and corresponding improvements in management of chronic disease,</w:t>
      </w:r>
      <w:r w:rsidR="00F77402">
        <w:rPr>
          <w:rFonts w:ascii="Times New Roman" w:hAnsi="Times New Roman" w:cs="Times New Roman"/>
          <w:iCs/>
          <w:sz w:val="24"/>
          <w:szCs w:val="24"/>
        </w:rPr>
        <w:t xml:space="preserve"> among</w:t>
      </w:r>
      <w:r w:rsidR="00AB2AD7">
        <w:rPr>
          <w:rFonts w:ascii="Times New Roman" w:hAnsi="Times New Roman" w:cs="Times New Roman"/>
          <w:iCs/>
          <w:sz w:val="24"/>
          <w:szCs w:val="24"/>
        </w:rPr>
        <w:t xml:space="preserve"> seniors following passage of </w:t>
      </w:r>
      <w:r w:rsidR="00477162">
        <w:rPr>
          <w:rFonts w:ascii="Times New Roman" w:hAnsi="Times New Roman" w:cs="Times New Roman"/>
          <w:iCs/>
          <w:sz w:val="24"/>
          <w:szCs w:val="24"/>
        </w:rPr>
        <w:t>the Affordable Care Act and</w:t>
      </w:r>
      <w:r w:rsidR="00AB2AD7">
        <w:rPr>
          <w:rFonts w:ascii="Times New Roman" w:hAnsi="Times New Roman" w:cs="Times New Roman"/>
          <w:iCs/>
          <w:sz w:val="24"/>
          <w:szCs w:val="24"/>
        </w:rPr>
        <w:t xml:space="preserve"> closing of the </w:t>
      </w:r>
      <w:r w:rsidR="00A30199">
        <w:rPr>
          <w:rFonts w:ascii="Times New Roman" w:hAnsi="Times New Roman" w:cs="Times New Roman"/>
          <w:iCs/>
          <w:sz w:val="24"/>
          <w:szCs w:val="24"/>
        </w:rPr>
        <w:t xml:space="preserve">Medicare Part D </w:t>
      </w:r>
      <w:r w:rsidR="007000E8">
        <w:rPr>
          <w:rFonts w:ascii="Times New Roman" w:hAnsi="Times New Roman" w:cs="Times New Roman"/>
          <w:iCs/>
          <w:sz w:val="24"/>
          <w:szCs w:val="24"/>
        </w:rPr>
        <w:t>coverage gap</w:t>
      </w:r>
      <w:r w:rsidR="005253DA">
        <w:rPr>
          <w:rFonts w:ascii="Times New Roman" w:hAnsi="Times New Roman" w:cs="Times New Roman"/>
          <w:iCs/>
          <w:sz w:val="24"/>
          <w:szCs w:val="24"/>
        </w:rPr>
        <w:t>.</w:t>
      </w:r>
      <w:r w:rsidR="00437369">
        <w:rPr>
          <w:rFonts w:ascii="Times New Roman" w:hAnsi="Times New Roman" w:cs="Times New Roman"/>
          <w:iCs/>
          <w:sz w:val="24"/>
          <w:szCs w:val="24"/>
        </w:rPr>
        <w:fldChar w:fldCharType="begin"/>
      </w:r>
      <w:r w:rsidR="00D57D48">
        <w:rPr>
          <w:rFonts w:ascii="Times New Roman" w:hAnsi="Times New Roman" w:cs="Times New Roman"/>
          <w:iCs/>
          <w:sz w:val="24"/>
          <w:szCs w:val="24"/>
        </w:rPr>
        <w:instrText xml:space="preserve"> ADDIN ZOTERO_ITEM CSL_CITATION {"citationID":"K3GGfjMs","properties":{"formattedCitation":"\\super 51,52\\nosupersub{}","plainCitation":"51,52","noteIndex":0},"citationItems":[{"id":717,"uris":["http://zotero.org/users/5917738/items/HVSK9KPH"],"uri":["http://zotero.org/users/5917738/items/HVSK9KPH"],"itemData":{"id":717,"type":"article-journal","abstract":"Background: Cost-related nonadherence (CRN) among Medicare beneficiaries declined after the implementation of the Part D program, but it is unknown whether CRN changes varied on the basis of beneficiaries' change in drug coverage. Objective: To determine how CRN changed with the introduction of Part D, and whether CRN changes from 2005 to 2006 varied between newly insured beneficiaries, continuously insured beneficiaries, and continuously uninsured beneficiaries. Methods: CRN, drug coverage, and beneficiary characteristics in 2005 and 2006 were constructed from merged Medicare Current Beneficiary Survey Access to Care files (sample, n = 8935). Change in CRN was modeled using multinomial logistic regression to identify predictors of resolved CRN (reported in 2005 but not in 2006), unresolved CRN (reported in 2005 and 2006), and new CRN (reported in 2006 but not in 2005), relative to no CRN (not reported in 2005 or 2006). Results: Rates of CRN declined from 2005 to 2006 for all beneficiaries, with the greatest reductions (from 22.1% in 2005 to 14.3% in 2006) for newly insured beneficiaries who gained drug coverage through Part D. In adjusted analyses, newly insured beneficiaries were more likely to have resolved CRN (adjusted odds ratio [AOR] = 1.7; 95% confidence interval, 1.3-2.2). Younger beneficiaries (under the age of 65 years) and beneficiaries with multiple chronic conditions, poor health, and depression were significantly more likely to report CRN. Conclusions: Part D coverage reduced but did not eliminate CRN for newly insured beneficiaries. Unresolved CRN persisted for newly insured and continuously uninsured beneficiaries, particularly among disabled beneficiaries.","archive":"JSTOR","container-title":"Medical Care","ISSN":"0025-7079","issue":"5","page":"522-526","source":"JSTOR","title":"Cost-Related Nonadherence in the Medicare Program: The Impact of Part D","title-short":"Cost-Related Nonadherence in the Medicare Program","volume":"49","author":[{"family":"Kennedy","given":"James J."},{"family":"Maciejewski","given":"Matthew"},{"family":"Liu","given":"Darren"},{"family":"Blodgett","given":"Elizabeth"}],"issued":{"date-parts":[["2011"]]}}},{"id":1201,"uris":["http://zotero.org/users/5917738/items/HZD6Y69N"],"uri":["http://zotero.org/users/5917738/items/HZD6Y69N"],"itemData":{"id":1201,"type":"article-journal","abstract":"Objective To update a past systematic review on whether Medicare Part D changed drug utilization and out-of-pocket (OOP) costs overall and within subpopulations, and to identify evidence gaps. Data Sources/Study Setting Published and gray literature from 2010 to 2015 meeting prespecified screening criteria, including having a comparison group, and utilization or OOP cost outcomes. Study Design We conducted a systematic literature review with a quality assessment. Data Collection/Extraction Methods For each study, we extracted information on study design, data sources, analytic methods, outcomes, and limitations. Because outcome measures vary across studies, we did a qualitative synthesis rather than meta-analysis. Principal Findings Sixty-five studies met screening criteria. Overall, Medicare Part D enrollees have increased drug utilization and decreased OOP costs, but coverage gaps limit the program's impact. Beneficiaries whose insurance becomes more generous after enrollment had disproportionately increased drug utilization and decreased OOP costs. Outcomes among dual-eligibles were mixed. Conclusions There is strong evidence on how Medicare Part D and the donut hole coverage gap affect utilization and OOP costs, but weak evidence on how effects vary among dual-eligibles or across diseases. Findings suggest that the Affordable Care Act's provisions to expand coverage and reduce the donut hole should improve patient outcomes.","container-title":"Health Services Research","DOI":"10.1111/1475-6773.12534","ISSN":"1475-6773","issue":"5","language":"en","page":"1685-1728","source":"Wiley Online Library","title":"Medicare Part D's Effects on Drug Utilization and Out-of-Pocket Costs: A Systematic Review","title-short":"Medicare Part D's Effects on Drug Utilization and Out-of-Pocket Costs","volume":"52","author":[{"family":"Park","given":"Young Joo"},{"family":"Martin","given":"Erika G."}],"issued":{"date-parts":[["2017"]]}}}],"schema":"https://github.com/citation-style-language/schema/raw/master/csl-citation.json"} </w:instrText>
      </w:r>
      <w:r w:rsidR="00437369">
        <w:rPr>
          <w:rFonts w:ascii="Times New Roman" w:hAnsi="Times New Roman" w:cs="Times New Roman"/>
          <w:iCs/>
          <w:sz w:val="24"/>
          <w:szCs w:val="24"/>
        </w:rPr>
        <w:fldChar w:fldCharType="separate"/>
      </w:r>
      <w:r w:rsidR="00D57D48" w:rsidRPr="00D57D48">
        <w:rPr>
          <w:rFonts w:ascii="Times New Roman" w:hAnsi="Times New Roman" w:cs="Times New Roman"/>
          <w:sz w:val="24"/>
          <w:szCs w:val="24"/>
          <w:vertAlign w:val="superscript"/>
        </w:rPr>
        <w:t>51,52</w:t>
      </w:r>
      <w:r w:rsidR="00437369">
        <w:rPr>
          <w:rFonts w:ascii="Times New Roman" w:hAnsi="Times New Roman" w:cs="Times New Roman"/>
          <w:iCs/>
          <w:sz w:val="24"/>
          <w:szCs w:val="24"/>
        </w:rPr>
        <w:fldChar w:fldCharType="end"/>
      </w:r>
    </w:p>
    <w:p w14:paraId="69C5474A" w14:textId="1C54CC92" w:rsidR="00242231" w:rsidRPr="00242231" w:rsidRDefault="007032A9" w:rsidP="00242231">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We also acknowledge that the most recent data </w:t>
      </w:r>
      <w:r w:rsidR="005E5E60">
        <w:rPr>
          <w:rFonts w:ascii="Times New Roman" w:hAnsi="Times New Roman" w:cs="Times New Roman"/>
          <w:bCs/>
          <w:iCs/>
          <w:sz w:val="24"/>
          <w:szCs w:val="24"/>
        </w:rPr>
        <w:t xml:space="preserve">available at the time of this study </w:t>
      </w:r>
      <w:r w:rsidR="00800B04">
        <w:rPr>
          <w:rFonts w:ascii="Times New Roman" w:hAnsi="Times New Roman" w:cs="Times New Roman"/>
          <w:bCs/>
          <w:iCs/>
          <w:sz w:val="24"/>
          <w:szCs w:val="24"/>
        </w:rPr>
        <w:t>was from 2014.</w:t>
      </w:r>
      <w:r w:rsidR="00242231">
        <w:rPr>
          <w:rFonts w:ascii="Times New Roman" w:hAnsi="Times New Roman" w:cs="Times New Roman"/>
          <w:bCs/>
          <w:iCs/>
          <w:sz w:val="24"/>
          <w:szCs w:val="24"/>
        </w:rPr>
        <w:t xml:space="preserve"> Since then, there has been increasing attention towards reducing prescription drug costs in both state and national government. As of February 2020, two states (Colorado and Illinois) have instituted $100 monthly price caps on insulin payments, with 11 others (Florida, New Jersey, Michigan Pennsylvania, Wisconsin, Massachusetts, New York, New Jersey, Virginia, Washington, West Virginia, and Utah) considering similar legislation.</w:t>
      </w:r>
      <w:r w:rsidR="00242231">
        <w:rPr>
          <w:rFonts w:ascii="Times New Roman" w:hAnsi="Times New Roman" w:cs="Times New Roman"/>
          <w:bCs/>
          <w:iCs/>
          <w:sz w:val="24"/>
          <w:szCs w:val="24"/>
        </w:rPr>
        <w:fldChar w:fldCharType="begin"/>
      </w:r>
      <w:r w:rsidR="00D57D48">
        <w:rPr>
          <w:rFonts w:ascii="Times New Roman" w:hAnsi="Times New Roman" w:cs="Times New Roman"/>
          <w:bCs/>
          <w:iCs/>
          <w:sz w:val="24"/>
          <w:szCs w:val="24"/>
        </w:rPr>
        <w:instrText xml:space="preserve"> ADDIN ZOTERO_ITEM CSL_CITATION {"citationID":"omKu0DgP","properties":{"formattedCitation":"\\super 53\\uc0\\u8211{}59\\nosupersub{}","plainCitation":"53–59","noteIndex":0},"citationItems":[{"id":1159,"uris":["http://zotero.org/users/5917738/items/9DWFS3RF"],"uri":["http://zotero.org/users/5917738/items/9DWFS3RF"],"itemData":{"id":1159,"type":"bill","authority":"CO","chapter-number":"2019","number":"HB19-1216","title":"Reduce Insulin Prices","URL":"https://leg.colorado.gov/bills/hb19-1216","author":[{"family":"Roberts","given":"Dylan"},{"family":"Donovan","given":"Kerry"},{"family":"Priola","given":"Keven"}],"issued":{"date-parts":[["2019",5,22]]}}},{"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id":1162,"uris":["http://zotero.org/users/5917738/items/GQ5D2RVW"],"uri":["http://zotero.org/users/5917738/items/GQ5D2RVW"],"itemData":{"id":1162,"type":"webpage","title":"House Bill 109 (2020) - The Florida Senate","URL":"https://www.flsenate.gov/Session/Bill/2020/109","accessed":{"date-parts":[["2020",2,8]]}}},{"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id":1168,"uris":["http://zotero.org/users/5917738/items/N76Z4Y3L"],"uri":["http://zotero.org/users/5917738/items/N76Z4Y3L"],"itemData":{"id":1168,"type":"webpage","container-title":"The official website for the Pennsylvania General Assembly.","language":"English","title":"Bill Information - House Bill 1873; Regular Session 2019-2020","URL":"https://www.legis.state.pa.us/cfdocs/billInfo/billInfo.cfm?sYear=2019&amp;sInd=0&amp;body=H&amp;type=B&amp;bn=1873","accessed":{"date-parts":[["2020",2,8]]}}},{"id":1170,"uris":["http://zotero.org/users/5917738/items/5V676LZV"],"uri":["http://zotero.org/users/5917738/items/5V676LZV"],"itemData":{"id":1170,"type":"webpage","title":"2019 Senate Bill 340","URL":"https://docs.legis.wisconsin.gov/2019/proposals/sb340","accessed":{"date-parts":[["2020",2,8]]}}}],"schema":"https://github.com/citation-style-language/schema/raw/master/csl-citation.json"} </w:instrText>
      </w:r>
      <w:r w:rsidR="00242231">
        <w:rPr>
          <w:rFonts w:ascii="Times New Roman" w:hAnsi="Times New Roman" w:cs="Times New Roman"/>
          <w:bCs/>
          <w:iCs/>
          <w:sz w:val="24"/>
          <w:szCs w:val="24"/>
        </w:rPr>
        <w:fldChar w:fldCharType="separate"/>
      </w:r>
      <w:r w:rsidR="00D57D48" w:rsidRPr="00D57D48">
        <w:rPr>
          <w:rFonts w:ascii="Times New Roman" w:hAnsi="Times New Roman" w:cs="Times New Roman"/>
          <w:sz w:val="24"/>
          <w:szCs w:val="24"/>
          <w:vertAlign w:val="superscript"/>
        </w:rPr>
        <w:t>53–59</w:t>
      </w:r>
      <w:r w:rsidR="00242231">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At the federal level, the Prescription Drug Pricing Act of 2019 would redesign spending and reimbursement for Medicare Parts B and D, including penalties for</w:t>
      </w:r>
      <w:r w:rsidR="007857A8">
        <w:rPr>
          <w:rFonts w:ascii="Times New Roman" w:hAnsi="Times New Roman" w:cs="Times New Roman"/>
          <w:bCs/>
          <w:iCs/>
          <w:sz w:val="24"/>
          <w:szCs w:val="24"/>
        </w:rPr>
        <w:t xml:space="preserve"> medications with prices</w:t>
      </w:r>
      <w:r w:rsidR="00242231">
        <w:rPr>
          <w:rFonts w:ascii="Times New Roman" w:hAnsi="Times New Roman" w:cs="Times New Roman"/>
          <w:bCs/>
          <w:iCs/>
          <w:sz w:val="24"/>
          <w:szCs w:val="24"/>
        </w:rPr>
        <w:t xml:space="preserve"> rising faster than </w:t>
      </w:r>
      <w:commentRangeStart w:id="0"/>
      <w:r w:rsidR="00242231">
        <w:rPr>
          <w:rFonts w:ascii="Times New Roman" w:hAnsi="Times New Roman" w:cs="Times New Roman"/>
          <w:bCs/>
          <w:iCs/>
          <w:sz w:val="24"/>
          <w:szCs w:val="24"/>
        </w:rPr>
        <w:t>inflation</w:t>
      </w:r>
      <w:commentRangeEnd w:id="0"/>
      <w:r w:rsidR="00242231">
        <w:rPr>
          <w:rStyle w:val="CommentReference"/>
        </w:rPr>
        <w:commentReference w:id="0"/>
      </w:r>
      <w:r w:rsidR="00242231">
        <w:rPr>
          <w:rFonts w:ascii="Times New Roman" w:hAnsi="Times New Roman" w:cs="Times New Roman"/>
          <w:bCs/>
          <w:iCs/>
          <w:sz w:val="24"/>
          <w:szCs w:val="24"/>
        </w:rPr>
        <w:t>. Our results suggest that these changes could have positive impacts on health outcomes, including reduced mortality,</w:t>
      </w:r>
      <w:r w:rsidR="00242231" w:rsidRPr="00876108">
        <w:rPr>
          <w:rFonts w:ascii="Times New Roman" w:hAnsi="Times New Roman" w:cs="Times New Roman"/>
          <w:bCs/>
          <w:iCs/>
          <w:sz w:val="24"/>
          <w:szCs w:val="24"/>
        </w:rPr>
        <w:t xml:space="preserve"> </w:t>
      </w:r>
      <w:r w:rsidR="00242231">
        <w:rPr>
          <w:rFonts w:ascii="Times New Roman" w:hAnsi="Times New Roman" w:cs="Times New Roman"/>
          <w:bCs/>
          <w:iCs/>
          <w:sz w:val="24"/>
          <w:szCs w:val="24"/>
        </w:rPr>
        <w:t xml:space="preserve">for affected patients, though additional measures targeting younger patients and those with </w:t>
      </w:r>
      <w:r w:rsidR="00300851">
        <w:rPr>
          <w:rFonts w:ascii="Times New Roman" w:hAnsi="Times New Roman" w:cs="Times New Roman"/>
          <w:bCs/>
          <w:iCs/>
          <w:sz w:val="24"/>
          <w:szCs w:val="24"/>
        </w:rPr>
        <w:t>CVD</w:t>
      </w:r>
      <w:r w:rsidR="00242231">
        <w:rPr>
          <w:rFonts w:ascii="Times New Roman" w:hAnsi="Times New Roman" w:cs="Times New Roman"/>
          <w:bCs/>
          <w:iCs/>
          <w:sz w:val="24"/>
          <w:szCs w:val="24"/>
        </w:rPr>
        <w:t xml:space="preserve"> may also be beneficial. </w:t>
      </w:r>
      <w:r w:rsidR="00E379A0">
        <w:rPr>
          <w:rFonts w:ascii="Times New Roman" w:hAnsi="Times New Roman" w:cs="Times New Roman"/>
          <w:bCs/>
          <w:iCs/>
          <w:sz w:val="24"/>
          <w:szCs w:val="24"/>
        </w:rPr>
        <w:t xml:space="preserve">However, </w:t>
      </w:r>
      <w:r w:rsidR="004964DF">
        <w:rPr>
          <w:rFonts w:ascii="Times New Roman" w:hAnsi="Times New Roman" w:cs="Times New Roman"/>
          <w:bCs/>
          <w:iCs/>
          <w:sz w:val="24"/>
          <w:szCs w:val="24"/>
        </w:rPr>
        <w:t>c</w:t>
      </w:r>
      <w:r w:rsidR="00242231">
        <w:rPr>
          <w:rFonts w:ascii="Times New Roman" w:hAnsi="Times New Roman" w:cs="Times New Roman"/>
          <w:bCs/>
          <w:iCs/>
          <w:sz w:val="24"/>
          <w:szCs w:val="24"/>
        </w:rPr>
        <w:t xml:space="preserve">ontinued assessment of CRN prevalence and consequences, particularly in states instituting novel payment plans, </w:t>
      </w:r>
      <w:r w:rsidR="00477CB7">
        <w:rPr>
          <w:rFonts w:ascii="Times New Roman" w:hAnsi="Times New Roman" w:cs="Times New Roman"/>
          <w:bCs/>
          <w:iCs/>
          <w:sz w:val="24"/>
          <w:szCs w:val="24"/>
        </w:rPr>
        <w:t>is</w:t>
      </w:r>
      <w:r w:rsidR="00242231">
        <w:rPr>
          <w:rFonts w:ascii="Times New Roman" w:hAnsi="Times New Roman" w:cs="Times New Roman"/>
          <w:bCs/>
          <w:iCs/>
          <w:sz w:val="24"/>
          <w:szCs w:val="24"/>
        </w:rPr>
        <w:t xml:space="preserve"> needed to monitor policy reach and </w:t>
      </w:r>
      <w:r w:rsidR="000F0BB7">
        <w:rPr>
          <w:rFonts w:ascii="Times New Roman" w:hAnsi="Times New Roman" w:cs="Times New Roman"/>
          <w:bCs/>
          <w:iCs/>
          <w:sz w:val="24"/>
          <w:szCs w:val="24"/>
        </w:rPr>
        <w:t>efficacy</w:t>
      </w:r>
      <w:r w:rsidR="0090371D">
        <w:rPr>
          <w:rFonts w:ascii="Times New Roman" w:hAnsi="Times New Roman" w:cs="Times New Roman"/>
          <w:bCs/>
          <w:iCs/>
          <w:sz w:val="24"/>
          <w:szCs w:val="24"/>
        </w:rPr>
        <w:t>.</w:t>
      </w:r>
    </w:p>
    <w:p w14:paraId="3623CE2E" w14:textId="5C93039B"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The major strengths of our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w:t>
      </w:r>
      <w:r w:rsidR="00A92006">
        <w:rPr>
          <w:rFonts w:ascii="Times New Roman" w:hAnsi="Times New Roman" w:cs="Times New Roman"/>
          <w:iCs/>
          <w:sz w:val="24"/>
          <w:szCs w:val="24"/>
        </w:rPr>
        <w:lastRenderedPageBreak/>
        <w:t xml:space="preserve">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Given the nature of the sample, we were 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comparable sample sizes to our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in medication adherence on other 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D57D48">
        <w:rPr>
          <w:rFonts w:ascii="Times New Roman" w:hAnsi="Times New Roman" w:cs="Times New Roman"/>
          <w:iCs/>
          <w:sz w:val="24"/>
          <w:szCs w:val="24"/>
        </w:rPr>
        <w:instrText xml:space="preserve"> ADDIN ZOTERO_ITEM CSL_CITATION {"citationID":"zC6RkIRh","properties":{"formattedCitation":"\\super 63,64\\nosupersub{}","plainCitation":"63,64","noteIndex":0},"citationItems":[{"id":704,"uris":["http://zotero.org/users/5917738/items/AVM6FAXK"],"uri":["http://zotero.org/users/5917738/items/AVM6FAXK"],"itemData":{"id":704,"type":"article-journal","abstract":"Objective\nAlthough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D."}],"issued":{"date-parts":[["2010"]]}}},{"id":622,"uris":["http://zotero.org/users/5917738/items/FC2E43R8"],"uri":["http://zotero.org/users/5917738/items/FC2E43R8"],"itemData":{"id":622,"type":"article-journal","abstract":"Background and objective\nSome patients continue taking their medication as prescribed despite serious financial pressures, while others with the ability to pay forego treatment due to cost concerns. The primary goal of this study was to explore how patients’ beliefs about the necessity of treatment and treatment side effects, influence cost-related non-adherence (CRN).\n\nMethods\n27,302 participants in the Harris Interactive Chronic Illness Panel completed an internet survey. The current study focused on two subsamples representing: (a) the most economically-vulnerable survey respondents (ie, individuals with household incomes of US$25,000 per year or less and monthly out-of-pocket medication costs of at least US$60, n = 1321); and (b) respondents who were the most likely to have the financial resources to pay for medications (ie, those with incomes of US$125,000 or more and monthly medication costs of less than US$60.00, n = 1195). Multivariate models were constructed for each group to determine the independent impact on CRN of perceived need for medications and side-effect concerns. Increased risk for CRN associated with depression and asthma diagnoses also was examined.\n\nResults\nTwenty-one percent of economically vulnerable respondents reported continuing to take their medication as prescribed despite serious cost pressures, while 14% of high-income respondents reported CRN despite apparently manageable out-of-pocket costs. Both low perceived need for medications and concerns about side-effects affected CRN risk in low-income and high-income groups. Within groups of both low-income and high-income respondents, depression and asthma significantly increased patients’ odds of reporting CRN.\n\nConclusion\nBeyond objective financial measures, CRN is influenced by patient beliefs, which can influence the perceived value of prescription drugs. Addressing these beliefs, as well as the unique adherence concerns of patients with depression and asthma, could decrease CRN rates even if cost pressures themselves cannot be reduced.","container-title":"Patient preference and adherence","DOI":"10.2147/PPA.S23111","ISSN":"1177-889X","journalAbbreviation":"Patient Prefer Adherence","note":"PMID: 21949602\nPMCID: PMC3176178","page":"389-396","source":"PubMed Central","title":"Beliefs that influence cost-related medication non-adherence among the “haves” and “have nots” with chronic diseases","volume":"5","author":[{"family":"Piette","given":"John D"},{"family":"Beard","given":"Ashley"},{"family":"Rosland","given":"Ann Marie"},{"family":"McHorney","given":"Colleen A"}],"issued":{"date-parts":[["2011",8,3]]}}}],"schema":"https://github.com/citation-style-language/schema/raw/master/csl-citation.json"} </w:instrText>
      </w:r>
      <w:r w:rsidR="008A13E8">
        <w:rPr>
          <w:rFonts w:ascii="Times New Roman" w:hAnsi="Times New Roman" w:cs="Times New Roman"/>
          <w:iCs/>
          <w:sz w:val="24"/>
          <w:szCs w:val="24"/>
        </w:rPr>
        <w:fldChar w:fldCharType="separate"/>
      </w:r>
      <w:r w:rsidR="00D57D48" w:rsidRPr="00D57D48">
        <w:rPr>
          <w:rFonts w:ascii="Times New Roman" w:hAnsi="Times New Roman" w:cs="Times New Roman"/>
          <w:sz w:val="24"/>
          <w:szCs w:val="24"/>
          <w:vertAlign w:val="superscript"/>
        </w:rPr>
        <w:t>63,64</w:t>
      </w:r>
      <w:r w:rsidR="008A13E8">
        <w:rPr>
          <w:rFonts w:ascii="Times New Roman" w:hAnsi="Times New Roman" w:cs="Times New Roman"/>
          <w:iCs/>
          <w:sz w:val="24"/>
          <w:szCs w:val="24"/>
        </w:rPr>
        <w:fldChar w:fldCharType="end"/>
      </w:r>
    </w:p>
    <w:p w14:paraId="17EAAD8B" w14:textId="36641B86"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our findings should be interpreted </w:t>
      </w:r>
      <w:proofErr w:type="gramStart"/>
      <w:r w:rsidR="00F82583">
        <w:rPr>
          <w:rFonts w:ascii="Times New Roman" w:hAnsi="Times New Roman" w:cs="Times New Roman"/>
          <w:bCs/>
          <w:iCs/>
          <w:sz w:val="24"/>
          <w:szCs w:val="24"/>
        </w:rPr>
        <w:t>in light of</w:t>
      </w:r>
      <w:proofErr w:type="gramEnd"/>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we</w:t>
      </w:r>
      <w:r w:rsidR="00AE1EBF">
        <w:rPr>
          <w:rFonts w:ascii="Times New Roman" w:hAnsi="Times New Roman" w:cs="Times New Roman"/>
          <w:bCs/>
          <w:iCs/>
          <w:sz w:val="24"/>
          <w:szCs w:val="24"/>
        </w:rPr>
        <w:t xml:space="preserve"> 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N, leading to probable immortal time bias in our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w:t>
      </w:r>
      <w:r w:rsidR="003806B1">
        <w:rPr>
          <w:rFonts w:ascii="Times New Roman" w:hAnsi="Times New Roman" w:cs="Times New Roman"/>
          <w:bCs/>
          <w:iCs/>
          <w:sz w:val="24"/>
          <w:szCs w:val="24"/>
        </w:rPr>
        <w:t xml:space="preserve">as discussed previously, </w:t>
      </w:r>
      <w:r w:rsidR="00B94233">
        <w:rPr>
          <w:rFonts w:ascii="Times New Roman" w:hAnsi="Times New Roman" w:cs="Times New Roman"/>
          <w:bCs/>
          <w:iCs/>
          <w:sz w:val="24"/>
          <w:szCs w:val="24"/>
        </w:rPr>
        <w:t xml:space="preserve">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D57D48">
        <w:rPr>
          <w:rFonts w:ascii="Times New Roman" w:hAnsi="Times New Roman" w:cs="Times New Roman"/>
          <w:bCs/>
          <w:iCs/>
          <w:sz w:val="24"/>
          <w:szCs w:val="24"/>
        </w:rPr>
        <w:instrText xml:space="preserve"> ADDIN ZOTERO_ITEM CSL_CITATION {"citationID":"9OfaKWks","properties":{"formattedCitation":"\\super 65,66\\nosupersub{}","plainCitation":"65,66","noteIndex":0},"citationItems":[{"id":1144,"uris":["http://zotero.org/users/5917738/items/FN97AW2V"],"uri":["http://zotero.org/users/5917738/items/FN97AW2V"],"itemData":{"id":1144,"type":"article-journal","container-title":"The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D57D48" w:rsidRPr="00D57D48">
        <w:rPr>
          <w:rFonts w:ascii="Times New Roman" w:hAnsi="Times New Roman" w:cs="Times New Roman"/>
          <w:sz w:val="24"/>
          <w:szCs w:val="24"/>
          <w:vertAlign w:val="superscript"/>
        </w:rPr>
        <w:t>65,66</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E945C5">
        <w:rPr>
          <w:rFonts w:ascii="Times New Roman" w:hAnsi="Times New Roman" w:cs="Times New Roman"/>
          <w:bCs/>
          <w:iCs/>
          <w:sz w:val="24"/>
          <w:szCs w:val="24"/>
        </w:rPr>
        <w:t>our 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D57D48">
        <w:rPr>
          <w:rFonts w:ascii="Times New Roman" w:hAnsi="Times New Roman" w:cs="Times New Roman"/>
          <w:bCs/>
          <w:iCs/>
          <w:sz w:val="24"/>
          <w:szCs w:val="24"/>
        </w:rPr>
        <w:instrText xml:space="preserve"> ADDIN ZOTERO_ITEM CSL_CITATION {"citationID":"KCkErHdm","properties":{"formattedCitation":"\\super 67\\nosupersub{}","plainCitation":"67","noteIndex":0},"citationItems":[{"id":1153,"uris":["http://zotero.org/users/5917738/items/UDSQJZZ8"],"uri":["http://zotero.org/users/5917738/items/UDSQJZZ8"],"itemData":{"id":1153,"type":"article-journal","abstract":"OBJECTIVE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D57D48" w:rsidRPr="00D57D48">
        <w:rPr>
          <w:rFonts w:ascii="Times New Roman" w:hAnsi="Times New Roman" w:cs="Times New Roman"/>
          <w:sz w:val="24"/>
          <w:szCs w:val="24"/>
          <w:vertAlign w:val="superscript"/>
        </w:rPr>
        <w:t>67</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we 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health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w:t>
      </w:r>
      <w:r w:rsidR="00230367">
        <w:rPr>
          <w:rFonts w:ascii="Times New Roman" w:hAnsi="Times New Roman" w:cs="Times New Roman"/>
          <w:bCs/>
          <w:iCs/>
          <w:sz w:val="24"/>
          <w:szCs w:val="24"/>
        </w:rPr>
        <w:lastRenderedPageBreak/>
        <w:t xml:space="preserve">and </w:t>
      </w:r>
      <w:r w:rsidR="0033754F">
        <w:rPr>
          <w:rFonts w:ascii="Times New Roman" w:hAnsi="Times New Roman" w:cs="Times New Roman"/>
          <w:bCs/>
          <w:iCs/>
          <w:sz w:val="24"/>
          <w:szCs w:val="24"/>
        </w:rPr>
        <w:t xml:space="preserve">we 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we acknowledge that the existence of cases with erroneous (negative) lengths of follow-up time in this study sample likely reduced the internal validity of 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we 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D57D48">
        <w:rPr>
          <w:rFonts w:ascii="Times New Roman" w:hAnsi="Times New Roman" w:cs="Times New Roman"/>
          <w:bCs/>
          <w:iCs/>
          <w:sz w:val="24"/>
          <w:szCs w:val="24"/>
        </w:rPr>
        <w:instrText xml:space="preserve"> ADDIN ZOTERO_ITEM CSL_CITATION {"citationID":"S3e2pNUM","properties":{"formattedCitation":"\\super 68\\uc0\\u8211{}70\\nosupersub{}","plainCitation":"68–70","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D57D48" w:rsidRPr="00D57D48">
        <w:rPr>
          <w:rFonts w:ascii="Times New Roman" w:hAnsi="Times New Roman" w:cs="Times New Roman"/>
          <w:sz w:val="24"/>
          <w:szCs w:val="24"/>
          <w:vertAlign w:val="superscript"/>
        </w:rPr>
        <w:t>68–70</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records in our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D57D48">
        <w:rPr>
          <w:rFonts w:ascii="Times New Roman" w:hAnsi="Times New Roman" w:cs="Times New Roman"/>
          <w:bCs/>
          <w:iCs/>
          <w:sz w:val="24"/>
          <w:szCs w:val="24"/>
        </w:rPr>
        <w:instrText xml:space="preserve"> ADDIN ZOTERO_ITEM CSL_CITATION {"citationID":"qgXBf9lx","properties":{"formattedCitation":"\\super 71\\nosupersub{}","plainCitation":"71","noteIndex":0},"citationItems":[{"id":1136,"uris":["http://zotero.org/users/5917738/items/L83TX8MU"],"uri":["http://zotero.org/users/5917738/items/L83TX8MU"],"itemData":{"id":1136,"type":"article-journal","abstract":"Data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D57D48" w:rsidRPr="00D57D48">
        <w:rPr>
          <w:rFonts w:ascii="Times New Roman" w:hAnsi="Times New Roman" w:cs="Times New Roman"/>
          <w:sz w:val="24"/>
          <w:szCs w:val="24"/>
          <w:vertAlign w:val="superscript"/>
        </w:rPr>
        <w:t>71</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4309A4E2" w14:textId="7B33C550"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 our results suggest that CRN is a substantial risk factor for mortality in persons with chronic illness, and that efforts to address rising prescription drug costs may be valuable for increasing patient health and longevity.</w:t>
      </w:r>
      <w:r w:rsidR="003A5976">
        <w:rPr>
          <w:rFonts w:ascii="Times New Roman" w:hAnsi="Times New Roman" w:cs="Times New Roman"/>
          <w:bCs/>
          <w:iCs/>
          <w:sz w:val="24"/>
          <w:szCs w:val="24"/>
        </w:rPr>
        <w:t xml:space="preserve"> Efforts to increase medication affordability</w:t>
      </w:r>
      <w:r>
        <w:rPr>
          <w:rFonts w:ascii="Times New Roman" w:hAnsi="Times New Roman" w:cs="Times New Roman"/>
          <w:bCs/>
          <w:iCs/>
          <w:sz w:val="24"/>
          <w:szCs w:val="24"/>
        </w:rPr>
        <w:t xml:space="preserve"> may be particularly beneficial for younger individuals and lower income communities, who are the greatest risk of CRN.</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w:t>
      </w:r>
      <w:r w:rsidR="00661E28">
        <w:rPr>
          <w:rFonts w:ascii="Times New Roman" w:hAnsi="Times New Roman" w:cs="Times New Roman"/>
          <w:sz w:val="24"/>
          <w:szCs w:val="24"/>
        </w:rPr>
        <w:lastRenderedPageBreak/>
        <w:t xml:space="preserve">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 xml:space="preserve">and and reproduce analyses. In </w:t>
      </w:r>
      <w:r w:rsidR="00AD7ADC">
        <w:rPr>
          <w:rFonts w:ascii="Times New Roman" w:hAnsi="Times New Roman" w:cs="Times New Roman"/>
          <w:sz w:val="24"/>
          <w:szCs w:val="24"/>
        </w:rPr>
        <w:lastRenderedPageBreak/>
        <w:t>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bookmarkStart w:id="1" w:name="_GoBack"/>
      <w:bookmarkEnd w:id="1"/>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07C17BD2"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24B7D2D3" w14:textId="3B1FB096" w:rsidR="00F44BCA" w:rsidRDefault="00F44BCA" w:rsidP="00D77E7F">
      <w:pPr>
        <w:spacing w:line="480" w:lineRule="auto"/>
        <w:rPr>
          <w:rFonts w:ascii="Times New Roman" w:hAnsi="Times New Roman" w:cs="Times New Roman"/>
          <w:sz w:val="24"/>
          <w:szCs w:val="24"/>
        </w:rPr>
      </w:pPr>
    </w:p>
    <w:p w14:paraId="49C62C5B" w14:textId="52A06BEF" w:rsidR="00F44BCA" w:rsidRDefault="00F44BCA" w:rsidP="00D77E7F">
      <w:pPr>
        <w:spacing w:line="480" w:lineRule="auto"/>
        <w:rPr>
          <w:rFonts w:ascii="Times New Roman" w:hAnsi="Times New Roman" w:cs="Times New Roman"/>
          <w:sz w:val="24"/>
          <w:szCs w:val="24"/>
        </w:rPr>
      </w:pPr>
    </w:p>
    <w:p w14:paraId="6F599799" w14:textId="5B19B860" w:rsidR="00F44BCA" w:rsidRDefault="00F44BCA" w:rsidP="00D77E7F">
      <w:pPr>
        <w:spacing w:line="480" w:lineRule="auto"/>
        <w:rPr>
          <w:rFonts w:ascii="Times New Roman" w:hAnsi="Times New Roman" w:cs="Times New Roman"/>
          <w:sz w:val="24"/>
          <w:szCs w:val="24"/>
        </w:rPr>
      </w:pPr>
    </w:p>
    <w:p w14:paraId="55E0BE4A" w14:textId="59D2DF6C" w:rsidR="00F15654" w:rsidRDefault="000E31AD" w:rsidP="00F44B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6BB90ED4" w14:textId="77777777" w:rsidR="00D57D48" w:rsidRDefault="00654988" w:rsidP="00D57D48">
      <w:pPr>
        <w:pStyle w:val="Bibliography"/>
      </w:pPr>
      <w:r>
        <w:fldChar w:fldCharType="begin"/>
      </w:r>
      <w:r w:rsidR="003106DC">
        <w:instrText xml:space="preserve"> ADDIN ZOTERO_BIBL {"uncited":[],"omitted":[],"custom":[]} CSL_BIBLIOGRAPHY </w:instrText>
      </w:r>
      <w:r>
        <w:fldChar w:fldCharType="separate"/>
      </w:r>
      <w:r w:rsidR="00D57D48">
        <w:t xml:space="preserve">1. </w:t>
      </w:r>
      <w:r w:rsidR="00D57D48">
        <w:tab/>
        <w:t xml:space="preserve">Menke A, Casagrande S, Geiss L, Cowie CC. Prevalence of and trends in diabetes among adults in the United States, 1988-2012. </w:t>
      </w:r>
      <w:r w:rsidR="00D57D48">
        <w:rPr>
          <w:i/>
          <w:iCs/>
        </w:rPr>
        <w:t>Jama</w:t>
      </w:r>
      <w:r w:rsidR="00D57D48">
        <w:t>. 2015;314(10):1021-1029.</w:t>
      </w:r>
    </w:p>
    <w:p w14:paraId="357ABE26" w14:textId="77777777" w:rsidR="00D57D48" w:rsidRDefault="00D57D48" w:rsidP="00D57D48">
      <w:pPr>
        <w:pStyle w:val="Bibliography"/>
      </w:pPr>
      <w:r>
        <w:t xml:space="preserve">2. </w:t>
      </w:r>
      <w:r>
        <w:tab/>
      </w:r>
      <w:proofErr w:type="spellStart"/>
      <w:r>
        <w:t>Khavjou</w:t>
      </w:r>
      <w:proofErr w:type="spellEnd"/>
      <w:r>
        <w:t xml:space="preserve"> O, Phelps D, </w:t>
      </w:r>
      <w:proofErr w:type="spellStart"/>
      <w:r>
        <w:t>Leib</w:t>
      </w:r>
      <w:proofErr w:type="spellEnd"/>
      <w:r>
        <w:t xml:space="preserve"> A. Projections of cardiovascular disease prevalence and costs: 2015–2035. </w:t>
      </w:r>
      <w:r>
        <w:rPr>
          <w:i/>
          <w:iCs/>
        </w:rPr>
        <w:t>Am Heart Assoc</w:t>
      </w:r>
      <w:r>
        <w:t>. 2016.</w:t>
      </w:r>
    </w:p>
    <w:p w14:paraId="40DD7745" w14:textId="77777777" w:rsidR="00D57D48" w:rsidRDefault="00D57D48" w:rsidP="00D57D48">
      <w:pPr>
        <w:pStyle w:val="Bibliography"/>
      </w:pPr>
      <w:r>
        <w:t xml:space="preserve">3. </w:t>
      </w:r>
      <w:r>
        <w:tab/>
        <w:t xml:space="preserve">Murphy SL, Xu J, </w:t>
      </w:r>
      <w:proofErr w:type="spellStart"/>
      <w:r>
        <w:t>Kochanek</w:t>
      </w:r>
      <w:proofErr w:type="spellEnd"/>
      <w:r>
        <w:t xml:space="preserve"> KD, Arias E. Mortality in the United States, 2017. 2018.</w:t>
      </w:r>
    </w:p>
    <w:p w14:paraId="0B356624" w14:textId="77777777" w:rsidR="00D57D48" w:rsidRDefault="00D57D48" w:rsidP="00D57D48">
      <w:pPr>
        <w:pStyle w:val="Bibliography"/>
      </w:pPr>
      <w:r>
        <w:t xml:space="preserve">4. </w:t>
      </w:r>
      <w:r>
        <w:tab/>
      </w:r>
      <w:proofErr w:type="spellStart"/>
      <w:r>
        <w:t>Mozaffarian</w:t>
      </w:r>
      <w:proofErr w:type="spellEnd"/>
      <w:r>
        <w:t xml:space="preserve"> </w:t>
      </w:r>
      <w:proofErr w:type="spellStart"/>
      <w:r>
        <w:t>Dariush</w:t>
      </w:r>
      <w:proofErr w:type="spellEnd"/>
      <w:r>
        <w:t xml:space="preserve">, Benjamin Emelia J., Go Alan S., et al. Heart Disease and Stroke Statistics—2016 Update. </w:t>
      </w:r>
      <w:r>
        <w:rPr>
          <w:i/>
          <w:iCs/>
        </w:rPr>
        <w:t>Circulation</w:t>
      </w:r>
      <w:r>
        <w:t>. 2016;133(4</w:t>
      </w:r>
      <w:proofErr w:type="gramStart"/>
      <w:r>
        <w:t>):e</w:t>
      </w:r>
      <w:proofErr w:type="gramEnd"/>
      <w:r>
        <w:t>38-e360. doi:10.1161/CIR.0000000000000350</w:t>
      </w:r>
    </w:p>
    <w:p w14:paraId="1A9C1EEA" w14:textId="77777777" w:rsidR="00D57D48" w:rsidRDefault="00D57D48" w:rsidP="00D57D48">
      <w:pPr>
        <w:pStyle w:val="Bibliography"/>
      </w:pPr>
      <w:r>
        <w:t xml:space="preserve">5. </w:t>
      </w:r>
      <w:r>
        <w:tab/>
        <w:t xml:space="preserve">Ford ES. Trends in Predicted 10-Year Risk of Coronary Heart Disease and Cardiovascular Disease Among U.S. Adults From 1999 to 2010. </w:t>
      </w:r>
      <w:r>
        <w:rPr>
          <w:i/>
          <w:iCs/>
        </w:rPr>
        <w:t xml:space="preserve">J Am Coll </w:t>
      </w:r>
      <w:proofErr w:type="spellStart"/>
      <w:r>
        <w:rPr>
          <w:i/>
          <w:iCs/>
        </w:rPr>
        <w:t>Cardiol</w:t>
      </w:r>
      <w:proofErr w:type="spellEnd"/>
      <w:r>
        <w:t xml:space="preserve">. 2013;61(22):2249-2252. </w:t>
      </w:r>
      <w:proofErr w:type="gramStart"/>
      <w:r>
        <w:t>doi:10.1016/j.jacc</w:t>
      </w:r>
      <w:proofErr w:type="gramEnd"/>
      <w:r>
        <w:t>.2013.03.023</w:t>
      </w:r>
    </w:p>
    <w:p w14:paraId="725AB472" w14:textId="77777777" w:rsidR="00D57D48" w:rsidRDefault="00D57D48" w:rsidP="00D57D48">
      <w:pPr>
        <w:pStyle w:val="Bibliography"/>
      </w:pPr>
      <w:r>
        <w:t xml:space="preserve">6. </w:t>
      </w:r>
      <w:r>
        <w:tab/>
      </w:r>
      <w:proofErr w:type="spellStart"/>
      <w:r>
        <w:t>Imperatore</w:t>
      </w:r>
      <w:proofErr w:type="spellEnd"/>
      <w:r>
        <w:t xml:space="preserve"> G, Boyle JP, Thompson TJ, et al. Projections of Type 1 and Type 2 Diabetes Burden in the U.S. Population Aged &amp;lt;20 Years Through 2050: Dynamic modeling of incidence, mortality, and population growth. </w:t>
      </w:r>
      <w:r>
        <w:rPr>
          <w:i/>
          <w:iCs/>
        </w:rPr>
        <w:t>Diabetes Care</w:t>
      </w:r>
      <w:r>
        <w:t>. 2012;35(12):2515-2520. doi:10.2337/dc12-0669</w:t>
      </w:r>
    </w:p>
    <w:p w14:paraId="1CC97785" w14:textId="77777777" w:rsidR="00D57D48" w:rsidRDefault="00D57D48" w:rsidP="00D57D48">
      <w:pPr>
        <w:pStyle w:val="Bibliography"/>
      </w:pPr>
      <w:r>
        <w:t xml:space="preserve">7. </w:t>
      </w:r>
      <w:r>
        <w:tab/>
        <w:t xml:space="preserve">Dieleman JL, </w:t>
      </w:r>
      <w:proofErr w:type="spellStart"/>
      <w:r>
        <w:t>Baral</w:t>
      </w:r>
      <w:proofErr w:type="spellEnd"/>
      <w:r>
        <w:t xml:space="preserve"> R, Birger M, et al. US Spending on Personal Health Care and Public Health, 1996-2013. </w:t>
      </w:r>
      <w:r>
        <w:rPr>
          <w:i/>
          <w:iCs/>
        </w:rPr>
        <w:t>JAMA</w:t>
      </w:r>
      <w:r>
        <w:t>. 2016;316(24):2627. doi:10.1001/jama.2016.16885</w:t>
      </w:r>
    </w:p>
    <w:p w14:paraId="77FAF7C3" w14:textId="77777777" w:rsidR="00D57D48" w:rsidRDefault="00D57D48" w:rsidP="00D57D48">
      <w:pPr>
        <w:pStyle w:val="Bibliography"/>
      </w:pPr>
      <w:r>
        <w:t xml:space="preserve">8. </w:t>
      </w:r>
      <w:r>
        <w:tab/>
        <w:t xml:space="preserve">Murray CJ, Abraham J, Ali MK, et al. The state of US health, 1990-2010: burden of diseases, injuries, and risk factors. </w:t>
      </w:r>
      <w:r>
        <w:rPr>
          <w:i/>
          <w:iCs/>
        </w:rPr>
        <w:t>Jama</w:t>
      </w:r>
      <w:r>
        <w:t>. 2013;310(6):591-606.</w:t>
      </w:r>
    </w:p>
    <w:p w14:paraId="71FFFADC" w14:textId="77777777" w:rsidR="00D57D48" w:rsidRDefault="00D57D48" w:rsidP="00D57D48">
      <w:pPr>
        <w:pStyle w:val="Bibliography"/>
      </w:pPr>
      <w:r>
        <w:t xml:space="preserve">9. </w:t>
      </w:r>
      <w:r>
        <w:tab/>
      </w:r>
      <w:proofErr w:type="spellStart"/>
      <w:r>
        <w:t>Bommer</w:t>
      </w:r>
      <w:proofErr w:type="spellEnd"/>
      <w:r>
        <w:t xml:space="preserve"> C, </w:t>
      </w:r>
      <w:proofErr w:type="spellStart"/>
      <w:r>
        <w:t>Sagalova</w:t>
      </w:r>
      <w:proofErr w:type="spellEnd"/>
      <w:r>
        <w:t xml:space="preserve"> V, </w:t>
      </w:r>
      <w:proofErr w:type="spellStart"/>
      <w:r>
        <w:t>Heesemann</w:t>
      </w:r>
      <w:proofErr w:type="spellEnd"/>
      <w:r>
        <w:t xml:space="preserve"> E, et al. Global Economic Burden of Diabetes in Adults: Projections From 2015 to 2030. </w:t>
      </w:r>
      <w:r>
        <w:rPr>
          <w:i/>
          <w:iCs/>
        </w:rPr>
        <w:t>Diabetes Care</w:t>
      </w:r>
      <w:r>
        <w:t>. 2018;41(5):963-970. doi:10.2337/dc17-1962</w:t>
      </w:r>
    </w:p>
    <w:p w14:paraId="0447B00E" w14:textId="77777777" w:rsidR="00D57D48" w:rsidRDefault="00D57D48" w:rsidP="00D57D48">
      <w:pPr>
        <w:pStyle w:val="Bibliography"/>
      </w:pPr>
      <w:r>
        <w:t xml:space="preserve">10. </w:t>
      </w:r>
      <w:r>
        <w:tab/>
        <w:t xml:space="preserve">Zhang P, Zhang X, Brown J, et al. Global healthcare expenditure on diabetes for 2010 and 2030. </w:t>
      </w:r>
      <w:r>
        <w:rPr>
          <w:i/>
          <w:iCs/>
        </w:rPr>
        <w:t xml:space="preserve">Diabetes Res Clin </w:t>
      </w:r>
      <w:proofErr w:type="spellStart"/>
      <w:r>
        <w:rPr>
          <w:i/>
          <w:iCs/>
        </w:rPr>
        <w:t>Pract</w:t>
      </w:r>
      <w:proofErr w:type="spellEnd"/>
      <w:r>
        <w:t xml:space="preserve">. 2010;87(3):293-301. </w:t>
      </w:r>
      <w:proofErr w:type="gramStart"/>
      <w:r>
        <w:t>doi:10.1016/j.diabres</w:t>
      </w:r>
      <w:proofErr w:type="gramEnd"/>
      <w:r>
        <w:t>.2010.01.026</w:t>
      </w:r>
    </w:p>
    <w:p w14:paraId="4D39AC60" w14:textId="77777777" w:rsidR="00D57D48" w:rsidRDefault="00D57D48" w:rsidP="00D57D48">
      <w:pPr>
        <w:pStyle w:val="Bibliography"/>
      </w:pPr>
      <w:r>
        <w:t xml:space="preserve">11. </w:t>
      </w:r>
      <w:r>
        <w:tab/>
      </w:r>
      <w:proofErr w:type="spellStart"/>
      <w:r>
        <w:t>Kesselheim</w:t>
      </w:r>
      <w:proofErr w:type="spellEnd"/>
      <w:r>
        <w:t xml:space="preserve"> AS, </w:t>
      </w:r>
      <w:proofErr w:type="spellStart"/>
      <w:r>
        <w:t>Avorn</w:t>
      </w:r>
      <w:proofErr w:type="spellEnd"/>
      <w:r>
        <w:t xml:space="preserve"> J, </w:t>
      </w:r>
      <w:proofErr w:type="spellStart"/>
      <w:r>
        <w:t>Sarpatwari</w:t>
      </w:r>
      <w:proofErr w:type="spellEnd"/>
      <w:r>
        <w:t xml:space="preserve"> A. The High Cost of Prescription Drugs in the United States: Origins and Prospects for Reform. </w:t>
      </w:r>
      <w:r>
        <w:rPr>
          <w:i/>
          <w:iCs/>
        </w:rPr>
        <w:t>JAMA</w:t>
      </w:r>
      <w:r>
        <w:t>. 2016;316(8):858-871. doi:10.1001/jama.2016.11237</w:t>
      </w:r>
    </w:p>
    <w:p w14:paraId="3896CDEB" w14:textId="77777777" w:rsidR="00D57D48" w:rsidRDefault="00D57D48" w:rsidP="00D57D48">
      <w:pPr>
        <w:pStyle w:val="Bibliography"/>
      </w:pPr>
      <w:r>
        <w:t xml:space="preserve">12. </w:t>
      </w:r>
      <w:r>
        <w:tab/>
        <w:t xml:space="preserve">OECD. </w:t>
      </w:r>
      <w:r>
        <w:rPr>
          <w:i/>
          <w:iCs/>
        </w:rPr>
        <w:t xml:space="preserve">Health </w:t>
      </w:r>
      <w:proofErr w:type="gramStart"/>
      <w:r>
        <w:rPr>
          <w:i/>
          <w:iCs/>
        </w:rPr>
        <w:t>at a Glance</w:t>
      </w:r>
      <w:proofErr w:type="gramEnd"/>
      <w:r>
        <w:rPr>
          <w:i/>
          <w:iCs/>
        </w:rPr>
        <w:t xml:space="preserve"> 2015</w:t>
      </w:r>
      <w:r>
        <w:t>.; 2015. https://www.oecd-ilibrary.org/content/publication/health_glance-2015-en.</w:t>
      </w:r>
    </w:p>
    <w:p w14:paraId="0C66918E" w14:textId="77777777" w:rsidR="00D57D48" w:rsidRDefault="00D57D48" w:rsidP="00D57D48">
      <w:pPr>
        <w:pStyle w:val="Bibliography"/>
      </w:pPr>
      <w:r>
        <w:t xml:space="preserve">13. </w:t>
      </w:r>
      <w:r>
        <w:tab/>
        <w:t xml:space="preserve">Hua X, Carvalho N, </w:t>
      </w:r>
      <w:proofErr w:type="spellStart"/>
      <w:r>
        <w:t>Tew</w:t>
      </w:r>
      <w:proofErr w:type="spellEnd"/>
      <w:r>
        <w:t xml:space="preserve"> M, Huang ES, Herman WH, Clarke P. Expenditures and prices of antihyperglycemic medications in the United States: 2002-2013. </w:t>
      </w:r>
      <w:r>
        <w:rPr>
          <w:i/>
          <w:iCs/>
        </w:rPr>
        <w:t>Jama</w:t>
      </w:r>
      <w:r>
        <w:t>. 2016;315(13):1400-1402.</w:t>
      </w:r>
    </w:p>
    <w:p w14:paraId="55EABE9D" w14:textId="77777777" w:rsidR="00D57D48" w:rsidRDefault="00D57D48" w:rsidP="00D57D48">
      <w:pPr>
        <w:pStyle w:val="Bibliography"/>
      </w:pPr>
      <w:r>
        <w:t xml:space="preserve">14. </w:t>
      </w:r>
      <w:r>
        <w:tab/>
      </w:r>
      <w:proofErr w:type="spellStart"/>
      <w:r>
        <w:t>Biniek</w:t>
      </w:r>
      <w:proofErr w:type="spellEnd"/>
      <w:r>
        <w:t xml:space="preserve"> JF, Johnson W. </w:t>
      </w:r>
      <w:r>
        <w:rPr>
          <w:i/>
          <w:iCs/>
        </w:rPr>
        <w:t>Spending on Individuals with Type 1 Diabetes and the Role of Rapidly Increasing Insulin Prices</w:t>
      </w:r>
      <w:r>
        <w:t>. Health Care Cost Institute; 2019.</w:t>
      </w:r>
    </w:p>
    <w:p w14:paraId="299F788F" w14:textId="77777777" w:rsidR="00D57D48" w:rsidRDefault="00D57D48" w:rsidP="00D57D48">
      <w:pPr>
        <w:pStyle w:val="Bibliography"/>
      </w:pPr>
      <w:r>
        <w:t xml:space="preserve">15. </w:t>
      </w:r>
      <w:r>
        <w:tab/>
      </w:r>
      <w:proofErr w:type="spellStart"/>
      <w:r>
        <w:t>McHorney</w:t>
      </w:r>
      <w:proofErr w:type="spellEnd"/>
      <w:r>
        <w:t xml:space="preserve"> CA, Spain CV. Frequency of and reasons for medication non‐fulfillment and non‐persistence among American adults with chronic disease in 2008. </w:t>
      </w:r>
      <w:r>
        <w:rPr>
          <w:i/>
          <w:iCs/>
        </w:rPr>
        <w:t xml:space="preserve">Health Expect Int J Public </w:t>
      </w:r>
      <w:proofErr w:type="spellStart"/>
      <w:r>
        <w:rPr>
          <w:i/>
          <w:iCs/>
        </w:rPr>
        <w:t>Particip</w:t>
      </w:r>
      <w:proofErr w:type="spellEnd"/>
      <w:r>
        <w:rPr>
          <w:i/>
          <w:iCs/>
        </w:rPr>
        <w:t xml:space="preserve"> Health Care Health Policy</w:t>
      </w:r>
      <w:r>
        <w:t>. 2011;14(3):307-320. doi:10.1111/j.1369-7625.</w:t>
      </w:r>
      <w:proofErr w:type="gramStart"/>
      <w:r>
        <w:t>2010.00619.x</w:t>
      </w:r>
      <w:proofErr w:type="gramEnd"/>
    </w:p>
    <w:p w14:paraId="65E0D286" w14:textId="77777777" w:rsidR="00D57D48" w:rsidRDefault="00D57D48" w:rsidP="00D57D48">
      <w:pPr>
        <w:pStyle w:val="Bibliography"/>
      </w:pPr>
      <w:r>
        <w:lastRenderedPageBreak/>
        <w:t xml:space="preserve">16. </w:t>
      </w:r>
      <w:r>
        <w:tab/>
        <w:t xml:space="preserve">Pierre-Jacques M, Safran DG, Zhang F, et al. Reliability of New Measures of Cost-Related Medication Nonadherence. </w:t>
      </w:r>
      <w:r>
        <w:rPr>
          <w:i/>
          <w:iCs/>
        </w:rPr>
        <w:t>Med Care</w:t>
      </w:r>
      <w:r>
        <w:t>. 2008;46(4):444. doi:10.1097/MLR.0b013e31815dc59a</w:t>
      </w:r>
    </w:p>
    <w:p w14:paraId="7CF950F1" w14:textId="77777777" w:rsidR="00D57D48" w:rsidRDefault="00D57D48" w:rsidP="00D57D48">
      <w:pPr>
        <w:pStyle w:val="Bibliography"/>
      </w:pPr>
      <w:r>
        <w:t xml:space="preserve">17. </w:t>
      </w:r>
      <w:r>
        <w:tab/>
        <w:t xml:space="preserve">Roebuck MC, Liberman JN, Gemmill-Toyama M, Brennan TA. Medication Adherence Leads </w:t>
      </w:r>
      <w:proofErr w:type="gramStart"/>
      <w:r>
        <w:t>To</w:t>
      </w:r>
      <w:proofErr w:type="gramEnd"/>
      <w:r>
        <w:t xml:space="preserve"> Lower Health Care Use And Costs Despite Increased Drug Spending. </w:t>
      </w:r>
      <w:r>
        <w:rPr>
          <w:i/>
          <w:iCs/>
        </w:rPr>
        <w:t xml:space="preserve">Health </w:t>
      </w:r>
      <w:proofErr w:type="spellStart"/>
      <w:r>
        <w:rPr>
          <w:i/>
          <w:iCs/>
        </w:rPr>
        <w:t>Affai</w:t>
      </w:r>
      <w:proofErr w:type="spellEnd"/>
      <w:r>
        <w:rPr>
          <w:i/>
          <w:iCs/>
        </w:rPr>
        <w:t xml:space="preserve"> Rs</w:t>
      </w:r>
      <w:r>
        <w:t>. 2011:9.</w:t>
      </w:r>
    </w:p>
    <w:p w14:paraId="03A32DD5" w14:textId="77777777" w:rsidR="00D57D48" w:rsidRDefault="00D57D48" w:rsidP="00D57D48">
      <w:pPr>
        <w:pStyle w:val="Bibliography"/>
      </w:pPr>
      <w:r>
        <w:t xml:space="preserve">18. </w:t>
      </w:r>
      <w:r>
        <w:tab/>
        <w:t xml:space="preserve">Jensen GA, Li Y. Long-run health effects of cost-related non-adherence to prescribed medications among adults in late midlife: Long-run health effects, cost-related non-adherence. </w:t>
      </w:r>
      <w:r>
        <w:rPr>
          <w:i/>
          <w:iCs/>
        </w:rPr>
        <w:t>J Pharm Health Serv Res</w:t>
      </w:r>
      <w:r>
        <w:t>. 2012;3(2):85-93. doi:10.1111/j.1759-8893.</w:t>
      </w:r>
      <w:proofErr w:type="gramStart"/>
      <w:r>
        <w:t>2012.00087.x</w:t>
      </w:r>
      <w:proofErr w:type="gramEnd"/>
    </w:p>
    <w:p w14:paraId="2621F6A8" w14:textId="77777777" w:rsidR="00D57D48" w:rsidRDefault="00D57D48" w:rsidP="00D57D48">
      <w:pPr>
        <w:pStyle w:val="Bibliography"/>
      </w:pPr>
      <w:r>
        <w:t xml:space="preserve">19. </w:t>
      </w:r>
      <w:r>
        <w:tab/>
        <w:t xml:space="preserve">Blanchard J, Madden JM, Ross-Degnan D, </w:t>
      </w:r>
      <w:proofErr w:type="spellStart"/>
      <w:r>
        <w:t>Soumerai</w:t>
      </w:r>
      <w:proofErr w:type="spellEnd"/>
      <w:r>
        <w:t xml:space="preserve"> SB. The Relationship Between Emergency Department Use and Cost-Related Medication Nonadherence Among Medicare Beneficiaries. </w:t>
      </w:r>
      <w:r>
        <w:rPr>
          <w:i/>
          <w:iCs/>
        </w:rPr>
        <w:t xml:space="preserve">Ann </w:t>
      </w:r>
      <w:proofErr w:type="spellStart"/>
      <w:r>
        <w:rPr>
          <w:i/>
          <w:iCs/>
        </w:rPr>
        <w:t>Emerg</w:t>
      </w:r>
      <w:proofErr w:type="spellEnd"/>
      <w:r>
        <w:rPr>
          <w:i/>
          <w:iCs/>
        </w:rPr>
        <w:t xml:space="preserve"> Med</w:t>
      </w:r>
      <w:r>
        <w:t xml:space="preserve">. 2013;62(5). </w:t>
      </w:r>
      <w:proofErr w:type="gramStart"/>
      <w:r>
        <w:t>doi:10.1016/j.annemergmed</w:t>
      </w:r>
      <w:proofErr w:type="gramEnd"/>
      <w:r>
        <w:t>.2013.04.013</w:t>
      </w:r>
    </w:p>
    <w:p w14:paraId="0000604E" w14:textId="77777777" w:rsidR="00D57D48" w:rsidRDefault="00D57D48" w:rsidP="00D57D48">
      <w:pPr>
        <w:pStyle w:val="Bibliography"/>
      </w:pPr>
      <w:r>
        <w:t xml:space="preserve">20. </w:t>
      </w:r>
      <w:r>
        <w:tab/>
        <w:t>Cutler RL, Fernandez-</w:t>
      </w:r>
      <w:proofErr w:type="spellStart"/>
      <w:r>
        <w:t>Llimos</w:t>
      </w:r>
      <w:proofErr w:type="spellEnd"/>
      <w:r>
        <w:t xml:space="preserve"> F, </w:t>
      </w:r>
      <w:proofErr w:type="spellStart"/>
      <w:r>
        <w:t>Frommer</w:t>
      </w:r>
      <w:proofErr w:type="spellEnd"/>
      <w:r>
        <w:t xml:space="preserve"> M, </w:t>
      </w:r>
      <w:proofErr w:type="spellStart"/>
      <w:r>
        <w:t>Benrimoj</w:t>
      </w:r>
      <w:proofErr w:type="spellEnd"/>
      <w:r>
        <w:t xml:space="preserve"> C, Garcia-Cardenas V. Economic impact of medication non-adherence by disease groups: a systematic review. </w:t>
      </w:r>
      <w:r>
        <w:rPr>
          <w:i/>
          <w:iCs/>
        </w:rPr>
        <w:t>BMJ Open</w:t>
      </w:r>
      <w:r>
        <w:t>. 2018;8(1</w:t>
      </w:r>
      <w:proofErr w:type="gramStart"/>
      <w:r>
        <w:t>):e</w:t>
      </w:r>
      <w:proofErr w:type="gramEnd"/>
      <w:r>
        <w:t>016982. doi:10.1136/bmjopen-2017-016982</w:t>
      </w:r>
    </w:p>
    <w:p w14:paraId="297B3893" w14:textId="77777777" w:rsidR="00D57D48" w:rsidRDefault="00D57D48" w:rsidP="00D57D48">
      <w:pPr>
        <w:pStyle w:val="Bibliography"/>
      </w:pPr>
      <w:r>
        <w:t xml:space="preserve">21. </w:t>
      </w:r>
      <w:r>
        <w:tab/>
        <w:t xml:space="preserve">Lloyd JT, </w:t>
      </w:r>
      <w:proofErr w:type="spellStart"/>
      <w:r>
        <w:t>Maresh</w:t>
      </w:r>
      <w:proofErr w:type="spellEnd"/>
      <w:r>
        <w:t xml:space="preserve"> S, Powers CA, Shrank WH, Alley DE. How Much Does Medication Nonadherence Cost the Medicare Fee-for-Service </w:t>
      </w:r>
      <w:proofErr w:type="gramStart"/>
      <w:r>
        <w:t>Program?:</w:t>
      </w:r>
      <w:proofErr w:type="gramEnd"/>
      <w:r>
        <w:t xml:space="preserve"> </w:t>
      </w:r>
      <w:r>
        <w:rPr>
          <w:i/>
          <w:iCs/>
        </w:rPr>
        <w:t>Med Care</w:t>
      </w:r>
      <w:r>
        <w:t>. 2019;57(3):218-224. doi:10.1097/MLR.0000000000001067</w:t>
      </w:r>
    </w:p>
    <w:p w14:paraId="773627A2" w14:textId="77777777" w:rsidR="00D57D48" w:rsidRDefault="00D57D48" w:rsidP="00D57D48">
      <w:pPr>
        <w:pStyle w:val="Bibliography"/>
      </w:pPr>
      <w:r>
        <w:t xml:space="preserve">22. </w:t>
      </w:r>
      <w:r>
        <w:tab/>
        <w:t xml:space="preserve">Kennedy J, Wood EG. Medication Costs and Adherence of Treatment Before and After the Affordable Care Act: 1999–2015. </w:t>
      </w:r>
      <w:r>
        <w:rPr>
          <w:i/>
          <w:iCs/>
        </w:rPr>
        <w:t>Am J Public Health</w:t>
      </w:r>
      <w:r>
        <w:t>. 2016;106(10):1804-1807. doi:10.2105/AJPH.2016.303269</w:t>
      </w:r>
    </w:p>
    <w:p w14:paraId="739B5D5F" w14:textId="77777777" w:rsidR="00D57D48" w:rsidRDefault="00D57D48" w:rsidP="00D57D48">
      <w:pPr>
        <w:pStyle w:val="Bibliography"/>
      </w:pPr>
      <w:r>
        <w:t xml:space="preserve">23. </w:t>
      </w:r>
      <w:r>
        <w:tab/>
        <w:t xml:space="preserve">T1International. </w:t>
      </w:r>
      <w:r>
        <w:rPr>
          <w:i/>
          <w:iCs/>
        </w:rPr>
        <w:t>Costs and Rationing of Insulin and Diabetes Supplies: Findings from the 2018 T1International Patient Survey</w:t>
      </w:r>
      <w:r>
        <w:t>.; 2018:1-16. https://www.t1international.com/media/assets/file/T1International_Report_-_Costs_and_Rationing_of_Insulin__Diabetes_Supplies_2.pdf. Accessed October 17, 2019.</w:t>
      </w:r>
    </w:p>
    <w:p w14:paraId="2A59F887" w14:textId="77777777" w:rsidR="00D57D48" w:rsidRDefault="00D57D48" w:rsidP="00D57D48">
      <w:pPr>
        <w:pStyle w:val="Bibliography"/>
      </w:pPr>
      <w:r>
        <w:t xml:space="preserve">24. </w:t>
      </w:r>
      <w:r>
        <w:tab/>
      </w:r>
      <w:proofErr w:type="spellStart"/>
      <w:r>
        <w:t>Herkert</w:t>
      </w:r>
      <w:proofErr w:type="spellEnd"/>
      <w:r>
        <w:t xml:space="preserve"> D, Vijayakumar P, Luo J, et al. Cost-Related Insulin Underuse Among Patients </w:t>
      </w:r>
      <w:proofErr w:type="gramStart"/>
      <w:r>
        <w:t>With</w:t>
      </w:r>
      <w:proofErr w:type="gramEnd"/>
      <w:r>
        <w:t xml:space="preserve"> Diabetes. </w:t>
      </w:r>
      <w:r>
        <w:rPr>
          <w:i/>
          <w:iCs/>
        </w:rPr>
        <w:t>JAMA Intern Med</w:t>
      </w:r>
      <w:r>
        <w:t>. 2019;179(1):112-114. doi:10.1001/jamainternmed.2018.5008</w:t>
      </w:r>
    </w:p>
    <w:p w14:paraId="58A025FD" w14:textId="77777777" w:rsidR="00D57D48" w:rsidRDefault="00D57D48" w:rsidP="00D57D48">
      <w:pPr>
        <w:pStyle w:val="Bibliography"/>
      </w:pPr>
      <w:r>
        <w:t xml:space="preserve">25. </w:t>
      </w:r>
      <w:r>
        <w:tab/>
        <w:t xml:space="preserve">Tong X, Chu EK, Fang J, Wall HK, Ayala C. Nonadherence to Antihypertensive Medication Among Hypertensive Adults in the United </w:t>
      </w:r>
      <w:proofErr w:type="spellStart"/>
      <w:r>
        <w:t>States─HealthStyles</w:t>
      </w:r>
      <w:proofErr w:type="spellEnd"/>
      <w:r>
        <w:t xml:space="preserve">, 2010. </w:t>
      </w:r>
      <w:r>
        <w:rPr>
          <w:i/>
          <w:iCs/>
        </w:rPr>
        <w:t xml:space="preserve">J Clin </w:t>
      </w:r>
      <w:proofErr w:type="spellStart"/>
      <w:r>
        <w:rPr>
          <w:i/>
          <w:iCs/>
        </w:rPr>
        <w:t>Hypertens</w:t>
      </w:r>
      <w:proofErr w:type="spellEnd"/>
      <w:r>
        <w:t>. 2016;18(9):892-900. doi:10.1111/jch.12786</w:t>
      </w:r>
    </w:p>
    <w:p w14:paraId="12DE37AD" w14:textId="77777777" w:rsidR="00D57D48" w:rsidRDefault="00D57D48" w:rsidP="00D57D48">
      <w:pPr>
        <w:pStyle w:val="Bibliography"/>
      </w:pPr>
      <w:r>
        <w:t xml:space="preserve">26. </w:t>
      </w:r>
      <w:r>
        <w:tab/>
        <w:t xml:space="preserve">Marcum ZA, Zheng Y, </w:t>
      </w:r>
      <w:proofErr w:type="spellStart"/>
      <w:r>
        <w:t>Perera</w:t>
      </w:r>
      <w:proofErr w:type="spellEnd"/>
      <w:r>
        <w:t xml:space="preserve"> S, et al. Prevalence and Correlates of Self-Reported Medication Non-Adherence among Older Adults with Coronary Heart Disease, Diabetes Mellitus, and/or Hypertension. </w:t>
      </w:r>
      <w:r>
        <w:rPr>
          <w:i/>
          <w:iCs/>
        </w:rPr>
        <w:t>Res Soc Adm Pharm RSAP</w:t>
      </w:r>
      <w:r>
        <w:t xml:space="preserve">. 2013;9(6). </w:t>
      </w:r>
      <w:proofErr w:type="gramStart"/>
      <w:r>
        <w:t>doi:10.1016/j.sapharm</w:t>
      </w:r>
      <w:proofErr w:type="gramEnd"/>
      <w:r>
        <w:t>.2012.12.002</w:t>
      </w:r>
    </w:p>
    <w:p w14:paraId="720A9660" w14:textId="77777777" w:rsidR="00D57D48" w:rsidRDefault="00D57D48" w:rsidP="00D57D48">
      <w:pPr>
        <w:pStyle w:val="Bibliography"/>
      </w:pPr>
      <w:r>
        <w:t xml:space="preserve">27. </w:t>
      </w:r>
      <w:r>
        <w:tab/>
        <w:t xml:space="preserve">Ho PM, Rumsfeld JS, </w:t>
      </w:r>
      <w:proofErr w:type="spellStart"/>
      <w:r>
        <w:t>Masoudi</w:t>
      </w:r>
      <w:proofErr w:type="spellEnd"/>
      <w:r>
        <w:t xml:space="preserve"> FA, et al. Effect of Medication Nonadherence on Hospitalization and Mortality Among Patients </w:t>
      </w:r>
      <w:proofErr w:type="gramStart"/>
      <w:r>
        <w:t>With</w:t>
      </w:r>
      <w:proofErr w:type="gramEnd"/>
      <w:r>
        <w:t xml:space="preserve"> Diabetes Mellitus. </w:t>
      </w:r>
      <w:r>
        <w:rPr>
          <w:i/>
          <w:iCs/>
        </w:rPr>
        <w:t>Arch Intern Med</w:t>
      </w:r>
      <w:r>
        <w:t>. 2006;166(17):1836-1841. doi:10.1001/archinte.166.17.1836</w:t>
      </w:r>
    </w:p>
    <w:p w14:paraId="1B37D95D" w14:textId="77777777" w:rsidR="00D57D48" w:rsidRDefault="00D57D48" w:rsidP="00D57D48">
      <w:pPr>
        <w:pStyle w:val="Bibliography"/>
      </w:pPr>
      <w:r>
        <w:t xml:space="preserve">28. </w:t>
      </w:r>
      <w:r>
        <w:tab/>
      </w:r>
      <w:proofErr w:type="spellStart"/>
      <w:r>
        <w:t>Egede</w:t>
      </w:r>
      <w:proofErr w:type="spellEnd"/>
      <w:r>
        <w:t xml:space="preserve"> LE, </w:t>
      </w:r>
      <w:proofErr w:type="spellStart"/>
      <w:r>
        <w:t>Gebregziabher</w:t>
      </w:r>
      <w:proofErr w:type="spellEnd"/>
      <w:r>
        <w:t xml:space="preserve"> M, Echols C, Lynch CP. Longitudinal Effects of Medication Nonadherence on Glycemic Control. </w:t>
      </w:r>
      <w:r>
        <w:rPr>
          <w:i/>
          <w:iCs/>
        </w:rPr>
        <w:t xml:space="preserve">Ann </w:t>
      </w:r>
      <w:proofErr w:type="spellStart"/>
      <w:r>
        <w:rPr>
          <w:i/>
          <w:iCs/>
        </w:rPr>
        <w:t>Pharmacother</w:t>
      </w:r>
      <w:proofErr w:type="spellEnd"/>
      <w:r>
        <w:t>. 2014;48(5):562-570. doi:10.1177/1060028014526362</w:t>
      </w:r>
    </w:p>
    <w:p w14:paraId="489A7B42" w14:textId="77777777" w:rsidR="00D57D48" w:rsidRDefault="00D57D48" w:rsidP="00D57D48">
      <w:pPr>
        <w:pStyle w:val="Bibliography"/>
      </w:pPr>
      <w:r>
        <w:lastRenderedPageBreak/>
        <w:t xml:space="preserve">29. </w:t>
      </w:r>
      <w:r>
        <w:tab/>
        <w:t xml:space="preserve">Rasmussen JN, Chong A, Alter DA. Relationship Between Adherence to Evidence-Based Pharmacotherapy and Long-term Mortality After Acute Myocardial Infarction. </w:t>
      </w:r>
      <w:r>
        <w:rPr>
          <w:i/>
          <w:iCs/>
        </w:rPr>
        <w:t>JAMA</w:t>
      </w:r>
      <w:r>
        <w:t>. 2007;297(2):177-186. doi:10.1001/jama.297.2.177</w:t>
      </w:r>
    </w:p>
    <w:p w14:paraId="69776ED6" w14:textId="77777777" w:rsidR="00D57D48" w:rsidRDefault="00D57D48" w:rsidP="00D57D48">
      <w:pPr>
        <w:pStyle w:val="Bibliography"/>
      </w:pPr>
      <w:r>
        <w:t xml:space="preserve">30. </w:t>
      </w:r>
      <w:r>
        <w:tab/>
        <w:t xml:space="preserve">Ho PM, </w:t>
      </w:r>
      <w:proofErr w:type="spellStart"/>
      <w:r>
        <w:t>Magid</w:t>
      </w:r>
      <w:proofErr w:type="spellEnd"/>
      <w:r>
        <w:t xml:space="preserve"> DJ, Shetterly SM, et al. Medication nonadherence is associated with a broad range of adverse outcomes in patients with coronary artery disease. </w:t>
      </w:r>
      <w:r>
        <w:rPr>
          <w:i/>
          <w:iCs/>
        </w:rPr>
        <w:t>Am Heart J</w:t>
      </w:r>
      <w:r>
        <w:t xml:space="preserve">. 2008;155(4):772-779. </w:t>
      </w:r>
      <w:proofErr w:type="gramStart"/>
      <w:r>
        <w:t>doi:10.1016/j.ahj</w:t>
      </w:r>
      <w:proofErr w:type="gramEnd"/>
      <w:r>
        <w:t>.2007.12.011</w:t>
      </w:r>
    </w:p>
    <w:p w14:paraId="25E3FC1C" w14:textId="77777777" w:rsidR="00D57D48" w:rsidRDefault="00D57D48" w:rsidP="00D57D48">
      <w:pPr>
        <w:pStyle w:val="Bibliography"/>
      </w:pPr>
      <w:r>
        <w:t xml:space="preserve">31. </w:t>
      </w:r>
      <w:r>
        <w:tab/>
        <w:t xml:space="preserve">Heisler M, </w:t>
      </w:r>
      <w:proofErr w:type="spellStart"/>
      <w:r>
        <w:t>Langa</w:t>
      </w:r>
      <w:proofErr w:type="spellEnd"/>
      <w:r>
        <w:t xml:space="preserve"> KM, </w:t>
      </w:r>
      <w:proofErr w:type="spellStart"/>
      <w:r>
        <w:t>Eby</w:t>
      </w:r>
      <w:proofErr w:type="spellEnd"/>
      <w:r>
        <w:t xml:space="preserve"> EL, </w:t>
      </w:r>
      <w:proofErr w:type="spellStart"/>
      <w:r>
        <w:t>Fendrick</w:t>
      </w:r>
      <w:proofErr w:type="spellEnd"/>
      <w:r>
        <w:t xml:space="preserve"> AM, </w:t>
      </w:r>
      <w:proofErr w:type="spellStart"/>
      <w:r>
        <w:t>Kabeto</w:t>
      </w:r>
      <w:proofErr w:type="spellEnd"/>
      <w:r>
        <w:t xml:space="preserve"> MU, </w:t>
      </w:r>
      <w:proofErr w:type="spellStart"/>
      <w:r>
        <w:t>Piette</w:t>
      </w:r>
      <w:proofErr w:type="spellEnd"/>
      <w:r>
        <w:t xml:space="preserve"> JD. The health effects of restricting prescription medication use because of cost. </w:t>
      </w:r>
      <w:r>
        <w:rPr>
          <w:i/>
          <w:iCs/>
        </w:rPr>
        <w:t>Med Care</w:t>
      </w:r>
      <w:r>
        <w:t xml:space="preserve">. 2004;42(7):626-634. </w:t>
      </w:r>
      <w:proofErr w:type="gramStart"/>
      <w:r>
        <w:t>doi:10.1097/01.mlr</w:t>
      </w:r>
      <w:proofErr w:type="gramEnd"/>
      <w:r>
        <w:t>.0000129352.36733.cc</w:t>
      </w:r>
    </w:p>
    <w:p w14:paraId="364B7505" w14:textId="77777777" w:rsidR="00D57D48" w:rsidRDefault="00D57D48" w:rsidP="00D57D48">
      <w:pPr>
        <w:pStyle w:val="Bibliography"/>
      </w:pPr>
      <w:r>
        <w:t xml:space="preserve">32. </w:t>
      </w:r>
      <w:r>
        <w:tab/>
        <w:t xml:space="preserve">Lynn A. </w:t>
      </w:r>
      <w:proofErr w:type="spellStart"/>
      <w:r>
        <w:t>Blewett</w:t>
      </w:r>
      <w:proofErr w:type="spellEnd"/>
      <w:r>
        <w:t xml:space="preserve">, Rivera Drew JA, King ML, Williams KCW. IPUMS Health Surveys: National Health Interview </w:t>
      </w:r>
      <w:proofErr w:type="spellStart"/>
      <w:r>
        <w:t>Survery</w:t>
      </w:r>
      <w:proofErr w:type="spellEnd"/>
      <w:r>
        <w:t>, Version 6.4 [dataset]. 2019.</w:t>
      </w:r>
    </w:p>
    <w:p w14:paraId="07D51929" w14:textId="77777777" w:rsidR="00D57D48" w:rsidRDefault="00D57D48" w:rsidP="00D57D48">
      <w:pPr>
        <w:pStyle w:val="Bibliography"/>
      </w:pPr>
      <w:r>
        <w:t xml:space="preserve">33. </w:t>
      </w:r>
      <w:r>
        <w:tab/>
        <w:t>NHIS - About the National Health Interview Survey. https://www.cdc.gov/nchs/nhis/about_nhis.htm. Published June 28, 2019. Accessed October 20, 2019.</w:t>
      </w:r>
    </w:p>
    <w:p w14:paraId="1532F34B" w14:textId="77777777" w:rsidR="00D57D48" w:rsidRDefault="00D57D48" w:rsidP="00D57D48">
      <w:pPr>
        <w:pStyle w:val="Bibliography"/>
      </w:pPr>
      <w:r>
        <w:t xml:space="preserve">34. </w:t>
      </w:r>
      <w:r>
        <w:tab/>
        <w:t xml:space="preserve">Patel MR, </w:t>
      </w:r>
      <w:proofErr w:type="spellStart"/>
      <w:r>
        <w:t>Piette</w:t>
      </w:r>
      <w:proofErr w:type="spellEnd"/>
      <w:r>
        <w:t xml:space="preserve"> JD, </w:t>
      </w:r>
      <w:proofErr w:type="spellStart"/>
      <w:r>
        <w:t>Resnicow</w:t>
      </w:r>
      <w:proofErr w:type="spellEnd"/>
      <w:r>
        <w:t xml:space="preserve"> K, Kowalski-Dobson T, Heisler M. Social determinants of health, cost-related non-adherence, and cost-reducing behaviors among adults with diabetes: findings from the National Health Interview Survey. </w:t>
      </w:r>
      <w:r>
        <w:rPr>
          <w:i/>
          <w:iCs/>
        </w:rPr>
        <w:t>Med Care</w:t>
      </w:r>
      <w:r>
        <w:t>. 2016;54(8):796-803. doi:10.1097/MLR.0000000000000565</w:t>
      </w:r>
    </w:p>
    <w:p w14:paraId="5EAC3CF7" w14:textId="77777777" w:rsidR="00D57D48" w:rsidRDefault="00D57D48" w:rsidP="00D57D48">
      <w:pPr>
        <w:pStyle w:val="Bibliography"/>
      </w:pPr>
      <w:r>
        <w:t xml:space="preserve">35. </w:t>
      </w:r>
      <w:r>
        <w:tab/>
      </w:r>
      <w:proofErr w:type="spellStart"/>
      <w:r>
        <w:t>Bhuyan</w:t>
      </w:r>
      <w:proofErr w:type="spellEnd"/>
      <w:r>
        <w:t xml:space="preserve"> SS, </w:t>
      </w:r>
      <w:proofErr w:type="spellStart"/>
      <w:r>
        <w:t>Shiyanbola</w:t>
      </w:r>
      <w:proofErr w:type="spellEnd"/>
      <w:r>
        <w:t xml:space="preserve"> O, Deka P, et al. The Role of Gender in Cost-Related Medication Nonadherence Among Patients with Diabetes. </w:t>
      </w:r>
      <w:r>
        <w:rPr>
          <w:i/>
          <w:iCs/>
        </w:rPr>
        <w:t>J Am Board Fam Med</w:t>
      </w:r>
      <w:r>
        <w:t>. 2018;31(5):743-751. doi:10.3122/jabfm.2018.05.180039</w:t>
      </w:r>
    </w:p>
    <w:p w14:paraId="10ABBCD4" w14:textId="77777777" w:rsidR="00D57D48" w:rsidRDefault="00D57D48" w:rsidP="00D57D48">
      <w:pPr>
        <w:pStyle w:val="Bibliography"/>
      </w:pPr>
      <w:r>
        <w:t xml:space="preserve">36. </w:t>
      </w:r>
      <w:r>
        <w:tab/>
      </w:r>
      <w:proofErr w:type="spellStart"/>
      <w:r>
        <w:t>Abegaz</w:t>
      </w:r>
      <w:proofErr w:type="spellEnd"/>
      <w:r>
        <w:t xml:space="preserve"> TM, Shehab A, </w:t>
      </w:r>
      <w:proofErr w:type="spellStart"/>
      <w:r>
        <w:t>Gebreyohannes</w:t>
      </w:r>
      <w:proofErr w:type="spellEnd"/>
      <w:r>
        <w:t xml:space="preserve"> EA, </w:t>
      </w:r>
      <w:proofErr w:type="spellStart"/>
      <w:r>
        <w:t>Bhagavathula</w:t>
      </w:r>
      <w:proofErr w:type="spellEnd"/>
      <w:r>
        <w:t xml:space="preserve"> AS, </w:t>
      </w:r>
      <w:proofErr w:type="spellStart"/>
      <w:r>
        <w:t>Elnour</w:t>
      </w:r>
      <w:proofErr w:type="spellEnd"/>
      <w:r>
        <w:t xml:space="preserve"> AA. Nonadherence to antihypertensive drugs. </w:t>
      </w:r>
      <w:r>
        <w:rPr>
          <w:i/>
          <w:iCs/>
        </w:rPr>
        <w:t>Medicine (Baltimore)</w:t>
      </w:r>
      <w:r>
        <w:t>. 2017;96(4). doi:10.1097/MD.0000000000005641</w:t>
      </w:r>
    </w:p>
    <w:p w14:paraId="2777D67A" w14:textId="77777777" w:rsidR="00D57D48" w:rsidRDefault="00D57D48" w:rsidP="00D57D48">
      <w:pPr>
        <w:pStyle w:val="Bibliography"/>
      </w:pPr>
      <w:r>
        <w:t xml:space="preserve">37. </w:t>
      </w:r>
      <w:r>
        <w:tab/>
        <w:t xml:space="preserve">Heisler M, Wagner TH, </w:t>
      </w:r>
      <w:proofErr w:type="spellStart"/>
      <w:r>
        <w:t>Piette</w:t>
      </w:r>
      <w:proofErr w:type="spellEnd"/>
      <w:r>
        <w:t xml:space="preserve"> JD. Patient Strategies to Cope with High Prescription Medication Costs: Who is Cutting Back on Necessities, Increasing Debt, or Underusing Medications? </w:t>
      </w:r>
      <w:r>
        <w:rPr>
          <w:i/>
          <w:iCs/>
        </w:rPr>
        <w:t xml:space="preserve">J </w:t>
      </w:r>
      <w:proofErr w:type="spellStart"/>
      <w:r>
        <w:rPr>
          <w:i/>
          <w:iCs/>
        </w:rPr>
        <w:t>Behav</w:t>
      </w:r>
      <w:proofErr w:type="spellEnd"/>
      <w:r>
        <w:rPr>
          <w:i/>
          <w:iCs/>
        </w:rPr>
        <w:t xml:space="preserve"> Med</w:t>
      </w:r>
      <w:r>
        <w:t>. 2005;28(1):43-51. doi:10.1007/s10865-005-2562-z</w:t>
      </w:r>
    </w:p>
    <w:p w14:paraId="3B6BC868" w14:textId="77777777" w:rsidR="00D57D48" w:rsidRDefault="00D57D48" w:rsidP="00D57D48">
      <w:pPr>
        <w:pStyle w:val="Bibliography"/>
      </w:pPr>
      <w:r>
        <w:t xml:space="preserve">38. </w:t>
      </w:r>
      <w:r>
        <w:tab/>
      </w:r>
      <w:proofErr w:type="spellStart"/>
      <w:r>
        <w:t>Westreich</w:t>
      </w:r>
      <w:proofErr w:type="spellEnd"/>
      <w:r>
        <w:t xml:space="preserve"> D, Greenland S. The Table 2 Fallacy: Presenting and Interpreting Confounder and Modifier Coefficients. </w:t>
      </w:r>
      <w:r>
        <w:rPr>
          <w:i/>
          <w:iCs/>
        </w:rPr>
        <w:t>Am J Epidemiol</w:t>
      </w:r>
      <w:r>
        <w:t>. 2013;177(4):292-298. doi:10.1093/</w:t>
      </w:r>
      <w:proofErr w:type="spellStart"/>
      <w:r>
        <w:t>aje</w:t>
      </w:r>
      <w:proofErr w:type="spellEnd"/>
      <w:r>
        <w:t>/kws412</w:t>
      </w:r>
    </w:p>
    <w:p w14:paraId="30F41F90" w14:textId="77777777" w:rsidR="00D57D48" w:rsidRDefault="00D57D48" w:rsidP="00D57D48">
      <w:pPr>
        <w:pStyle w:val="Bibliography"/>
      </w:pPr>
      <w:r>
        <w:t xml:space="preserve">39. </w:t>
      </w:r>
      <w:r>
        <w:tab/>
      </w:r>
      <w:proofErr w:type="spellStart"/>
      <w:r>
        <w:t>Grambsch</w:t>
      </w:r>
      <w:proofErr w:type="spellEnd"/>
      <w:r>
        <w:t xml:space="preserve"> PM, </w:t>
      </w:r>
      <w:proofErr w:type="spellStart"/>
      <w:r>
        <w:t>Therneau</w:t>
      </w:r>
      <w:proofErr w:type="spellEnd"/>
      <w:r>
        <w:t xml:space="preserve"> TM. Proportional Hazards Tests and Diagnostics Based on Weighted Residuals. </w:t>
      </w:r>
      <w:proofErr w:type="spellStart"/>
      <w:r>
        <w:rPr>
          <w:i/>
          <w:iCs/>
        </w:rPr>
        <w:t>Biometrika</w:t>
      </w:r>
      <w:proofErr w:type="spellEnd"/>
      <w:r>
        <w:t>. 1994;81(3):515-526. doi:10.2307/2337123</w:t>
      </w:r>
    </w:p>
    <w:p w14:paraId="206BB2BA" w14:textId="77777777" w:rsidR="00D57D48" w:rsidRDefault="00D57D48" w:rsidP="00D57D48">
      <w:pPr>
        <w:pStyle w:val="Bibliography"/>
      </w:pPr>
      <w:r>
        <w:t xml:space="preserve">40. </w:t>
      </w:r>
      <w:r>
        <w:tab/>
        <w:t xml:space="preserve">R Core Team. </w:t>
      </w:r>
      <w:r>
        <w:rPr>
          <w:i/>
          <w:iCs/>
        </w:rPr>
        <w:t>R: A Language and Environment for Statistical Computing</w:t>
      </w:r>
      <w:r>
        <w:t>. Vienna, Austria: R Foundation for Statistical Computing; 2019. https://www.R-project.org/.</w:t>
      </w:r>
    </w:p>
    <w:p w14:paraId="5EB4541F" w14:textId="77777777" w:rsidR="00D57D48" w:rsidRDefault="00D57D48" w:rsidP="00D57D48">
      <w:pPr>
        <w:pStyle w:val="Bibliography"/>
      </w:pPr>
      <w:r>
        <w:t xml:space="preserve">41. </w:t>
      </w:r>
      <w:r>
        <w:tab/>
        <w:t xml:space="preserve">R Studio Team. </w:t>
      </w:r>
      <w:r>
        <w:rPr>
          <w:i/>
          <w:iCs/>
        </w:rPr>
        <w:t>RStudio: Integrated Development for R</w:t>
      </w:r>
      <w:r>
        <w:t>. Boston, MA: RStudio, Inc.; 2019. http://www.rstudio.com/.</w:t>
      </w:r>
    </w:p>
    <w:p w14:paraId="470C1F33" w14:textId="77777777" w:rsidR="00D57D48" w:rsidRDefault="00D57D48" w:rsidP="00D57D48">
      <w:pPr>
        <w:pStyle w:val="Bibliography"/>
      </w:pPr>
      <w:r>
        <w:t xml:space="preserve">42. </w:t>
      </w:r>
      <w:r>
        <w:tab/>
      </w:r>
      <w:proofErr w:type="spellStart"/>
      <w:r>
        <w:t>Therneau</w:t>
      </w:r>
      <w:proofErr w:type="spellEnd"/>
      <w:r>
        <w:t xml:space="preserve"> T, Lumley T. survival: Survival analysis. R package version 2.38-3. 2015.</w:t>
      </w:r>
    </w:p>
    <w:p w14:paraId="3715BD9F" w14:textId="77777777" w:rsidR="00D57D48" w:rsidRDefault="00D57D48" w:rsidP="00D57D48">
      <w:pPr>
        <w:pStyle w:val="Bibliography"/>
      </w:pPr>
      <w:r>
        <w:lastRenderedPageBreak/>
        <w:t xml:space="preserve">43. </w:t>
      </w:r>
      <w:r>
        <w:tab/>
        <w:t xml:space="preserve">Lumley T. Analysis of Complex Survey Samples. </w:t>
      </w:r>
      <w:r>
        <w:rPr>
          <w:i/>
          <w:iCs/>
        </w:rPr>
        <w:t xml:space="preserve">J Stat </w:t>
      </w:r>
      <w:proofErr w:type="spellStart"/>
      <w:r>
        <w:rPr>
          <w:i/>
          <w:iCs/>
        </w:rPr>
        <w:t>Softw</w:t>
      </w:r>
      <w:proofErr w:type="spellEnd"/>
      <w:r>
        <w:t>. 2004;9(1):1-19. doi:10.18637/</w:t>
      </w:r>
      <w:proofErr w:type="gramStart"/>
      <w:r>
        <w:t>jss.v009.i</w:t>
      </w:r>
      <w:proofErr w:type="gramEnd"/>
      <w:r>
        <w:t>08</w:t>
      </w:r>
    </w:p>
    <w:p w14:paraId="58184B49" w14:textId="77777777" w:rsidR="00D57D48" w:rsidRDefault="00D57D48" w:rsidP="00D57D48">
      <w:pPr>
        <w:pStyle w:val="Bibliography"/>
      </w:pPr>
      <w:r>
        <w:t xml:space="preserve">44. </w:t>
      </w:r>
      <w:r>
        <w:tab/>
        <w:t xml:space="preserve">Kang H, Lobo JM, Kim S, Sohn M-W. Cost-related medication non-adherence among U.S. adults with diabetes. </w:t>
      </w:r>
      <w:r>
        <w:rPr>
          <w:i/>
          <w:iCs/>
        </w:rPr>
        <w:t xml:space="preserve">Diabetes Res Clin </w:t>
      </w:r>
      <w:proofErr w:type="spellStart"/>
      <w:r>
        <w:rPr>
          <w:i/>
          <w:iCs/>
        </w:rPr>
        <w:t>Pract</w:t>
      </w:r>
      <w:proofErr w:type="spellEnd"/>
      <w:r>
        <w:t xml:space="preserve">. </w:t>
      </w:r>
      <w:proofErr w:type="gramStart"/>
      <w:r>
        <w:t>2018;143:24</w:t>
      </w:r>
      <w:proofErr w:type="gramEnd"/>
      <w:r>
        <w:t xml:space="preserve">-33. </w:t>
      </w:r>
      <w:proofErr w:type="gramStart"/>
      <w:r>
        <w:t>doi:10.1016/j.diabres</w:t>
      </w:r>
      <w:proofErr w:type="gramEnd"/>
      <w:r>
        <w:t>.2018.06.016</w:t>
      </w:r>
    </w:p>
    <w:p w14:paraId="370D1725" w14:textId="77777777" w:rsidR="00D57D48" w:rsidRDefault="00D57D48" w:rsidP="00D57D48">
      <w:pPr>
        <w:pStyle w:val="Bibliography"/>
      </w:pPr>
      <w:r>
        <w:t xml:space="preserve">45. </w:t>
      </w:r>
      <w:r>
        <w:tab/>
        <w:t xml:space="preserve">De Vera MA, </w:t>
      </w:r>
      <w:proofErr w:type="spellStart"/>
      <w:r>
        <w:t>Bhole</w:t>
      </w:r>
      <w:proofErr w:type="spellEnd"/>
      <w:r>
        <w:t xml:space="preserve"> V, Burns LC, </w:t>
      </w:r>
      <w:proofErr w:type="spellStart"/>
      <w:r>
        <w:t>Lacaille</w:t>
      </w:r>
      <w:proofErr w:type="spellEnd"/>
      <w:r>
        <w:t xml:space="preserve"> D. Impact of statin adherence on cardiovascular disease and mortality outcomes: a systematic review. </w:t>
      </w:r>
      <w:r>
        <w:rPr>
          <w:i/>
          <w:iCs/>
        </w:rPr>
        <w:t xml:space="preserve">Br J Clin </w:t>
      </w:r>
      <w:proofErr w:type="spellStart"/>
      <w:r>
        <w:rPr>
          <w:i/>
          <w:iCs/>
        </w:rPr>
        <w:t>Pharmacol</w:t>
      </w:r>
      <w:proofErr w:type="spellEnd"/>
      <w:r>
        <w:t>. 2014;78(4):684-698. doi:10.1111/bcp.12339</w:t>
      </w:r>
    </w:p>
    <w:p w14:paraId="0C3DC84D" w14:textId="77777777" w:rsidR="00D57D48" w:rsidRDefault="00D57D48" w:rsidP="00D57D48">
      <w:pPr>
        <w:pStyle w:val="Bibliography"/>
      </w:pPr>
      <w:r>
        <w:t xml:space="preserve">46. </w:t>
      </w:r>
      <w:r>
        <w:tab/>
      </w:r>
      <w:proofErr w:type="spellStart"/>
      <w:r>
        <w:t>Gosmanova</w:t>
      </w:r>
      <w:proofErr w:type="spellEnd"/>
      <w:r>
        <w:t xml:space="preserve"> Elvira O., Lu Jun L., </w:t>
      </w:r>
      <w:proofErr w:type="spellStart"/>
      <w:r>
        <w:t>Streja</w:t>
      </w:r>
      <w:proofErr w:type="spellEnd"/>
      <w:r>
        <w:t xml:space="preserve"> </w:t>
      </w:r>
      <w:proofErr w:type="spellStart"/>
      <w:r>
        <w:t>Elani</w:t>
      </w:r>
      <w:proofErr w:type="spellEnd"/>
      <w:r>
        <w:t xml:space="preserve">, Cushman William C., </w:t>
      </w:r>
      <w:proofErr w:type="spellStart"/>
      <w:r>
        <w:t>Kalantar</w:t>
      </w:r>
      <w:proofErr w:type="spellEnd"/>
      <w:r>
        <w:t xml:space="preserve">-Zadeh </w:t>
      </w:r>
      <w:proofErr w:type="spellStart"/>
      <w:r>
        <w:t>Kamyar</w:t>
      </w:r>
      <w:proofErr w:type="spellEnd"/>
      <w:r>
        <w:t xml:space="preserve">, </w:t>
      </w:r>
      <w:proofErr w:type="spellStart"/>
      <w:r>
        <w:t>Kovesdy</w:t>
      </w:r>
      <w:proofErr w:type="spellEnd"/>
      <w:r>
        <w:t xml:space="preserve"> Csaba P. Association of Medical Treatment Nonadherence </w:t>
      </w:r>
      <w:proofErr w:type="gramStart"/>
      <w:r>
        <w:t>With</w:t>
      </w:r>
      <w:proofErr w:type="gramEnd"/>
      <w:r>
        <w:t xml:space="preserve"> All-Cause Mortality in Newly Treated Hypertensive US Veterans. </w:t>
      </w:r>
      <w:r>
        <w:rPr>
          <w:i/>
          <w:iCs/>
        </w:rPr>
        <w:t>Hypertension</w:t>
      </w:r>
      <w:r>
        <w:t>. 2014;64(5):951-957. doi:10.1161/HYPERTENSIONAHA.114.03805</w:t>
      </w:r>
    </w:p>
    <w:p w14:paraId="3939EDFE" w14:textId="77777777" w:rsidR="00D57D48" w:rsidRDefault="00D57D48" w:rsidP="00D57D48">
      <w:pPr>
        <w:pStyle w:val="Bibliography"/>
      </w:pPr>
      <w:r>
        <w:t xml:space="preserve">47. </w:t>
      </w:r>
      <w:r>
        <w:tab/>
        <w:t xml:space="preserve">Cherry SB, Benner JS, Hussein MA, Tang SSK, Nichol MB. The Clinical and Economic Burden of Nonadherence with Antihypertensive and Lipid-Lowering Therapy in Hypertensive Patients. </w:t>
      </w:r>
      <w:r>
        <w:rPr>
          <w:i/>
          <w:iCs/>
        </w:rPr>
        <w:t>Value Health</w:t>
      </w:r>
      <w:r>
        <w:t>. 2009;12(4):489-497. doi:10.1111/j.1524-4733.</w:t>
      </w:r>
      <w:proofErr w:type="gramStart"/>
      <w:r>
        <w:t>2008.00447.x</w:t>
      </w:r>
      <w:proofErr w:type="gramEnd"/>
    </w:p>
    <w:p w14:paraId="7E6BEFB4" w14:textId="77777777" w:rsidR="00D57D48" w:rsidRDefault="00D57D48" w:rsidP="00D57D48">
      <w:pPr>
        <w:pStyle w:val="Bibliography"/>
      </w:pPr>
      <w:r>
        <w:t xml:space="preserve">48. </w:t>
      </w:r>
      <w:r>
        <w:tab/>
        <w:t xml:space="preserve">Sommers BD, </w:t>
      </w:r>
      <w:proofErr w:type="spellStart"/>
      <w:r>
        <w:t>Gunja</w:t>
      </w:r>
      <w:proofErr w:type="spellEnd"/>
      <w:r>
        <w:t xml:space="preserve"> MZ, </w:t>
      </w:r>
      <w:proofErr w:type="spellStart"/>
      <w:r>
        <w:t>Finegold</w:t>
      </w:r>
      <w:proofErr w:type="spellEnd"/>
      <w:r>
        <w:t xml:space="preserve"> K, </w:t>
      </w:r>
      <w:proofErr w:type="spellStart"/>
      <w:r>
        <w:t>Musco</w:t>
      </w:r>
      <w:proofErr w:type="spellEnd"/>
      <w:r>
        <w:t xml:space="preserve"> T. Changes in Self-reported Insurance Coverage, Access to Care, and Health Under the Affordable Care Act. </w:t>
      </w:r>
      <w:r>
        <w:rPr>
          <w:i/>
          <w:iCs/>
        </w:rPr>
        <w:t>JAMA</w:t>
      </w:r>
      <w:r>
        <w:t>. 2015;314(4):366-374. doi:10.1001/jama.2015.8421</w:t>
      </w:r>
    </w:p>
    <w:p w14:paraId="0DD7C2B5" w14:textId="77777777" w:rsidR="00D57D48" w:rsidRDefault="00D57D48" w:rsidP="00D57D48">
      <w:pPr>
        <w:pStyle w:val="Bibliography"/>
      </w:pPr>
      <w:r>
        <w:t xml:space="preserve">49. </w:t>
      </w:r>
      <w:r>
        <w:tab/>
        <w:t xml:space="preserve">Rosenbaum S. The Patient Protection and Affordable Care Act: Implications for Public Health Policy and Practice. </w:t>
      </w:r>
      <w:r>
        <w:rPr>
          <w:i/>
          <w:iCs/>
        </w:rPr>
        <w:t>Public Health Rep</w:t>
      </w:r>
      <w:r>
        <w:t>. 2011;126(1):130-135. doi:10.1177/003335491112600118</w:t>
      </w:r>
    </w:p>
    <w:p w14:paraId="2955460A" w14:textId="77777777" w:rsidR="00D57D48" w:rsidRDefault="00D57D48" w:rsidP="00D57D48">
      <w:pPr>
        <w:pStyle w:val="Bibliography"/>
      </w:pPr>
      <w:r>
        <w:t xml:space="preserve">50. </w:t>
      </w:r>
      <w:r>
        <w:tab/>
        <w:t xml:space="preserve">Miller S, </w:t>
      </w:r>
      <w:proofErr w:type="spellStart"/>
      <w:r>
        <w:t>Altekruse</w:t>
      </w:r>
      <w:proofErr w:type="spellEnd"/>
      <w:r>
        <w:t xml:space="preserve"> S, Johnson N, Wherry LR. </w:t>
      </w:r>
      <w:r>
        <w:rPr>
          <w:i/>
          <w:iCs/>
        </w:rPr>
        <w:t>Medicaid and Mortality: New Evidence from Linked Survey and Administrative Data</w:t>
      </w:r>
      <w:r>
        <w:t>. National Bureau of Economic Research; 2019.</w:t>
      </w:r>
    </w:p>
    <w:p w14:paraId="476CAE85" w14:textId="77777777" w:rsidR="00D57D48" w:rsidRDefault="00D57D48" w:rsidP="00D57D48">
      <w:pPr>
        <w:pStyle w:val="Bibliography"/>
      </w:pPr>
      <w:r>
        <w:t xml:space="preserve">51. </w:t>
      </w:r>
      <w:r>
        <w:tab/>
        <w:t xml:space="preserve">Kennedy JJ, </w:t>
      </w:r>
      <w:proofErr w:type="spellStart"/>
      <w:r>
        <w:t>Maciejewski</w:t>
      </w:r>
      <w:proofErr w:type="spellEnd"/>
      <w:r>
        <w:t xml:space="preserve"> M, Liu D, Blodgett E. Cost-Related Nonadherence in the Medicare Program: The Impact of Part D. </w:t>
      </w:r>
      <w:r>
        <w:rPr>
          <w:i/>
          <w:iCs/>
        </w:rPr>
        <w:t>Med Care</w:t>
      </w:r>
      <w:r>
        <w:t>. 2011;49(5):522-526.</w:t>
      </w:r>
    </w:p>
    <w:p w14:paraId="2F7009B2" w14:textId="77777777" w:rsidR="00D57D48" w:rsidRDefault="00D57D48" w:rsidP="00D57D48">
      <w:pPr>
        <w:pStyle w:val="Bibliography"/>
      </w:pPr>
      <w:r>
        <w:t xml:space="preserve">52. </w:t>
      </w:r>
      <w:r>
        <w:tab/>
        <w:t xml:space="preserve">Park YJ, Martin EG. Medicare Part D’s Effects on Drug Utilization and Out-of-Pocket Costs: A Systematic Review. </w:t>
      </w:r>
      <w:r>
        <w:rPr>
          <w:i/>
          <w:iCs/>
        </w:rPr>
        <w:t>Health Serv Res</w:t>
      </w:r>
      <w:r>
        <w:t>. 2017;52(5):1685-1728. doi:10.1111/1475-6773.12534</w:t>
      </w:r>
    </w:p>
    <w:p w14:paraId="7830C249" w14:textId="77777777" w:rsidR="00D57D48" w:rsidRDefault="00D57D48" w:rsidP="00D57D48">
      <w:pPr>
        <w:pStyle w:val="Bibliography"/>
      </w:pPr>
      <w:r>
        <w:t xml:space="preserve">53. </w:t>
      </w:r>
      <w:r>
        <w:tab/>
        <w:t xml:space="preserve">Roberts D, Donovan K, Priola K. </w:t>
      </w:r>
      <w:r>
        <w:rPr>
          <w:i/>
          <w:iCs/>
        </w:rPr>
        <w:t>Reduce Insulin Prices</w:t>
      </w:r>
      <w:r>
        <w:t>.; 2019. https://leg.colorado.gov/bills/hb19-1216.</w:t>
      </w:r>
    </w:p>
    <w:p w14:paraId="019A5572" w14:textId="77777777" w:rsidR="00D57D48" w:rsidRDefault="00D57D48" w:rsidP="00D57D48">
      <w:pPr>
        <w:pStyle w:val="Bibliography"/>
      </w:pPr>
      <w:r>
        <w:t xml:space="preserve">54. </w:t>
      </w:r>
      <w:r>
        <w:tab/>
        <w:t>Illinois General Assembly - Bill Status for SB0667. http://www.ilga.gov/legislation/BillStatus.asp?GA=101&amp;DocTypeID=SB&amp;DocNum=667&amp;GAID=15&amp;SessionID=108&amp;LegID=116604. Accessed February 8, 2020.</w:t>
      </w:r>
    </w:p>
    <w:p w14:paraId="18CCB1AF" w14:textId="77777777" w:rsidR="00D57D48" w:rsidRDefault="00D57D48" w:rsidP="00D57D48">
      <w:pPr>
        <w:pStyle w:val="Bibliography"/>
      </w:pPr>
      <w:r>
        <w:t xml:space="preserve">55. </w:t>
      </w:r>
      <w:r>
        <w:tab/>
        <w:t>House Bill 109 (2020) - The Florida Senate. https://www.flsenate.gov/Session/Bill/2020/109. Accessed February 8, 2020.</w:t>
      </w:r>
    </w:p>
    <w:p w14:paraId="7FC9540C" w14:textId="77777777" w:rsidR="00D57D48" w:rsidRDefault="00D57D48" w:rsidP="00D57D48">
      <w:pPr>
        <w:pStyle w:val="Bibliography"/>
      </w:pPr>
      <w:r>
        <w:t xml:space="preserve">56. </w:t>
      </w:r>
      <w:r>
        <w:tab/>
        <w:t>A5786. https://www.njleg.state.nj.us/2018/Bills/A9999/5786_I1.HTM. Accessed February 8, 2020.</w:t>
      </w:r>
    </w:p>
    <w:p w14:paraId="69AA5505" w14:textId="77777777" w:rsidR="00D57D48" w:rsidRDefault="00D57D48" w:rsidP="00D57D48">
      <w:pPr>
        <w:pStyle w:val="Bibliography"/>
      </w:pPr>
      <w:r>
        <w:lastRenderedPageBreak/>
        <w:t xml:space="preserve">57. </w:t>
      </w:r>
      <w:r>
        <w:tab/>
        <w:t>Michigan Legislature - House Bill 4701 (2019). http://www.legislature.mi.gov/(S(t0pchkesswpua5ra3nx2klwk))/mileg.aspx?page=GetObject&amp;objectname=2019-HB-4701. Accessed February 8, 2020.</w:t>
      </w:r>
    </w:p>
    <w:p w14:paraId="468C7E67" w14:textId="77777777" w:rsidR="00D57D48" w:rsidRDefault="00D57D48" w:rsidP="00D57D48">
      <w:pPr>
        <w:pStyle w:val="Bibliography"/>
      </w:pPr>
      <w:r>
        <w:t xml:space="preserve">58. </w:t>
      </w:r>
      <w:r>
        <w:tab/>
        <w:t>Bill Information - House Bill 1873; Regular Session 2019-2020. The official website for the Pennsylvania General Assembly. https://www.legis.state.pa.us/cfdocs/billInfo/billInfo.cfm?sYear=2019&amp;sInd=0&amp;body=H&amp;type=B&amp;bn=1873. Accessed February 8, 2020.</w:t>
      </w:r>
    </w:p>
    <w:p w14:paraId="16DA0A3D" w14:textId="77777777" w:rsidR="00D57D48" w:rsidRDefault="00D57D48" w:rsidP="00D57D48">
      <w:pPr>
        <w:pStyle w:val="Bibliography"/>
      </w:pPr>
      <w:r>
        <w:t xml:space="preserve">59. </w:t>
      </w:r>
      <w:r>
        <w:tab/>
        <w:t>2019 Senate Bill 340. https://docs.legis.wisconsin.gov/2019/proposals/sb340. Accessed February 8, 2020.</w:t>
      </w:r>
    </w:p>
    <w:p w14:paraId="45C79150" w14:textId="77777777" w:rsidR="00D57D48" w:rsidRDefault="00D57D48" w:rsidP="00D57D48">
      <w:pPr>
        <w:pStyle w:val="Bibliography"/>
      </w:pPr>
      <w:r>
        <w:t xml:space="preserve">60. </w:t>
      </w:r>
      <w:r>
        <w:tab/>
        <w:t xml:space="preserve">Madden JM, Graves AJ, Zhang F, et al. Cost-Related Medication Nonadherence and Spending on Basic Needs Following Implementation of Medicare Part D. </w:t>
      </w:r>
      <w:r>
        <w:rPr>
          <w:i/>
          <w:iCs/>
        </w:rPr>
        <w:t>JAMA</w:t>
      </w:r>
      <w:r>
        <w:t>. 2008;299(16):1922-1928. doi:10.1001/jama.299.16.1922</w:t>
      </w:r>
    </w:p>
    <w:p w14:paraId="141E8B06" w14:textId="77777777" w:rsidR="00D57D48" w:rsidRDefault="00D57D48" w:rsidP="00D57D48">
      <w:pPr>
        <w:pStyle w:val="Bibliography"/>
      </w:pPr>
      <w:r>
        <w:t xml:space="preserve">61. </w:t>
      </w:r>
      <w:r>
        <w:tab/>
        <w:t xml:space="preserve">Kennedy J, </w:t>
      </w:r>
      <w:proofErr w:type="spellStart"/>
      <w:r>
        <w:t>Tuleu</w:t>
      </w:r>
      <w:proofErr w:type="spellEnd"/>
      <w:r>
        <w:t xml:space="preserve"> I, Mackay K. Unfilled Prescriptions of Medicare Beneficiaries: Prevalence, Reasons, and Types of Medicines Prescribed. </w:t>
      </w:r>
      <w:r>
        <w:rPr>
          <w:i/>
          <w:iCs/>
        </w:rPr>
        <w:t xml:space="preserve">J </w:t>
      </w:r>
      <w:proofErr w:type="spellStart"/>
      <w:r>
        <w:rPr>
          <w:i/>
          <w:iCs/>
        </w:rPr>
        <w:t>Manag</w:t>
      </w:r>
      <w:proofErr w:type="spellEnd"/>
      <w:r>
        <w:rPr>
          <w:i/>
          <w:iCs/>
        </w:rPr>
        <w:t xml:space="preserve"> Care Pharm</w:t>
      </w:r>
      <w:r>
        <w:t>. 2008;14(6):553-560. doi:10.18553/jmcp.2008.14.6.553</w:t>
      </w:r>
    </w:p>
    <w:p w14:paraId="72C81A4D" w14:textId="77777777" w:rsidR="00D57D48" w:rsidRDefault="00D57D48" w:rsidP="00D57D48">
      <w:pPr>
        <w:pStyle w:val="Bibliography"/>
      </w:pPr>
      <w:r>
        <w:t xml:space="preserve">62. </w:t>
      </w:r>
      <w:r>
        <w:tab/>
        <w:t xml:space="preserve">Blumberg DM, Prager AJ, </w:t>
      </w:r>
      <w:proofErr w:type="spellStart"/>
      <w:r>
        <w:t>Liebmann</w:t>
      </w:r>
      <w:proofErr w:type="spellEnd"/>
      <w:r>
        <w:t xml:space="preserve"> JM, Cioffi GA, </w:t>
      </w:r>
      <w:proofErr w:type="spellStart"/>
      <w:r>
        <w:t>Moraes</w:t>
      </w:r>
      <w:proofErr w:type="spellEnd"/>
      <w:r>
        <w:t xml:space="preserve"> CGD. Cost-Related Medication Nonadherence and Cost-Saving Behaviors Among Patients </w:t>
      </w:r>
      <w:proofErr w:type="gramStart"/>
      <w:r>
        <w:t>With</w:t>
      </w:r>
      <w:proofErr w:type="gramEnd"/>
      <w:r>
        <w:t xml:space="preserve"> Glaucoma Before and After the Implementation of Medicare Part D. </w:t>
      </w:r>
      <w:r>
        <w:rPr>
          <w:i/>
          <w:iCs/>
        </w:rPr>
        <w:t xml:space="preserve">JAMA </w:t>
      </w:r>
      <w:proofErr w:type="spellStart"/>
      <w:r>
        <w:rPr>
          <w:i/>
          <w:iCs/>
        </w:rPr>
        <w:t>Ophthalmol</w:t>
      </w:r>
      <w:proofErr w:type="spellEnd"/>
      <w:r>
        <w:t>. 2015;133(9):985-996. doi:10.1001/jamaophthalmol.2015.1671</w:t>
      </w:r>
    </w:p>
    <w:p w14:paraId="01A5F3DD" w14:textId="77777777" w:rsidR="00D57D48" w:rsidRDefault="00D57D48" w:rsidP="00D57D48">
      <w:pPr>
        <w:pStyle w:val="Bibliography"/>
      </w:pPr>
      <w:r>
        <w:t xml:space="preserve">63. </w:t>
      </w:r>
      <w:r>
        <w:tab/>
      </w:r>
      <w:proofErr w:type="spellStart"/>
      <w:r>
        <w:t>Zivin</w:t>
      </w:r>
      <w:proofErr w:type="spellEnd"/>
      <w:r>
        <w:t xml:space="preserve"> K, Ratliff S, Heisler MM, </w:t>
      </w:r>
      <w:proofErr w:type="spellStart"/>
      <w:r>
        <w:t>Langa</w:t>
      </w:r>
      <w:proofErr w:type="spellEnd"/>
      <w:r>
        <w:t xml:space="preserve"> KM, </w:t>
      </w:r>
      <w:proofErr w:type="spellStart"/>
      <w:r>
        <w:t>Piette</w:t>
      </w:r>
      <w:proofErr w:type="spellEnd"/>
      <w:r>
        <w:t xml:space="preserve"> JD. Factors Influencing Cost-Related Nonadherence to Medication in Older Adults: A Conceptually Based Approach. </w:t>
      </w:r>
      <w:r>
        <w:rPr>
          <w:i/>
          <w:iCs/>
        </w:rPr>
        <w:t>Value Health J Int Soc Pharmacoeconomics Outcomes Res</w:t>
      </w:r>
      <w:r>
        <w:t>. 2010;13(4):338-345. doi:10.1111/j.1524-4733.</w:t>
      </w:r>
      <w:proofErr w:type="gramStart"/>
      <w:r>
        <w:t>2009.00679.x</w:t>
      </w:r>
      <w:proofErr w:type="gramEnd"/>
    </w:p>
    <w:p w14:paraId="56890A60" w14:textId="77777777" w:rsidR="00D57D48" w:rsidRDefault="00D57D48" w:rsidP="00D57D48">
      <w:pPr>
        <w:pStyle w:val="Bibliography"/>
      </w:pPr>
      <w:r>
        <w:t xml:space="preserve">64. </w:t>
      </w:r>
      <w:r>
        <w:tab/>
      </w:r>
      <w:proofErr w:type="spellStart"/>
      <w:r>
        <w:t>Piette</w:t>
      </w:r>
      <w:proofErr w:type="spellEnd"/>
      <w:r>
        <w:t xml:space="preserve"> JD, Beard A, </w:t>
      </w:r>
      <w:proofErr w:type="spellStart"/>
      <w:r>
        <w:t>Rosland</w:t>
      </w:r>
      <w:proofErr w:type="spellEnd"/>
      <w:r>
        <w:t xml:space="preserve"> AM, </w:t>
      </w:r>
      <w:proofErr w:type="spellStart"/>
      <w:r>
        <w:t>McHorney</w:t>
      </w:r>
      <w:proofErr w:type="spellEnd"/>
      <w:r>
        <w:t xml:space="preserve"> CA. Beliefs that influence cost-related medication non-adherence among the “haves” and “have nots” with chronic diseases. </w:t>
      </w:r>
      <w:r>
        <w:rPr>
          <w:i/>
          <w:iCs/>
        </w:rPr>
        <w:t>Patient Prefer Adherence</w:t>
      </w:r>
      <w:r>
        <w:t xml:space="preserve">. </w:t>
      </w:r>
      <w:proofErr w:type="gramStart"/>
      <w:r>
        <w:t>2011;5:389</w:t>
      </w:r>
      <w:proofErr w:type="gramEnd"/>
      <w:r>
        <w:t>-396. doi:10.2147/PPA.S23111</w:t>
      </w:r>
    </w:p>
    <w:p w14:paraId="625FDB57" w14:textId="77777777" w:rsidR="00D57D48" w:rsidRDefault="00D57D48" w:rsidP="00D57D48">
      <w:pPr>
        <w:pStyle w:val="Bibliography"/>
      </w:pPr>
      <w:r>
        <w:t xml:space="preserve">65. </w:t>
      </w:r>
      <w:r>
        <w:tab/>
        <w:t xml:space="preserve">Zeng F, Patel BV, Brunetti L. Effects of coverage gap reform on adherence to diabetes medications. </w:t>
      </w:r>
      <w:r>
        <w:rPr>
          <w:i/>
          <w:iCs/>
        </w:rPr>
        <w:t xml:space="preserve">Am J </w:t>
      </w:r>
      <w:proofErr w:type="spellStart"/>
      <w:r>
        <w:rPr>
          <w:i/>
          <w:iCs/>
        </w:rPr>
        <w:t>Manag</w:t>
      </w:r>
      <w:proofErr w:type="spellEnd"/>
      <w:r>
        <w:rPr>
          <w:i/>
          <w:iCs/>
        </w:rPr>
        <w:t xml:space="preserve"> Care</w:t>
      </w:r>
      <w:r>
        <w:t>. 2013;19(4):308—316.</w:t>
      </w:r>
    </w:p>
    <w:p w14:paraId="126E9570" w14:textId="77777777" w:rsidR="00D57D48" w:rsidRDefault="00D57D48" w:rsidP="00D57D48">
      <w:pPr>
        <w:pStyle w:val="Bibliography"/>
      </w:pPr>
      <w:r>
        <w:t xml:space="preserve">66. </w:t>
      </w:r>
      <w:r>
        <w:tab/>
        <w:t xml:space="preserve">Mulcahy AW, Eibner C, </w:t>
      </w:r>
      <w:proofErr w:type="spellStart"/>
      <w:r>
        <w:t>Finegold</w:t>
      </w:r>
      <w:proofErr w:type="spellEnd"/>
      <w:r>
        <w:t xml:space="preserve"> K. Gaining Coverage Through Medicaid Or Private Insurance Increased Prescription Use </w:t>
      </w:r>
      <w:proofErr w:type="gramStart"/>
      <w:r>
        <w:t>And</w:t>
      </w:r>
      <w:proofErr w:type="gramEnd"/>
      <w:r>
        <w:t xml:space="preserve"> Lowered Out-Of-Pocket Spending. </w:t>
      </w:r>
      <w:r>
        <w:rPr>
          <w:i/>
          <w:iCs/>
        </w:rPr>
        <w:t xml:space="preserve">Health </w:t>
      </w:r>
      <w:proofErr w:type="spellStart"/>
      <w:r>
        <w:rPr>
          <w:i/>
          <w:iCs/>
        </w:rPr>
        <w:t>Aff</w:t>
      </w:r>
      <w:proofErr w:type="spellEnd"/>
      <w:r>
        <w:rPr>
          <w:i/>
          <w:iCs/>
        </w:rPr>
        <w:t xml:space="preserve"> (Millwood)</w:t>
      </w:r>
      <w:r>
        <w:t>. 2016;35(9):1725-1733. doi:10.1377/hlthaff.2016.0091</w:t>
      </w:r>
    </w:p>
    <w:p w14:paraId="3767B4B1" w14:textId="77777777" w:rsidR="00D57D48" w:rsidRDefault="00D57D48" w:rsidP="00D57D48">
      <w:pPr>
        <w:pStyle w:val="Bibliography"/>
      </w:pPr>
      <w:r>
        <w:t xml:space="preserve">67. </w:t>
      </w:r>
      <w:r>
        <w:tab/>
      </w:r>
      <w:proofErr w:type="spellStart"/>
      <w:r>
        <w:t>Kurlander</w:t>
      </w:r>
      <w:proofErr w:type="spellEnd"/>
      <w:r>
        <w:t xml:space="preserve"> JE, Kerr EA, </w:t>
      </w:r>
      <w:proofErr w:type="spellStart"/>
      <w:r>
        <w:t>Krein</w:t>
      </w:r>
      <w:proofErr w:type="spellEnd"/>
      <w:r>
        <w:t xml:space="preserve"> S, Heisler M, </w:t>
      </w:r>
      <w:proofErr w:type="spellStart"/>
      <w:r>
        <w:t>Piette</w:t>
      </w:r>
      <w:proofErr w:type="spellEnd"/>
      <w:r>
        <w:t xml:space="preserve"> JD. Cost-Related Nonadherence to Medications Among Patients </w:t>
      </w:r>
      <w:proofErr w:type="gramStart"/>
      <w:r>
        <w:t>With</w:t>
      </w:r>
      <w:proofErr w:type="gramEnd"/>
      <w:r>
        <w:t xml:space="preserve"> Diabetes and Chronic Pain: Factors beyond finances. </w:t>
      </w:r>
      <w:r>
        <w:rPr>
          <w:i/>
          <w:iCs/>
        </w:rPr>
        <w:t>Diabetes Care</w:t>
      </w:r>
      <w:r>
        <w:t>. 2009;32(12):2143-2148. doi:10.2337/dc09-1059</w:t>
      </w:r>
    </w:p>
    <w:p w14:paraId="208BBD53" w14:textId="77777777" w:rsidR="00D57D48" w:rsidRDefault="00D57D48" w:rsidP="00D57D48">
      <w:pPr>
        <w:pStyle w:val="Bibliography"/>
      </w:pPr>
      <w:r>
        <w:t xml:space="preserve">68. </w:t>
      </w:r>
      <w:r>
        <w:tab/>
      </w:r>
      <w:proofErr w:type="spellStart"/>
      <w:r>
        <w:t>Skopp</w:t>
      </w:r>
      <w:proofErr w:type="spellEnd"/>
      <w:r>
        <w:t xml:space="preserve"> NA, </w:t>
      </w:r>
      <w:proofErr w:type="spellStart"/>
      <w:r>
        <w:t>Smolenski</w:t>
      </w:r>
      <w:proofErr w:type="spellEnd"/>
      <w:r>
        <w:t xml:space="preserve"> DJ, </w:t>
      </w:r>
      <w:proofErr w:type="spellStart"/>
      <w:r>
        <w:t>Schwesinger</w:t>
      </w:r>
      <w:proofErr w:type="spellEnd"/>
      <w:r>
        <w:t xml:space="preserve"> DA, Johnson CJ, Metzger-</w:t>
      </w:r>
      <w:proofErr w:type="spellStart"/>
      <w:r>
        <w:t>Abamukong</w:t>
      </w:r>
      <w:proofErr w:type="spellEnd"/>
      <w:r>
        <w:t xml:space="preserve"> MJ, </w:t>
      </w:r>
      <w:proofErr w:type="spellStart"/>
      <w:r>
        <w:t>Reger</w:t>
      </w:r>
      <w:proofErr w:type="spellEnd"/>
      <w:r>
        <w:t xml:space="preserve"> MA. Evaluation of a methodology to validate National Death Index retrieval results among a cohort of U.S. service members. </w:t>
      </w:r>
      <w:r>
        <w:rPr>
          <w:i/>
          <w:iCs/>
        </w:rPr>
        <w:t>Ann Epidemiol</w:t>
      </w:r>
      <w:r>
        <w:t xml:space="preserve">. 2017;27(6):397-400. </w:t>
      </w:r>
      <w:proofErr w:type="gramStart"/>
      <w:r>
        <w:t>doi:10.1016/j.annepidem</w:t>
      </w:r>
      <w:proofErr w:type="gramEnd"/>
      <w:r>
        <w:t>.2017.05.004</w:t>
      </w:r>
    </w:p>
    <w:p w14:paraId="2BEAD685" w14:textId="77777777" w:rsidR="00D57D48" w:rsidRDefault="00D57D48" w:rsidP="00D57D48">
      <w:pPr>
        <w:pStyle w:val="Bibliography"/>
      </w:pPr>
      <w:r>
        <w:lastRenderedPageBreak/>
        <w:t xml:space="preserve">69. </w:t>
      </w:r>
      <w:r>
        <w:tab/>
        <w:t xml:space="preserve">Wojcik NC, Huebner WW, Jorgensen G. Strategies for Using the National Death Index and the Social Security Administration for Death Ascertainment in Large Occupational Cohort Mortality Studies. </w:t>
      </w:r>
      <w:r>
        <w:rPr>
          <w:i/>
          <w:iCs/>
        </w:rPr>
        <w:t>Am J Epidemiol</w:t>
      </w:r>
      <w:r>
        <w:t>. 2010;172(4):469-477. doi:10.1093/</w:t>
      </w:r>
      <w:proofErr w:type="spellStart"/>
      <w:r>
        <w:t>aje</w:t>
      </w:r>
      <w:proofErr w:type="spellEnd"/>
      <w:r>
        <w:t>/kwq130</w:t>
      </w:r>
    </w:p>
    <w:p w14:paraId="6B347D16" w14:textId="77777777" w:rsidR="00D57D48" w:rsidRDefault="00D57D48" w:rsidP="00D57D48">
      <w:pPr>
        <w:pStyle w:val="Bibliography"/>
      </w:pPr>
      <w:r>
        <w:t xml:space="preserve">70. </w:t>
      </w:r>
      <w:r>
        <w:tab/>
        <w:t xml:space="preserve">Lash T, Silliman R. A Comparison of the National Death Index and Social Security Administration Databases to Ascertain Vital Status. </w:t>
      </w:r>
      <w:r>
        <w:rPr>
          <w:i/>
          <w:iCs/>
        </w:rPr>
        <w:t>Epidemiology</w:t>
      </w:r>
      <w:r>
        <w:t>. 2001;12(2):259-261.</w:t>
      </w:r>
    </w:p>
    <w:p w14:paraId="57AFADDA" w14:textId="77777777" w:rsidR="00D57D48" w:rsidRDefault="00D57D48" w:rsidP="00D57D48">
      <w:pPr>
        <w:pStyle w:val="Bibliography"/>
      </w:pPr>
      <w:r>
        <w:t xml:space="preserve">71. </w:t>
      </w:r>
      <w:r>
        <w:tab/>
      </w:r>
      <w:proofErr w:type="spellStart"/>
      <w:r>
        <w:t>Fillenbaum</w:t>
      </w:r>
      <w:proofErr w:type="spellEnd"/>
      <w:r>
        <w:t xml:space="preserve"> GG, Burchett BM, Blazer DG. Identifying a National Death Index Match. </w:t>
      </w:r>
      <w:r>
        <w:rPr>
          <w:i/>
          <w:iCs/>
        </w:rPr>
        <w:t>Am J Epidemiol</w:t>
      </w:r>
      <w:r>
        <w:t>. 2009;170(4):515-518. doi:10.1093/</w:t>
      </w:r>
      <w:proofErr w:type="spellStart"/>
      <w:r>
        <w:t>aje</w:t>
      </w:r>
      <w:proofErr w:type="spellEnd"/>
      <w:r>
        <w:t>/kwp155</w:t>
      </w:r>
    </w:p>
    <w:p w14:paraId="666FCD19" w14:textId="4CEBA90F" w:rsidR="00924B24" w:rsidRDefault="00654988"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2"/>
            <w:r w:rsidRPr="00536E9B">
              <w:rPr>
                <w:rFonts w:ascii="Times New Roman" w:eastAsia="Times New Roman" w:hAnsi="Times New Roman" w:cs="Times New Roman"/>
                <w:color w:val="000000"/>
                <w:sz w:val="18"/>
                <w:szCs w:val="18"/>
              </w:rPr>
              <w:t>CVD</w:t>
            </w:r>
            <w:commentRangeEnd w:id="2"/>
            <w:r w:rsidR="002D3A30">
              <w:rPr>
                <w:rStyle w:val="CommentReference"/>
              </w:rPr>
              <w:commentReference w:id="2"/>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lastRenderedPageBreak/>
              <w:t>N (unweighted) 2000 -</w:t>
            </w:r>
            <w:commentRangeStart w:id="3"/>
            <w:r w:rsidRPr="00536E9B">
              <w:rPr>
                <w:rFonts w:ascii="Times New Roman" w:eastAsia="Times New Roman" w:hAnsi="Times New Roman" w:cs="Times New Roman"/>
                <w:color w:val="000000"/>
                <w:sz w:val="18"/>
                <w:szCs w:val="18"/>
              </w:rPr>
              <w:t>2014</w:t>
            </w:r>
            <w:commentRangeEnd w:id="3"/>
            <w:r w:rsidR="00EC2017">
              <w:rPr>
                <w:rStyle w:val="CommentReference"/>
              </w:rPr>
              <w:commentReference w:id="3"/>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4"/>
            <w:commentRangeEnd w:id="4"/>
            <w:r w:rsidR="000B1FDB">
              <w:rPr>
                <w:rStyle w:val="CommentReference"/>
              </w:rPr>
              <w:commentReference w:id="4"/>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5"/>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5"/>
      <w:r w:rsidR="00E171F9">
        <w:rPr>
          <w:rStyle w:val="CommentReference"/>
        </w:rPr>
        <w:commentReference w:id="5"/>
      </w:r>
    </w:p>
    <w:p w14:paraId="7A65B61F" w14:textId="2B00AEE1" w:rsidR="00515DB2" w:rsidRDefault="004E5DB5" w:rsidP="006F32F8">
      <w:pPr>
        <w:spacing w:line="240" w:lineRule="auto"/>
        <w:rPr>
          <w:rFonts w:ascii="Times New Roman" w:hAnsi="Times New Roman" w:cs="Times New Roman"/>
          <w:sz w:val="24"/>
          <w:szCs w:val="24"/>
        </w:rPr>
      </w:pPr>
      <w:commentRangeStart w:id="6"/>
      <w:r>
        <w:rPr>
          <w:rFonts w:ascii="Times New Roman" w:hAnsi="Times New Roman" w:cs="Times New Roman"/>
          <w:b/>
          <w:bCs/>
          <w:sz w:val="24"/>
          <w:szCs w:val="24"/>
        </w:rPr>
        <w:lastRenderedPageBreak/>
        <w:t xml:space="preserve">Table 2. </w:t>
      </w:r>
      <w:commentRangeStart w:id="7"/>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7"/>
      <w:r w:rsidR="008F6970">
        <w:rPr>
          <w:rStyle w:val="CommentReference"/>
        </w:rPr>
        <w:commentReference w:id="7"/>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6"/>
      <w:r w:rsidR="00E438F8">
        <w:rPr>
          <w:rStyle w:val="CommentReference"/>
        </w:rPr>
        <w:commentReference w:id="6"/>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8"/>
            <w:r w:rsidRPr="00D9293B">
              <w:rPr>
                <w:rFonts w:ascii="Times New Roman" w:eastAsia="Times New Roman" w:hAnsi="Times New Roman" w:cs="Times New Roman"/>
                <w:color w:val="000000"/>
              </w:rPr>
              <w:t xml:space="preserve">CRN for </w:t>
            </w:r>
            <w:commentRangeEnd w:id="8"/>
            <w:r w:rsidR="00847221">
              <w:rPr>
                <w:rStyle w:val="CommentReference"/>
              </w:rPr>
              <w:commentReference w:id="8"/>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9"/>
            <w:r w:rsidRPr="00D9293B">
              <w:rPr>
                <w:rFonts w:ascii="Times New Roman" w:eastAsia="Times New Roman" w:hAnsi="Times New Roman" w:cs="Times New Roman"/>
                <w:color w:val="000000"/>
              </w:rPr>
              <w:t>nonadherence</w:t>
            </w:r>
            <w:commentRangeEnd w:id="9"/>
            <w:r w:rsidR="00021B95">
              <w:rPr>
                <w:rStyle w:val="CommentReference"/>
              </w:rPr>
              <w:commentReference w:id="9"/>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2-08T16:07:00Z" w:initials="VAS">
    <w:p w14:paraId="7B79C174" w14:textId="77777777" w:rsidR="00242231" w:rsidRDefault="00242231" w:rsidP="00242231">
      <w:pPr>
        <w:pStyle w:val="CommentText"/>
      </w:pPr>
      <w:r>
        <w:rPr>
          <w:rStyle w:val="CommentReference"/>
        </w:rPr>
        <w:annotationRef/>
      </w:r>
      <w:r>
        <w:t>ref</w:t>
      </w:r>
    </w:p>
  </w:comment>
  <w:comment w:id="2" w:author="Sarah Van Alsten" w:date="2019-12-12T11:56:00Z" w:initials="VAS">
    <w:p w14:paraId="3D4A8E2B" w14:textId="0EB9E112" w:rsidR="002D3A30" w:rsidRDefault="002D3A30">
      <w:pPr>
        <w:pStyle w:val="CommentText"/>
      </w:pPr>
      <w:r>
        <w:rPr>
          <w:rStyle w:val="CommentReference"/>
        </w:rPr>
        <w:annotationRef/>
      </w:r>
      <w:r>
        <w:t xml:space="preserve">Excluding </w:t>
      </w:r>
      <w:proofErr w:type="spellStart"/>
      <w:r>
        <w:t>ht</w:t>
      </w:r>
      <w:proofErr w:type="spellEnd"/>
    </w:p>
  </w:comment>
  <w:comment w:id="3" w:author="Sarah Van Alsten" w:date="2019-12-12T11:58:00Z" w:initials="VAS">
    <w:p w14:paraId="3BE2CEF0" w14:textId="279F676E" w:rsidR="00EC2017" w:rsidRDefault="00EC2017">
      <w:pPr>
        <w:pStyle w:val="CommentText"/>
      </w:pPr>
      <w:r>
        <w:rPr>
          <w:rStyle w:val="CommentReference"/>
        </w:rPr>
        <w:annotationRef/>
      </w:r>
      <w:proofErr w:type="gramStart"/>
      <w:r>
        <w:t>N(</w:t>
      </w:r>
      <w:proofErr w:type="gramEnd"/>
      <w:r>
        <w:t>%), se</w:t>
      </w:r>
    </w:p>
  </w:comment>
  <w:comment w:id="4"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5"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w:t>
      </w:r>
      <w:proofErr w:type="spellStart"/>
      <w:r w:rsidR="00082507">
        <w:t>eg</w:t>
      </w:r>
      <w:proofErr w:type="spellEnd"/>
      <w:r w:rsidR="00082507">
        <w:t xml:space="preserve"> sociodemographic characteristics</w:t>
      </w:r>
    </w:p>
  </w:comment>
  <w:comment w:id="7"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6"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w:t>
      </w:r>
      <w:proofErr w:type="spellStart"/>
      <w:proofErr w:type="gramStart"/>
      <w:r w:rsidR="00313FAA">
        <w:t>mortaltity</w:t>
      </w:r>
      <w:proofErr w:type="spellEnd"/>
      <w:r w:rsidR="0088512E">
        <w:t>..</w:t>
      </w:r>
      <w:proofErr w:type="gramEnd"/>
      <w:r w:rsidR="0088512E">
        <w:t xml:space="preserve"> spell out what is </w:t>
      </w:r>
      <w:proofErr w:type="spellStart"/>
      <w:r w:rsidR="0088512E">
        <w:t>dz</w:t>
      </w:r>
      <w:proofErr w:type="spellEnd"/>
      <w:r w:rsidR="0088512E">
        <w:t xml:space="preserve"> specific mortality</w:t>
      </w:r>
    </w:p>
  </w:comment>
  <w:comment w:id="8" w:author="Sarah Van Alsten" w:date="2019-12-12T12:02:00Z" w:initials="VAS">
    <w:p w14:paraId="22B26E3D" w14:textId="62273717" w:rsidR="00847221" w:rsidRDefault="00847221">
      <w:pPr>
        <w:pStyle w:val="CommentText"/>
      </w:pPr>
      <w:r>
        <w:rPr>
          <w:rStyle w:val="CommentReference"/>
        </w:rPr>
        <w:annotationRef/>
      </w:r>
      <w:r>
        <w:t>Remove CRN</w:t>
      </w:r>
    </w:p>
  </w:comment>
  <w:comment w:id="9" w:author="Sarah Van Alsten" w:date="2019-12-12T12:00:00Z" w:initials="VAS">
    <w:p w14:paraId="5DE9FEB0" w14:textId="226A1505" w:rsidR="00021B95" w:rsidRDefault="00021B95">
      <w:pPr>
        <w:pStyle w:val="CommentText"/>
      </w:pPr>
      <w:r>
        <w:rPr>
          <w:rStyle w:val="CommentReference"/>
        </w:rPr>
        <w:annotationRef/>
      </w:r>
      <w:r>
        <w:t xml:space="preserve">Add superscripts to connect to </w:t>
      </w:r>
      <w:proofErr w:type="spellStart"/>
      <w:r>
        <w:t>abbreviatioons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79C174" w15:done="0"/>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79C174" w16cid:durableId="21E95B4E"/>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90AEC" w14:textId="77777777" w:rsidR="00EC6BB5" w:rsidRDefault="00EC6BB5" w:rsidP="00857007">
      <w:pPr>
        <w:spacing w:after="0" w:line="240" w:lineRule="auto"/>
      </w:pPr>
      <w:r>
        <w:separator/>
      </w:r>
    </w:p>
  </w:endnote>
  <w:endnote w:type="continuationSeparator" w:id="0">
    <w:p w14:paraId="5706B12D" w14:textId="77777777" w:rsidR="00EC6BB5" w:rsidRDefault="00EC6BB5"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29AF1" w14:textId="77777777" w:rsidR="00EC6BB5" w:rsidRDefault="00EC6BB5" w:rsidP="00857007">
      <w:pPr>
        <w:spacing w:after="0" w:line="240" w:lineRule="auto"/>
      </w:pPr>
      <w:r>
        <w:separator/>
      </w:r>
    </w:p>
  </w:footnote>
  <w:footnote w:type="continuationSeparator" w:id="0">
    <w:p w14:paraId="5D2C072C" w14:textId="77777777" w:rsidR="00EC6BB5" w:rsidRDefault="00EC6BB5"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2036D"/>
    <w:rsid w:val="00020461"/>
    <w:rsid w:val="00021042"/>
    <w:rsid w:val="00021062"/>
    <w:rsid w:val="000216B7"/>
    <w:rsid w:val="00021A21"/>
    <w:rsid w:val="00021B95"/>
    <w:rsid w:val="000221C3"/>
    <w:rsid w:val="000221F7"/>
    <w:rsid w:val="00022F7B"/>
    <w:rsid w:val="000237FC"/>
    <w:rsid w:val="00023981"/>
    <w:rsid w:val="00023CE4"/>
    <w:rsid w:val="00024069"/>
    <w:rsid w:val="00024C1B"/>
    <w:rsid w:val="00025220"/>
    <w:rsid w:val="00025315"/>
    <w:rsid w:val="0002551D"/>
    <w:rsid w:val="000260B5"/>
    <w:rsid w:val="00026B4B"/>
    <w:rsid w:val="00027ACE"/>
    <w:rsid w:val="000306C9"/>
    <w:rsid w:val="00031565"/>
    <w:rsid w:val="000316AB"/>
    <w:rsid w:val="00031FF1"/>
    <w:rsid w:val="000333F9"/>
    <w:rsid w:val="00034072"/>
    <w:rsid w:val="000352D7"/>
    <w:rsid w:val="00035628"/>
    <w:rsid w:val="00036065"/>
    <w:rsid w:val="0003790D"/>
    <w:rsid w:val="000379E7"/>
    <w:rsid w:val="000406DA"/>
    <w:rsid w:val="0004282C"/>
    <w:rsid w:val="00043131"/>
    <w:rsid w:val="000443F4"/>
    <w:rsid w:val="0004537B"/>
    <w:rsid w:val="000466C3"/>
    <w:rsid w:val="00046768"/>
    <w:rsid w:val="00046AD7"/>
    <w:rsid w:val="00047414"/>
    <w:rsid w:val="00047C5E"/>
    <w:rsid w:val="00047D84"/>
    <w:rsid w:val="0005007A"/>
    <w:rsid w:val="00050502"/>
    <w:rsid w:val="00052BA0"/>
    <w:rsid w:val="0005333E"/>
    <w:rsid w:val="000537AA"/>
    <w:rsid w:val="000539F9"/>
    <w:rsid w:val="0005474B"/>
    <w:rsid w:val="0005487A"/>
    <w:rsid w:val="0005534D"/>
    <w:rsid w:val="000554C7"/>
    <w:rsid w:val="00055B69"/>
    <w:rsid w:val="00055FDE"/>
    <w:rsid w:val="000563ED"/>
    <w:rsid w:val="00056DB1"/>
    <w:rsid w:val="00057769"/>
    <w:rsid w:val="000605E9"/>
    <w:rsid w:val="00060640"/>
    <w:rsid w:val="00062638"/>
    <w:rsid w:val="000635FE"/>
    <w:rsid w:val="0006399C"/>
    <w:rsid w:val="00063F41"/>
    <w:rsid w:val="00064410"/>
    <w:rsid w:val="00064485"/>
    <w:rsid w:val="00065945"/>
    <w:rsid w:val="00066B44"/>
    <w:rsid w:val="00066D48"/>
    <w:rsid w:val="00066F7C"/>
    <w:rsid w:val="00067A44"/>
    <w:rsid w:val="00067B61"/>
    <w:rsid w:val="00067C29"/>
    <w:rsid w:val="000701EA"/>
    <w:rsid w:val="0007027B"/>
    <w:rsid w:val="00071762"/>
    <w:rsid w:val="00071C04"/>
    <w:rsid w:val="000737B1"/>
    <w:rsid w:val="00073AF3"/>
    <w:rsid w:val="00075BD5"/>
    <w:rsid w:val="00076181"/>
    <w:rsid w:val="00076996"/>
    <w:rsid w:val="00077790"/>
    <w:rsid w:val="00077B1E"/>
    <w:rsid w:val="00077F1A"/>
    <w:rsid w:val="00080667"/>
    <w:rsid w:val="000822D9"/>
    <w:rsid w:val="00082507"/>
    <w:rsid w:val="000825C0"/>
    <w:rsid w:val="000846E3"/>
    <w:rsid w:val="00084B75"/>
    <w:rsid w:val="00084C1B"/>
    <w:rsid w:val="0008518B"/>
    <w:rsid w:val="00085EC7"/>
    <w:rsid w:val="00086AB7"/>
    <w:rsid w:val="0008764E"/>
    <w:rsid w:val="00087ACC"/>
    <w:rsid w:val="00087ECB"/>
    <w:rsid w:val="00091370"/>
    <w:rsid w:val="00092BB8"/>
    <w:rsid w:val="00093AA7"/>
    <w:rsid w:val="000940A3"/>
    <w:rsid w:val="0009419B"/>
    <w:rsid w:val="00095275"/>
    <w:rsid w:val="0009553E"/>
    <w:rsid w:val="0009678C"/>
    <w:rsid w:val="00097AA5"/>
    <w:rsid w:val="000A0617"/>
    <w:rsid w:val="000A07E1"/>
    <w:rsid w:val="000A0CE7"/>
    <w:rsid w:val="000A18FB"/>
    <w:rsid w:val="000A4710"/>
    <w:rsid w:val="000A47E3"/>
    <w:rsid w:val="000A4D4F"/>
    <w:rsid w:val="000A4DFA"/>
    <w:rsid w:val="000A5BFC"/>
    <w:rsid w:val="000A7455"/>
    <w:rsid w:val="000A7F4A"/>
    <w:rsid w:val="000B009C"/>
    <w:rsid w:val="000B14E6"/>
    <w:rsid w:val="000B1FDB"/>
    <w:rsid w:val="000B240D"/>
    <w:rsid w:val="000B47E5"/>
    <w:rsid w:val="000B4A4F"/>
    <w:rsid w:val="000B5474"/>
    <w:rsid w:val="000B5F6F"/>
    <w:rsid w:val="000B67CF"/>
    <w:rsid w:val="000B6FC4"/>
    <w:rsid w:val="000B79CD"/>
    <w:rsid w:val="000B7E8A"/>
    <w:rsid w:val="000B7F8C"/>
    <w:rsid w:val="000C3225"/>
    <w:rsid w:val="000C38A3"/>
    <w:rsid w:val="000C3B1D"/>
    <w:rsid w:val="000C3CDB"/>
    <w:rsid w:val="000C6150"/>
    <w:rsid w:val="000C73B5"/>
    <w:rsid w:val="000C7C3F"/>
    <w:rsid w:val="000D13A3"/>
    <w:rsid w:val="000D149D"/>
    <w:rsid w:val="000D2901"/>
    <w:rsid w:val="000D32E8"/>
    <w:rsid w:val="000D35A4"/>
    <w:rsid w:val="000D3D75"/>
    <w:rsid w:val="000D429F"/>
    <w:rsid w:val="000D43B7"/>
    <w:rsid w:val="000D5FFA"/>
    <w:rsid w:val="000D616F"/>
    <w:rsid w:val="000D65EA"/>
    <w:rsid w:val="000D68D1"/>
    <w:rsid w:val="000D6E0D"/>
    <w:rsid w:val="000D7BBE"/>
    <w:rsid w:val="000E0B8C"/>
    <w:rsid w:val="000E0CA0"/>
    <w:rsid w:val="000E0FE2"/>
    <w:rsid w:val="000E217F"/>
    <w:rsid w:val="000E31AD"/>
    <w:rsid w:val="000E3526"/>
    <w:rsid w:val="000E3B74"/>
    <w:rsid w:val="000E4BFC"/>
    <w:rsid w:val="000E55BE"/>
    <w:rsid w:val="000E5DB7"/>
    <w:rsid w:val="000F061D"/>
    <w:rsid w:val="000F0A14"/>
    <w:rsid w:val="000F0BB7"/>
    <w:rsid w:val="000F1647"/>
    <w:rsid w:val="000F2F35"/>
    <w:rsid w:val="000F31D7"/>
    <w:rsid w:val="000F3564"/>
    <w:rsid w:val="000F3BF4"/>
    <w:rsid w:val="000F63E1"/>
    <w:rsid w:val="000F6DB8"/>
    <w:rsid w:val="000F73D6"/>
    <w:rsid w:val="00101C61"/>
    <w:rsid w:val="001029DC"/>
    <w:rsid w:val="0010310E"/>
    <w:rsid w:val="00104297"/>
    <w:rsid w:val="001053B4"/>
    <w:rsid w:val="0010642D"/>
    <w:rsid w:val="00107395"/>
    <w:rsid w:val="00107959"/>
    <w:rsid w:val="00107B98"/>
    <w:rsid w:val="00107CA6"/>
    <w:rsid w:val="00107F5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314F"/>
    <w:rsid w:val="00123568"/>
    <w:rsid w:val="00123A1D"/>
    <w:rsid w:val="001241D8"/>
    <w:rsid w:val="00124A08"/>
    <w:rsid w:val="00124E07"/>
    <w:rsid w:val="00125E6B"/>
    <w:rsid w:val="0012719C"/>
    <w:rsid w:val="0012730F"/>
    <w:rsid w:val="00127500"/>
    <w:rsid w:val="0012779E"/>
    <w:rsid w:val="00127942"/>
    <w:rsid w:val="001300AD"/>
    <w:rsid w:val="0013021A"/>
    <w:rsid w:val="00130C5B"/>
    <w:rsid w:val="0013149E"/>
    <w:rsid w:val="00131F4F"/>
    <w:rsid w:val="001340CD"/>
    <w:rsid w:val="00136154"/>
    <w:rsid w:val="00137043"/>
    <w:rsid w:val="001405DE"/>
    <w:rsid w:val="00141E81"/>
    <w:rsid w:val="00142BEB"/>
    <w:rsid w:val="00143F54"/>
    <w:rsid w:val="00144A3B"/>
    <w:rsid w:val="00144E7A"/>
    <w:rsid w:val="0014564E"/>
    <w:rsid w:val="00145C27"/>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3726"/>
    <w:rsid w:val="001643B3"/>
    <w:rsid w:val="00164BCB"/>
    <w:rsid w:val="00164DDD"/>
    <w:rsid w:val="001660EA"/>
    <w:rsid w:val="001675CF"/>
    <w:rsid w:val="001678F8"/>
    <w:rsid w:val="00167B3B"/>
    <w:rsid w:val="001700BA"/>
    <w:rsid w:val="001703C4"/>
    <w:rsid w:val="00170A1E"/>
    <w:rsid w:val="00171154"/>
    <w:rsid w:val="00171F2D"/>
    <w:rsid w:val="00172146"/>
    <w:rsid w:val="001724F1"/>
    <w:rsid w:val="00172A90"/>
    <w:rsid w:val="0017323C"/>
    <w:rsid w:val="00173612"/>
    <w:rsid w:val="00175AEF"/>
    <w:rsid w:val="00177C30"/>
    <w:rsid w:val="00180779"/>
    <w:rsid w:val="00180CF3"/>
    <w:rsid w:val="00181489"/>
    <w:rsid w:val="001817CF"/>
    <w:rsid w:val="001820D5"/>
    <w:rsid w:val="00182725"/>
    <w:rsid w:val="00183D40"/>
    <w:rsid w:val="00183FB9"/>
    <w:rsid w:val="00184023"/>
    <w:rsid w:val="0018445C"/>
    <w:rsid w:val="00184D26"/>
    <w:rsid w:val="00185482"/>
    <w:rsid w:val="00186715"/>
    <w:rsid w:val="001905AA"/>
    <w:rsid w:val="0019062D"/>
    <w:rsid w:val="00191146"/>
    <w:rsid w:val="0019124F"/>
    <w:rsid w:val="001912D4"/>
    <w:rsid w:val="001913F0"/>
    <w:rsid w:val="0019175B"/>
    <w:rsid w:val="001929A2"/>
    <w:rsid w:val="001934D3"/>
    <w:rsid w:val="00194974"/>
    <w:rsid w:val="0019524C"/>
    <w:rsid w:val="00195374"/>
    <w:rsid w:val="00196914"/>
    <w:rsid w:val="00197DF9"/>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2E52"/>
    <w:rsid w:val="001B337C"/>
    <w:rsid w:val="001B3738"/>
    <w:rsid w:val="001B41D8"/>
    <w:rsid w:val="001B497C"/>
    <w:rsid w:val="001B6640"/>
    <w:rsid w:val="001B6A70"/>
    <w:rsid w:val="001B6F85"/>
    <w:rsid w:val="001B77BA"/>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7A48"/>
    <w:rsid w:val="001D2845"/>
    <w:rsid w:val="001D3BF1"/>
    <w:rsid w:val="001D5C29"/>
    <w:rsid w:val="001D6732"/>
    <w:rsid w:val="001D6775"/>
    <w:rsid w:val="001D6ABA"/>
    <w:rsid w:val="001D6E35"/>
    <w:rsid w:val="001D7102"/>
    <w:rsid w:val="001D715A"/>
    <w:rsid w:val="001D73AF"/>
    <w:rsid w:val="001E066B"/>
    <w:rsid w:val="001E100C"/>
    <w:rsid w:val="001E1631"/>
    <w:rsid w:val="001E1FBC"/>
    <w:rsid w:val="001E22C7"/>
    <w:rsid w:val="001E2EDA"/>
    <w:rsid w:val="001E32E6"/>
    <w:rsid w:val="001E4A1B"/>
    <w:rsid w:val="001E5FC5"/>
    <w:rsid w:val="001E64C8"/>
    <w:rsid w:val="001E65D6"/>
    <w:rsid w:val="001E6F91"/>
    <w:rsid w:val="001E7497"/>
    <w:rsid w:val="001E7756"/>
    <w:rsid w:val="001E7814"/>
    <w:rsid w:val="001E7883"/>
    <w:rsid w:val="001F103F"/>
    <w:rsid w:val="001F1846"/>
    <w:rsid w:val="001F1C0D"/>
    <w:rsid w:val="001F2762"/>
    <w:rsid w:val="001F2818"/>
    <w:rsid w:val="001F383C"/>
    <w:rsid w:val="001F3C2B"/>
    <w:rsid w:val="001F4A0B"/>
    <w:rsid w:val="001F5516"/>
    <w:rsid w:val="001F5532"/>
    <w:rsid w:val="001F5BC7"/>
    <w:rsid w:val="001F5D97"/>
    <w:rsid w:val="001F6E23"/>
    <w:rsid w:val="001F7CA8"/>
    <w:rsid w:val="00200FF1"/>
    <w:rsid w:val="00201A7E"/>
    <w:rsid w:val="00202BC6"/>
    <w:rsid w:val="00203187"/>
    <w:rsid w:val="00203638"/>
    <w:rsid w:val="002039C5"/>
    <w:rsid w:val="00204954"/>
    <w:rsid w:val="002057F5"/>
    <w:rsid w:val="002067A6"/>
    <w:rsid w:val="00206D06"/>
    <w:rsid w:val="002073A0"/>
    <w:rsid w:val="0021051D"/>
    <w:rsid w:val="00211E24"/>
    <w:rsid w:val="00213025"/>
    <w:rsid w:val="0021330C"/>
    <w:rsid w:val="0021352A"/>
    <w:rsid w:val="00215255"/>
    <w:rsid w:val="00216035"/>
    <w:rsid w:val="002175AB"/>
    <w:rsid w:val="00217C57"/>
    <w:rsid w:val="00217C8D"/>
    <w:rsid w:val="002200E4"/>
    <w:rsid w:val="00220EB0"/>
    <w:rsid w:val="002219F0"/>
    <w:rsid w:val="00221D09"/>
    <w:rsid w:val="00222307"/>
    <w:rsid w:val="00222E0C"/>
    <w:rsid w:val="00223037"/>
    <w:rsid w:val="00223EF3"/>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6BEF"/>
    <w:rsid w:val="00236F5B"/>
    <w:rsid w:val="00240341"/>
    <w:rsid w:val="0024034C"/>
    <w:rsid w:val="002403BD"/>
    <w:rsid w:val="0024042B"/>
    <w:rsid w:val="00240758"/>
    <w:rsid w:val="00241E27"/>
    <w:rsid w:val="00242231"/>
    <w:rsid w:val="002422C9"/>
    <w:rsid w:val="00242BB8"/>
    <w:rsid w:val="00242C37"/>
    <w:rsid w:val="00243892"/>
    <w:rsid w:val="0024390F"/>
    <w:rsid w:val="00243F92"/>
    <w:rsid w:val="00244AF9"/>
    <w:rsid w:val="00245819"/>
    <w:rsid w:val="00245D8F"/>
    <w:rsid w:val="00246F07"/>
    <w:rsid w:val="0025031C"/>
    <w:rsid w:val="00250FBC"/>
    <w:rsid w:val="0025172D"/>
    <w:rsid w:val="00252D76"/>
    <w:rsid w:val="00254FE3"/>
    <w:rsid w:val="00256065"/>
    <w:rsid w:val="00256499"/>
    <w:rsid w:val="00256DF1"/>
    <w:rsid w:val="00256F1E"/>
    <w:rsid w:val="002602A6"/>
    <w:rsid w:val="00260AB1"/>
    <w:rsid w:val="00260E3A"/>
    <w:rsid w:val="00261574"/>
    <w:rsid w:val="00261630"/>
    <w:rsid w:val="0026333D"/>
    <w:rsid w:val="00264EBB"/>
    <w:rsid w:val="00265E0C"/>
    <w:rsid w:val="0026798B"/>
    <w:rsid w:val="0027093D"/>
    <w:rsid w:val="00270B43"/>
    <w:rsid w:val="00271C05"/>
    <w:rsid w:val="002720D4"/>
    <w:rsid w:val="0027223D"/>
    <w:rsid w:val="0027268E"/>
    <w:rsid w:val="00272757"/>
    <w:rsid w:val="0027281E"/>
    <w:rsid w:val="00272A15"/>
    <w:rsid w:val="00273017"/>
    <w:rsid w:val="00273D95"/>
    <w:rsid w:val="00274F5D"/>
    <w:rsid w:val="00275A4E"/>
    <w:rsid w:val="0027607D"/>
    <w:rsid w:val="002765C2"/>
    <w:rsid w:val="0027660B"/>
    <w:rsid w:val="00276AB1"/>
    <w:rsid w:val="00276AF3"/>
    <w:rsid w:val="00276C8C"/>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20D8"/>
    <w:rsid w:val="00293547"/>
    <w:rsid w:val="00293AA7"/>
    <w:rsid w:val="00295265"/>
    <w:rsid w:val="00296A73"/>
    <w:rsid w:val="00296D2B"/>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47A"/>
    <w:rsid w:val="002B25BE"/>
    <w:rsid w:val="002B2860"/>
    <w:rsid w:val="002B3F22"/>
    <w:rsid w:val="002B4158"/>
    <w:rsid w:val="002B4336"/>
    <w:rsid w:val="002B7DA7"/>
    <w:rsid w:val="002C0174"/>
    <w:rsid w:val="002C0652"/>
    <w:rsid w:val="002C2AA9"/>
    <w:rsid w:val="002C2C69"/>
    <w:rsid w:val="002C4EA5"/>
    <w:rsid w:val="002C51CD"/>
    <w:rsid w:val="002C5257"/>
    <w:rsid w:val="002C637E"/>
    <w:rsid w:val="002C6BE2"/>
    <w:rsid w:val="002C6E27"/>
    <w:rsid w:val="002C75EE"/>
    <w:rsid w:val="002C7C1A"/>
    <w:rsid w:val="002C7C56"/>
    <w:rsid w:val="002D0F39"/>
    <w:rsid w:val="002D1DC5"/>
    <w:rsid w:val="002D265B"/>
    <w:rsid w:val="002D3A30"/>
    <w:rsid w:val="002D5241"/>
    <w:rsid w:val="002D636D"/>
    <w:rsid w:val="002D63B6"/>
    <w:rsid w:val="002D660C"/>
    <w:rsid w:val="002D6B46"/>
    <w:rsid w:val="002D6B55"/>
    <w:rsid w:val="002D7EEF"/>
    <w:rsid w:val="002E0FAF"/>
    <w:rsid w:val="002E1365"/>
    <w:rsid w:val="002E15BD"/>
    <w:rsid w:val="002E1747"/>
    <w:rsid w:val="002E1980"/>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E85"/>
    <w:rsid w:val="002F61A2"/>
    <w:rsid w:val="002F69F5"/>
    <w:rsid w:val="002F7727"/>
    <w:rsid w:val="002F78D5"/>
    <w:rsid w:val="00300851"/>
    <w:rsid w:val="00300ABD"/>
    <w:rsid w:val="00300ECC"/>
    <w:rsid w:val="00300EF1"/>
    <w:rsid w:val="00301604"/>
    <w:rsid w:val="0030188F"/>
    <w:rsid w:val="0030320E"/>
    <w:rsid w:val="00305E03"/>
    <w:rsid w:val="00306A99"/>
    <w:rsid w:val="003071DC"/>
    <w:rsid w:val="003106DC"/>
    <w:rsid w:val="00311208"/>
    <w:rsid w:val="00312D98"/>
    <w:rsid w:val="00313E6E"/>
    <w:rsid w:val="00313E9C"/>
    <w:rsid w:val="00313FAA"/>
    <w:rsid w:val="00315809"/>
    <w:rsid w:val="00316F1E"/>
    <w:rsid w:val="00317356"/>
    <w:rsid w:val="00317605"/>
    <w:rsid w:val="003177F2"/>
    <w:rsid w:val="00317CB2"/>
    <w:rsid w:val="00320B9D"/>
    <w:rsid w:val="003212F0"/>
    <w:rsid w:val="003213DC"/>
    <w:rsid w:val="00321B5A"/>
    <w:rsid w:val="003222D7"/>
    <w:rsid w:val="0032367C"/>
    <w:rsid w:val="003240C0"/>
    <w:rsid w:val="00324D31"/>
    <w:rsid w:val="00324D4D"/>
    <w:rsid w:val="00327A1B"/>
    <w:rsid w:val="00327A9E"/>
    <w:rsid w:val="00327B30"/>
    <w:rsid w:val="003300CF"/>
    <w:rsid w:val="003302E9"/>
    <w:rsid w:val="0033162F"/>
    <w:rsid w:val="003316F7"/>
    <w:rsid w:val="0033190C"/>
    <w:rsid w:val="003333A2"/>
    <w:rsid w:val="00334CC0"/>
    <w:rsid w:val="00335300"/>
    <w:rsid w:val="003353D3"/>
    <w:rsid w:val="003363F2"/>
    <w:rsid w:val="00336FFB"/>
    <w:rsid w:val="00337460"/>
    <w:rsid w:val="0033754F"/>
    <w:rsid w:val="00337873"/>
    <w:rsid w:val="00341F00"/>
    <w:rsid w:val="00341F6C"/>
    <w:rsid w:val="00342679"/>
    <w:rsid w:val="00342967"/>
    <w:rsid w:val="0034511C"/>
    <w:rsid w:val="00345264"/>
    <w:rsid w:val="00346715"/>
    <w:rsid w:val="003504FE"/>
    <w:rsid w:val="0035088A"/>
    <w:rsid w:val="00350B4E"/>
    <w:rsid w:val="00351005"/>
    <w:rsid w:val="00351D28"/>
    <w:rsid w:val="00353442"/>
    <w:rsid w:val="0035357D"/>
    <w:rsid w:val="00353A7F"/>
    <w:rsid w:val="00353B5B"/>
    <w:rsid w:val="0035422C"/>
    <w:rsid w:val="00354BE6"/>
    <w:rsid w:val="00354D3E"/>
    <w:rsid w:val="00355D4E"/>
    <w:rsid w:val="00357000"/>
    <w:rsid w:val="00357AB0"/>
    <w:rsid w:val="0036052B"/>
    <w:rsid w:val="00361991"/>
    <w:rsid w:val="00361F62"/>
    <w:rsid w:val="00361FD1"/>
    <w:rsid w:val="00362CD5"/>
    <w:rsid w:val="003638AE"/>
    <w:rsid w:val="003645BB"/>
    <w:rsid w:val="00364825"/>
    <w:rsid w:val="00364BDA"/>
    <w:rsid w:val="00365A59"/>
    <w:rsid w:val="00366C5C"/>
    <w:rsid w:val="0037105F"/>
    <w:rsid w:val="0037172C"/>
    <w:rsid w:val="0037416E"/>
    <w:rsid w:val="00374484"/>
    <w:rsid w:val="00374D76"/>
    <w:rsid w:val="00376300"/>
    <w:rsid w:val="003774C4"/>
    <w:rsid w:val="00380267"/>
    <w:rsid w:val="003806B1"/>
    <w:rsid w:val="00380B5C"/>
    <w:rsid w:val="0038111F"/>
    <w:rsid w:val="00383231"/>
    <w:rsid w:val="003835E1"/>
    <w:rsid w:val="00383E29"/>
    <w:rsid w:val="00384301"/>
    <w:rsid w:val="0038523C"/>
    <w:rsid w:val="00385E9D"/>
    <w:rsid w:val="003865EF"/>
    <w:rsid w:val="00386DAC"/>
    <w:rsid w:val="00387224"/>
    <w:rsid w:val="0038789B"/>
    <w:rsid w:val="00387B95"/>
    <w:rsid w:val="00390511"/>
    <w:rsid w:val="00390E99"/>
    <w:rsid w:val="00390F37"/>
    <w:rsid w:val="00391291"/>
    <w:rsid w:val="00392774"/>
    <w:rsid w:val="0039394C"/>
    <w:rsid w:val="00394B19"/>
    <w:rsid w:val="00394FA4"/>
    <w:rsid w:val="0039552A"/>
    <w:rsid w:val="00396BA4"/>
    <w:rsid w:val="00396C49"/>
    <w:rsid w:val="003971BB"/>
    <w:rsid w:val="00397459"/>
    <w:rsid w:val="003A0792"/>
    <w:rsid w:val="003A0EA1"/>
    <w:rsid w:val="003A309A"/>
    <w:rsid w:val="003A3239"/>
    <w:rsid w:val="003A364F"/>
    <w:rsid w:val="003A3C28"/>
    <w:rsid w:val="003A40B5"/>
    <w:rsid w:val="003A5976"/>
    <w:rsid w:val="003A5B83"/>
    <w:rsid w:val="003A6971"/>
    <w:rsid w:val="003A7A1D"/>
    <w:rsid w:val="003A7EBD"/>
    <w:rsid w:val="003B054A"/>
    <w:rsid w:val="003B0D19"/>
    <w:rsid w:val="003B29A4"/>
    <w:rsid w:val="003B356A"/>
    <w:rsid w:val="003B3576"/>
    <w:rsid w:val="003B3FEC"/>
    <w:rsid w:val="003B42D8"/>
    <w:rsid w:val="003B4F47"/>
    <w:rsid w:val="003B5919"/>
    <w:rsid w:val="003B6B05"/>
    <w:rsid w:val="003B71DC"/>
    <w:rsid w:val="003C1401"/>
    <w:rsid w:val="003C19C0"/>
    <w:rsid w:val="003C1CF4"/>
    <w:rsid w:val="003C3084"/>
    <w:rsid w:val="003C3644"/>
    <w:rsid w:val="003C38AA"/>
    <w:rsid w:val="003C39C3"/>
    <w:rsid w:val="003C4B8A"/>
    <w:rsid w:val="003C6482"/>
    <w:rsid w:val="003C7392"/>
    <w:rsid w:val="003C744C"/>
    <w:rsid w:val="003C79B1"/>
    <w:rsid w:val="003D0177"/>
    <w:rsid w:val="003D0F35"/>
    <w:rsid w:val="003D1064"/>
    <w:rsid w:val="003D1076"/>
    <w:rsid w:val="003D1307"/>
    <w:rsid w:val="003D2539"/>
    <w:rsid w:val="003D3A16"/>
    <w:rsid w:val="003D3D44"/>
    <w:rsid w:val="003D4BEF"/>
    <w:rsid w:val="003D4EFD"/>
    <w:rsid w:val="003D6877"/>
    <w:rsid w:val="003E0A1D"/>
    <w:rsid w:val="003E0AD3"/>
    <w:rsid w:val="003E4698"/>
    <w:rsid w:val="003E5CF9"/>
    <w:rsid w:val="003E6023"/>
    <w:rsid w:val="003E6512"/>
    <w:rsid w:val="003E7099"/>
    <w:rsid w:val="003E7278"/>
    <w:rsid w:val="003E74E0"/>
    <w:rsid w:val="003F0081"/>
    <w:rsid w:val="003F0D8F"/>
    <w:rsid w:val="003F1028"/>
    <w:rsid w:val="003F154A"/>
    <w:rsid w:val="003F486D"/>
    <w:rsid w:val="003F4A91"/>
    <w:rsid w:val="003F5390"/>
    <w:rsid w:val="003F563E"/>
    <w:rsid w:val="003F6B4F"/>
    <w:rsid w:val="003F6D9C"/>
    <w:rsid w:val="003F6FAD"/>
    <w:rsid w:val="00400625"/>
    <w:rsid w:val="00400DF7"/>
    <w:rsid w:val="00401507"/>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1369"/>
    <w:rsid w:val="00411CED"/>
    <w:rsid w:val="00411EA5"/>
    <w:rsid w:val="00412A05"/>
    <w:rsid w:val="004138E9"/>
    <w:rsid w:val="00414168"/>
    <w:rsid w:val="004143DA"/>
    <w:rsid w:val="00415238"/>
    <w:rsid w:val="00415841"/>
    <w:rsid w:val="00415874"/>
    <w:rsid w:val="004172B3"/>
    <w:rsid w:val="00417B8A"/>
    <w:rsid w:val="00417C11"/>
    <w:rsid w:val="004208E8"/>
    <w:rsid w:val="00422F76"/>
    <w:rsid w:val="0042307E"/>
    <w:rsid w:val="00423129"/>
    <w:rsid w:val="0042326E"/>
    <w:rsid w:val="00424B39"/>
    <w:rsid w:val="0042705A"/>
    <w:rsid w:val="004309AE"/>
    <w:rsid w:val="00430A6A"/>
    <w:rsid w:val="00430EA4"/>
    <w:rsid w:val="00431F16"/>
    <w:rsid w:val="004325D0"/>
    <w:rsid w:val="004326AA"/>
    <w:rsid w:val="00432F76"/>
    <w:rsid w:val="00435B64"/>
    <w:rsid w:val="0043636A"/>
    <w:rsid w:val="0043659B"/>
    <w:rsid w:val="00437369"/>
    <w:rsid w:val="004419ED"/>
    <w:rsid w:val="00442593"/>
    <w:rsid w:val="00442F00"/>
    <w:rsid w:val="0044403F"/>
    <w:rsid w:val="0044496B"/>
    <w:rsid w:val="0044508E"/>
    <w:rsid w:val="0044525E"/>
    <w:rsid w:val="00445300"/>
    <w:rsid w:val="004455BA"/>
    <w:rsid w:val="00446632"/>
    <w:rsid w:val="004475AD"/>
    <w:rsid w:val="00447E8F"/>
    <w:rsid w:val="00450674"/>
    <w:rsid w:val="00451315"/>
    <w:rsid w:val="00452DAF"/>
    <w:rsid w:val="0045300C"/>
    <w:rsid w:val="00453446"/>
    <w:rsid w:val="00453456"/>
    <w:rsid w:val="00453889"/>
    <w:rsid w:val="004550ED"/>
    <w:rsid w:val="0045619F"/>
    <w:rsid w:val="004611BC"/>
    <w:rsid w:val="004615FC"/>
    <w:rsid w:val="00462359"/>
    <w:rsid w:val="00462B51"/>
    <w:rsid w:val="00462F5E"/>
    <w:rsid w:val="00462FFF"/>
    <w:rsid w:val="004635F2"/>
    <w:rsid w:val="0046424C"/>
    <w:rsid w:val="0046612C"/>
    <w:rsid w:val="00466B52"/>
    <w:rsid w:val="00466D52"/>
    <w:rsid w:val="0046707F"/>
    <w:rsid w:val="00467194"/>
    <w:rsid w:val="00470253"/>
    <w:rsid w:val="00470BD1"/>
    <w:rsid w:val="004713C3"/>
    <w:rsid w:val="00471CB8"/>
    <w:rsid w:val="00471E27"/>
    <w:rsid w:val="004724E2"/>
    <w:rsid w:val="00472D3E"/>
    <w:rsid w:val="00472EAD"/>
    <w:rsid w:val="00473B1A"/>
    <w:rsid w:val="0047416D"/>
    <w:rsid w:val="004746C7"/>
    <w:rsid w:val="0047492C"/>
    <w:rsid w:val="00474FC1"/>
    <w:rsid w:val="004751F8"/>
    <w:rsid w:val="00475312"/>
    <w:rsid w:val="00475B5C"/>
    <w:rsid w:val="00477162"/>
    <w:rsid w:val="0047735D"/>
    <w:rsid w:val="00477CB7"/>
    <w:rsid w:val="004806F3"/>
    <w:rsid w:val="004808FC"/>
    <w:rsid w:val="00481873"/>
    <w:rsid w:val="00481BEC"/>
    <w:rsid w:val="00481FE4"/>
    <w:rsid w:val="004824B6"/>
    <w:rsid w:val="00484091"/>
    <w:rsid w:val="004859B1"/>
    <w:rsid w:val="0048630F"/>
    <w:rsid w:val="0048759A"/>
    <w:rsid w:val="00487AE1"/>
    <w:rsid w:val="00487D29"/>
    <w:rsid w:val="0049301E"/>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767"/>
    <w:rsid w:val="004A389D"/>
    <w:rsid w:val="004A5C5F"/>
    <w:rsid w:val="004A62F5"/>
    <w:rsid w:val="004A77F4"/>
    <w:rsid w:val="004A7CFA"/>
    <w:rsid w:val="004B003D"/>
    <w:rsid w:val="004B06BB"/>
    <w:rsid w:val="004B0748"/>
    <w:rsid w:val="004B0ADE"/>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3F5"/>
    <w:rsid w:val="004C1948"/>
    <w:rsid w:val="004C1C53"/>
    <w:rsid w:val="004C1C80"/>
    <w:rsid w:val="004C23F8"/>
    <w:rsid w:val="004C26FB"/>
    <w:rsid w:val="004C29BF"/>
    <w:rsid w:val="004C368D"/>
    <w:rsid w:val="004C410E"/>
    <w:rsid w:val="004C5E79"/>
    <w:rsid w:val="004C6DD9"/>
    <w:rsid w:val="004C7468"/>
    <w:rsid w:val="004C797B"/>
    <w:rsid w:val="004C7C89"/>
    <w:rsid w:val="004C7EC3"/>
    <w:rsid w:val="004D0B94"/>
    <w:rsid w:val="004D128A"/>
    <w:rsid w:val="004D28FC"/>
    <w:rsid w:val="004D2CD3"/>
    <w:rsid w:val="004D39A8"/>
    <w:rsid w:val="004D45C5"/>
    <w:rsid w:val="004D4878"/>
    <w:rsid w:val="004D51F6"/>
    <w:rsid w:val="004D53C4"/>
    <w:rsid w:val="004D7B53"/>
    <w:rsid w:val="004D7F91"/>
    <w:rsid w:val="004D7FAE"/>
    <w:rsid w:val="004E081E"/>
    <w:rsid w:val="004E1B8C"/>
    <w:rsid w:val="004E2663"/>
    <w:rsid w:val="004E29EE"/>
    <w:rsid w:val="004E2B80"/>
    <w:rsid w:val="004E2E07"/>
    <w:rsid w:val="004E55DF"/>
    <w:rsid w:val="004E5B46"/>
    <w:rsid w:val="004E5DB5"/>
    <w:rsid w:val="004E64C5"/>
    <w:rsid w:val="004E688D"/>
    <w:rsid w:val="004E739A"/>
    <w:rsid w:val="004E7553"/>
    <w:rsid w:val="004E75E3"/>
    <w:rsid w:val="004F07DE"/>
    <w:rsid w:val="004F2547"/>
    <w:rsid w:val="004F2DE0"/>
    <w:rsid w:val="004F31CA"/>
    <w:rsid w:val="004F4F33"/>
    <w:rsid w:val="004F5737"/>
    <w:rsid w:val="004F627A"/>
    <w:rsid w:val="00500162"/>
    <w:rsid w:val="005003DC"/>
    <w:rsid w:val="0050096F"/>
    <w:rsid w:val="00500EF6"/>
    <w:rsid w:val="00501D4D"/>
    <w:rsid w:val="005022E0"/>
    <w:rsid w:val="00502F2E"/>
    <w:rsid w:val="005034C6"/>
    <w:rsid w:val="005038AA"/>
    <w:rsid w:val="00503DC3"/>
    <w:rsid w:val="005048F1"/>
    <w:rsid w:val="00507023"/>
    <w:rsid w:val="00507370"/>
    <w:rsid w:val="00507C93"/>
    <w:rsid w:val="00511033"/>
    <w:rsid w:val="00512293"/>
    <w:rsid w:val="00512A84"/>
    <w:rsid w:val="00513848"/>
    <w:rsid w:val="00513AD7"/>
    <w:rsid w:val="00513CEB"/>
    <w:rsid w:val="00514558"/>
    <w:rsid w:val="00515B60"/>
    <w:rsid w:val="00515DB2"/>
    <w:rsid w:val="00516ADC"/>
    <w:rsid w:val="005174B1"/>
    <w:rsid w:val="0052030F"/>
    <w:rsid w:val="005206F8"/>
    <w:rsid w:val="00521169"/>
    <w:rsid w:val="00521B6A"/>
    <w:rsid w:val="00522EA3"/>
    <w:rsid w:val="005237C4"/>
    <w:rsid w:val="005242C1"/>
    <w:rsid w:val="00524A93"/>
    <w:rsid w:val="00524D65"/>
    <w:rsid w:val="005253DA"/>
    <w:rsid w:val="005257D6"/>
    <w:rsid w:val="00531D01"/>
    <w:rsid w:val="005328F7"/>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925"/>
    <w:rsid w:val="00542552"/>
    <w:rsid w:val="00542797"/>
    <w:rsid w:val="0054390E"/>
    <w:rsid w:val="00543AF2"/>
    <w:rsid w:val="005445AD"/>
    <w:rsid w:val="00544652"/>
    <w:rsid w:val="0054473D"/>
    <w:rsid w:val="00546160"/>
    <w:rsid w:val="005470F3"/>
    <w:rsid w:val="00547386"/>
    <w:rsid w:val="0054752E"/>
    <w:rsid w:val="00547FB4"/>
    <w:rsid w:val="0055043A"/>
    <w:rsid w:val="00550ECD"/>
    <w:rsid w:val="00551206"/>
    <w:rsid w:val="00551447"/>
    <w:rsid w:val="00552432"/>
    <w:rsid w:val="0055355E"/>
    <w:rsid w:val="00554529"/>
    <w:rsid w:val="00554CE1"/>
    <w:rsid w:val="0055514E"/>
    <w:rsid w:val="0055556C"/>
    <w:rsid w:val="00556343"/>
    <w:rsid w:val="00556762"/>
    <w:rsid w:val="00556A16"/>
    <w:rsid w:val="00556D32"/>
    <w:rsid w:val="005571DF"/>
    <w:rsid w:val="00557781"/>
    <w:rsid w:val="005577FB"/>
    <w:rsid w:val="005607B3"/>
    <w:rsid w:val="00562D5E"/>
    <w:rsid w:val="00563A76"/>
    <w:rsid w:val="00563B35"/>
    <w:rsid w:val="005640E7"/>
    <w:rsid w:val="005641D1"/>
    <w:rsid w:val="005647B0"/>
    <w:rsid w:val="00564B4F"/>
    <w:rsid w:val="00565327"/>
    <w:rsid w:val="00565ABA"/>
    <w:rsid w:val="00567505"/>
    <w:rsid w:val="00567BE5"/>
    <w:rsid w:val="00567D42"/>
    <w:rsid w:val="00570354"/>
    <w:rsid w:val="00570ACE"/>
    <w:rsid w:val="005714FB"/>
    <w:rsid w:val="00572180"/>
    <w:rsid w:val="00572210"/>
    <w:rsid w:val="005722DC"/>
    <w:rsid w:val="00573763"/>
    <w:rsid w:val="00573F9A"/>
    <w:rsid w:val="0057455E"/>
    <w:rsid w:val="005745B9"/>
    <w:rsid w:val="0057583C"/>
    <w:rsid w:val="00575DE2"/>
    <w:rsid w:val="00576067"/>
    <w:rsid w:val="00576159"/>
    <w:rsid w:val="00577DE7"/>
    <w:rsid w:val="005805D7"/>
    <w:rsid w:val="0058095B"/>
    <w:rsid w:val="00581E99"/>
    <w:rsid w:val="00581F61"/>
    <w:rsid w:val="00582184"/>
    <w:rsid w:val="005830CB"/>
    <w:rsid w:val="00583995"/>
    <w:rsid w:val="00583FC1"/>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E5B"/>
    <w:rsid w:val="00596F89"/>
    <w:rsid w:val="0059748D"/>
    <w:rsid w:val="00597B35"/>
    <w:rsid w:val="005A1273"/>
    <w:rsid w:val="005A1638"/>
    <w:rsid w:val="005A1809"/>
    <w:rsid w:val="005A20B0"/>
    <w:rsid w:val="005A26BA"/>
    <w:rsid w:val="005A292D"/>
    <w:rsid w:val="005A4ACF"/>
    <w:rsid w:val="005A5FB8"/>
    <w:rsid w:val="005A62F5"/>
    <w:rsid w:val="005A6CAD"/>
    <w:rsid w:val="005A71C9"/>
    <w:rsid w:val="005A75E6"/>
    <w:rsid w:val="005A7779"/>
    <w:rsid w:val="005A7F58"/>
    <w:rsid w:val="005B00AD"/>
    <w:rsid w:val="005B0972"/>
    <w:rsid w:val="005B0E84"/>
    <w:rsid w:val="005B1414"/>
    <w:rsid w:val="005B1CB3"/>
    <w:rsid w:val="005B1F8A"/>
    <w:rsid w:val="005B309D"/>
    <w:rsid w:val="005B3303"/>
    <w:rsid w:val="005B3A5D"/>
    <w:rsid w:val="005B3E96"/>
    <w:rsid w:val="005B500D"/>
    <w:rsid w:val="005B731D"/>
    <w:rsid w:val="005B78FC"/>
    <w:rsid w:val="005B7D1B"/>
    <w:rsid w:val="005C0821"/>
    <w:rsid w:val="005C10A6"/>
    <w:rsid w:val="005C3195"/>
    <w:rsid w:val="005C32A9"/>
    <w:rsid w:val="005C3B3E"/>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73F1"/>
    <w:rsid w:val="005D7534"/>
    <w:rsid w:val="005D7A9E"/>
    <w:rsid w:val="005D7D6E"/>
    <w:rsid w:val="005E06DB"/>
    <w:rsid w:val="005E0C99"/>
    <w:rsid w:val="005E16C8"/>
    <w:rsid w:val="005E1EBC"/>
    <w:rsid w:val="005E1FED"/>
    <w:rsid w:val="005E22A6"/>
    <w:rsid w:val="005E418E"/>
    <w:rsid w:val="005E4656"/>
    <w:rsid w:val="005E47DD"/>
    <w:rsid w:val="005E4B11"/>
    <w:rsid w:val="005E4F0A"/>
    <w:rsid w:val="005E5E60"/>
    <w:rsid w:val="005E6823"/>
    <w:rsid w:val="005E6948"/>
    <w:rsid w:val="005E70C7"/>
    <w:rsid w:val="005E7925"/>
    <w:rsid w:val="005F0BCD"/>
    <w:rsid w:val="005F0BE8"/>
    <w:rsid w:val="005F13F2"/>
    <w:rsid w:val="005F2FB8"/>
    <w:rsid w:val="005F362C"/>
    <w:rsid w:val="005F36FE"/>
    <w:rsid w:val="005F4538"/>
    <w:rsid w:val="005F4872"/>
    <w:rsid w:val="005F5545"/>
    <w:rsid w:val="005F570C"/>
    <w:rsid w:val="005F58FE"/>
    <w:rsid w:val="005F67CC"/>
    <w:rsid w:val="005F6DA3"/>
    <w:rsid w:val="005F77FB"/>
    <w:rsid w:val="005F7B7E"/>
    <w:rsid w:val="005F7EA1"/>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421C"/>
    <w:rsid w:val="00614488"/>
    <w:rsid w:val="006169C8"/>
    <w:rsid w:val="00617BC6"/>
    <w:rsid w:val="00617C0F"/>
    <w:rsid w:val="00617D0C"/>
    <w:rsid w:val="00620C3F"/>
    <w:rsid w:val="006224FB"/>
    <w:rsid w:val="00624368"/>
    <w:rsid w:val="00624DD0"/>
    <w:rsid w:val="00626C02"/>
    <w:rsid w:val="00627012"/>
    <w:rsid w:val="00627978"/>
    <w:rsid w:val="006302A8"/>
    <w:rsid w:val="00630345"/>
    <w:rsid w:val="00630DAE"/>
    <w:rsid w:val="0063173D"/>
    <w:rsid w:val="00631FCA"/>
    <w:rsid w:val="0063207B"/>
    <w:rsid w:val="00632496"/>
    <w:rsid w:val="00632912"/>
    <w:rsid w:val="00634925"/>
    <w:rsid w:val="00635080"/>
    <w:rsid w:val="00636286"/>
    <w:rsid w:val="006366AB"/>
    <w:rsid w:val="0063683C"/>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BFD"/>
    <w:rsid w:val="00653049"/>
    <w:rsid w:val="0065471C"/>
    <w:rsid w:val="00654988"/>
    <w:rsid w:val="00654BBF"/>
    <w:rsid w:val="00654E50"/>
    <w:rsid w:val="006550F9"/>
    <w:rsid w:val="00656A02"/>
    <w:rsid w:val="00656ACF"/>
    <w:rsid w:val="00657FDF"/>
    <w:rsid w:val="00660AF6"/>
    <w:rsid w:val="0066118E"/>
    <w:rsid w:val="00661B34"/>
    <w:rsid w:val="00661E28"/>
    <w:rsid w:val="00661E33"/>
    <w:rsid w:val="006622C7"/>
    <w:rsid w:val="00662D08"/>
    <w:rsid w:val="00663291"/>
    <w:rsid w:val="006643FD"/>
    <w:rsid w:val="00664452"/>
    <w:rsid w:val="00664C05"/>
    <w:rsid w:val="0066565E"/>
    <w:rsid w:val="00666177"/>
    <w:rsid w:val="00666436"/>
    <w:rsid w:val="00666E59"/>
    <w:rsid w:val="00667FC2"/>
    <w:rsid w:val="00670124"/>
    <w:rsid w:val="00671D2E"/>
    <w:rsid w:val="00672ED2"/>
    <w:rsid w:val="00672FC2"/>
    <w:rsid w:val="00673D02"/>
    <w:rsid w:val="00674485"/>
    <w:rsid w:val="00674FF7"/>
    <w:rsid w:val="0067534E"/>
    <w:rsid w:val="006756A4"/>
    <w:rsid w:val="00675DE8"/>
    <w:rsid w:val="00676D31"/>
    <w:rsid w:val="00677981"/>
    <w:rsid w:val="00677A38"/>
    <w:rsid w:val="00680083"/>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9A5"/>
    <w:rsid w:val="00694D8E"/>
    <w:rsid w:val="006952CF"/>
    <w:rsid w:val="00695B1B"/>
    <w:rsid w:val="00695CA1"/>
    <w:rsid w:val="006972FC"/>
    <w:rsid w:val="006A1309"/>
    <w:rsid w:val="006A2524"/>
    <w:rsid w:val="006A5601"/>
    <w:rsid w:val="006A6988"/>
    <w:rsid w:val="006A69FD"/>
    <w:rsid w:val="006A763E"/>
    <w:rsid w:val="006A77ED"/>
    <w:rsid w:val="006A7EAB"/>
    <w:rsid w:val="006B0B7C"/>
    <w:rsid w:val="006B0ECC"/>
    <w:rsid w:val="006B2737"/>
    <w:rsid w:val="006B2757"/>
    <w:rsid w:val="006B30D4"/>
    <w:rsid w:val="006B33E4"/>
    <w:rsid w:val="006B3F80"/>
    <w:rsid w:val="006B4B88"/>
    <w:rsid w:val="006B5CEB"/>
    <w:rsid w:val="006B5D15"/>
    <w:rsid w:val="006B6189"/>
    <w:rsid w:val="006B65A0"/>
    <w:rsid w:val="006B6A1F"/>
    <w:rsid w:val="006C02F3"/>
    <w:rsid w:val="006C0475"/>
    <w:rsid w:val="006C23A3"/>
    <w:rsid w:val="006C3831"/>
    <w:rsid w:val="006C46BD"/>
    <w:rsid w:val="006C47A2"/>
    <w:rsid w:val="006C484F"/>
    <w:rsid w:val="006C5089"/>
    <w:rsid w:val="006D0466"/>
    <w:rsid w:val="006D0807"/>
    <w:rsid w:val="006D08BB"/>
    <w:rsid w:val="006D1536"/>
    <w:rsid w:val="006D2197"/>
    <w:rsid w:val="006D252E"/>
    <w:rsid w:val="006D271C"/>
    <w:rsid w:val="006D379B"/>
    <w:rsid w:val="006D64C9"/>
    <w:rsid w:val="006D6599"/>
    <w:rsid w:val="006D75B2"/>
    <w:rsid w:val="006D7B67"/>
    <w:rsid w:val="006E0350"/>
    <w:rsid w:val="006E08B4"/>
    <w:rsid w:val="006E09B7"/>
    <w:rsid w:val="006E0AC1"/>
    <w:rsid w:val="006E15C6"/>
    <w:rsid w:val="006E263D"/>
    <w:rsid w:val="006E290A"/>
    <w:rsid w:val="006E3081"/>
    <w:rsid w:val="006E37D8"/>
    <w:rsid w:val="006E4915"/>
    <w:rsid w:val="006E4A2A"/>
    <w:rsid w:val="006E54B2"/>
    <w:rsid w:val="006E6005"/>
    <w:rsid w:val="006E6517"/>
    <w:rsid w:val="006E6A41"/>
    <w:rsid w:val="006E7264"/>
    <w:rsid w:val="006F0E31"/>
    <w:rsid w:val="006F1518"/>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E33"/>
    <w:rsid w:val="00707B73"/>
    <w:rsid w:val="00707FC1"/>
    <w:rsid w:val="00710748"/>
    <w:rsid w:val="00710B0C"/>
    <w:rsid w:val="00710E9E"/>
    <w:rsid w:val="00712407"/>
    <w:rsid w:val="00712896"/>
    <w:rsid w:val="00712E7F"/>
    <w:rsid w:val="007137F4"/>
    <w:rsid w:val="007138A1"/>
    <w:rsid w:val="00713DF8"/>
    <w:rsid w:val="00714248"/>
    <w:rsid w:val="00715B36"/>
    <w:rsid w:val="00715C59"/>
    <w:rsid w:val="00715CC9"/>
    <w:rsid w:val="00715D4E"/>
    <w:rsid w:val="00715F50"/>
    <w:rsid w:val="0071677B"/>
    <w:rsid w:val="00716FC0"/>
    <w:rsid w:val="0072000C"/>
    <w:rsid w:val="00720D72"/>
    <w:rsid w:val="00721ED6"/>
    <w:rsid w:val="00722429"/>
    <w:rsid w:val="007228D0"/>
    <w:rsid w:val="00723C4A"/>
    <w:rsid w:val="00724C8A"/>
    <w:rsid w:val="00725E73"/>
    <w:rsid w:val="00726513"/>
    <w:rsid w:val="00726CF1"/>
    <w:rsid w:val="00726EBF"/>
    <w:rsid w:val="00726F69"/>
    <w:rsid w:val="00730163"/>
    <w:rsid w:val="00730B04"/>
    <w:rsid w:val="00731327"/>
    <w:rsid w:val="007316F6"/>
    <w:rsid w:val="00731F46"/>
    <w:rsid w:val="0073203D"/>
    <w:rsid w:val="007321EB"/>
    <w:rsid w:val="0073262E"/>
    <w:rsid w:val="00733130"/>
    <w:rsid w:val="00733BBF"/>
    <w:rsid w:val="00735877"/>
    <w:rsid w:val="007358B9"/>
    <w:rsid w:val="007358E4"/>
    <w:rsid w:val="007379C4"/>
    <w:rsid w:val="00740A4A"/>
    <w:rsid w:val="00740E00"/>
    <w:rsid w:val="00741EF7"/>
    <w:rsid w:val="0074272D"/>
    <w:rsid w:val="00742B35"/>
    <w:rsid w:val="00743065"/>
    <w:rsid w:val="00744222"/>
    <w:rsid w:val="00744226"/>
    <w:rsid w:val="00744C0D"/>
    <w:rsid w:val="00744E1B"/>
    <w:rsid w:val="0074543F"/>
    <w:rsid w:val="00745502"/>
    <w:rsid w:val="00745559"/>
    <w:rsid w:val="00745BA5"/>
    <w:rsid w:val="00746DE7"/>
    <w:rsid w:val="00747146"/>
    <w:rsid w:val="007518AE"/>
    <w:rsid w:val="0075196B"/>
    <w:rsid w:val="0075296C"/>
    <w:rsid w:val="00755C64"/>
    <w:rsid w:val="007566C7"/>
    <w:rsid w:val="00756C13"/>
    <w:rsid w:val="00756C3A"/>
    <w:rsid w:val="0076014C"/>
    <w:rsid w:val="00760456"/>
    <w:rsid w:val="007609C6"/>
    <w:rsid w:val="007615CD"/>
    <w:rsid w:val="0076163B"/>
    <w:rsid w:val="0076197E"/>
    <w:rsid w:val="0076212F"/>
    <w:rsid w:val="007622DF"/>
    <w:rsid w:val="00763566"/>
    <w:rsid w:val="007644C4"/>
    <w:rsid w:val="00765457"/>
    <w:rsid w:val="00765AD9"/>
    <w:rsid w:val="00766DC1"/>
    <w:rsid w:val="00767698"/>
    <w:rsid w:val="00767756"/>
    <w:rsid w:val="007677D9"/>
    <w:rsid w:val="00771BF8"/>
    <w:rsid w:val="007721CD"/>
    <w:rsid w:val="00773509"/>
    <w:rsid w:val="007742CC"/>
    <w:rsid w:val="00774568"/>
    <w:rsid w:val="00775284"/>
    <w:rsid w:val="00775748"/>
    <w:rsid w:val="007762A2"/>
    <w:rsid w:val="007764C5"/>
    <w:rsid w:val="007772F9"/>
    <w:rsid w:val="00780EA6"/>
    <w:rsid w:val="00781511"/>
    <w:rsid w:val="00781898"/>
    <w:rsid w:val="00781BFF"/>
    <w:rsid w:val="00782672"/>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00E"/>
    <w:rsid w:val="007A3F01"/>
    <w:rsid w:val="007A4997"/>
    <w:rsid w:val="007A59A7"/>
    <w:rsid w:val="007A637B"/>
    <w:rsid w:val="007A73D0"/>
    <w:rsid w:val="007B06EB"/>
    <w:rsid w:val="007B09A7"/>
    <w:rsid w:val="007B165F"/>
    <w:rsid w:val="007B40AA"/>
    <w:rsid w:val="007B4CB7"/>
    <w:rsid w:val="007B5AC0"/>
    <w:rsid w:val="007B5C8E"/>
    <w:rsid w:val="007B6012"/>
    <w:rsid w:val="007B655D"/>
    <w:rsid w:val="007B675C"/>
    <w:rsid w:val="007B6F36"/>
    <w:rsid w:val="007B7041"/>
    <w:rsid w:val="007B7708"/>
    <w:rsid w:val="007B7A74"/>
    <w:rsid w:val="007B7BFF"/>
    <w:rsid w:val="007B7E05"/>
    <w:rsid w:val="007C0428"/>
    <w:rsid w:val="007C0796"/>
    <w:rsid w:val="007C0F88"/>
    <w:rsid w:val="007C166D"/>
    <w:rsid w:val="007C2018"/>
    <w:rsid w:val="007C2752"/>
    <w:rsid w:val="007C2E4C"/>
    <w:rsid w:val="007C357D"/>
    <w:rsid w:val="007C4243"/>
    <w:rsid w:val="007C4BF9"/>
    <w:rsid w:val="007C505F"/>
    <w:rsid w:val="007C5DAA"/>
    <w:rsid w:val="007C62CE"/>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E50"/>
    <w:rsid w:val="007E3BD3"/>
    <w:rsid w:val="007E4FB2"/>
    <w:rsid w:val="007E5956"/>
    <w:rsid w:val="007E6A2F"/>
    <w:rsid w:val="007E6D19"/>
    <w:rsid w:val="007E7144"/>
    <w:rsid w:val="007E745A"/>
    <w:rsid w:val="007E75D7"/>
    <w:rsid w:val="007F07F4"/>
    <w:rsid w:val="007F0B19"/>
    <w:rsid w:val="007F0E5F"/>
    <w:rsid w:val="007F1CA7"/>
    <w:rsid w:val="007F1D90"/>
    <w:rsid w:val="007F275B"/>
    <w:rsid w:val="007F297B"/>
    <w:rsid w:val="007F401F"/>
    <w:rsid w:val="007F499A"/>
    <w:rsid w:val="007F706D"/>
    <w:rsid w:val="007F728B"/>
    <w:rsid w:val="007F75BF"/>
    <w:rsid w:val="007F7B8D"/>
    <w:rsid w:val="00800366"/>
    <w:rsid w:val="00800B04"/>
    <w:rsid w:val="00801B11"/>
    <w:rsid w:val="008029FE"/>
    <w:rsid w:val="00802EAC"/>
    <w:rsid w:val="0080406D"/>
    <w:rsid w:val="0080482E"/>
    <w:rsid w:val="00804F68"/>
    <w:rsid w:val="008058FF"/>
    <w:rsid w:val="00806399"/>
    <w:rsid w:val="00806C3E"/>
    <w:rsid w:val="00806CF0"/>
    <w:rsid w:val="0080771E"/>
    <w:rsid w:val="008079E4"/>
    <w:rsid w:val="00807D6E"/>
    <w:rsid w:val="00810C42"/>
    <w:rsid w:val="008125F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4330"/>
    <w:rsid w:val="00834AF6"/>
    <w:rsid w:val="00835090"/>
    <w:rsid w:val="00835321"/>
    <w:rsid w:val="00835AE4"/>
    <w:rsid w:val="0083659E"/>
    <w:rsid w:val="00836BC2"/>
    <w:rsid w:val="00836DA7"/>
    <w:rsid w:val="008373A7"/>
    <w:rsid w:val="00837E79"/>
    <w:rsid w:val="00840477"/>
    <w:rsid w:val="00840A03"/>
    <w:rsid w:val="00840EB3"/>
    <w:rsid w:val="008418A0"/>
    <w:rsid w:val="0084197D"/>
    <w:rsid w:val="008424DE"/>
    <w:rsid w:val="00842D64"/>
    <w:rsid w:val="00844251"/>
    <w:rsid w:val="00844755"/>
    <w:rsid w:val="0084493B"/>
    <w:rsid w:val="008464FD"/>
    <w:rsid w:val="00846A6F"/>
    <w:rsid w:val="008470D3"/>
    <w:rsid w:val="00847221"/>
    <w:rsid w:val="00847543"/>
    <w:rsid w:val="00850296"/>
    <w:rsid w:val="00850839"/>
    <w:rsid w:val="008514CF"/>
    <w:rsid w:val="00851660"/>
    <w:rsid w:val="00851931"/>
    <w:rsid w:val="00851971"/>
    <w:rsid w:val="008525D2"/>
    <w:rsid w:val="00852BFC"/>
    <w:rsid w:val="00853008"/>
    <w:rsid w:val="0085323F"/>
    <w:rsid w:val="00854A14"/>
    <w:rsid w:val="00854DF6"/>
    <w:rsid w:val="00856898"/>
    <w:rsid w:val="008568BC"/>
    <w:rsid w:val="00856C5D"/>
    <w:rsid w:val="00856FA3"/>
    <w:rsid w:val="00857007"/>
    <w:rsid w:val="0086051C"/>
    <w:rsid w:val="0086107E"/>
    <w:rsid w:val="008610D5"/>
    <w:rsid w:val="00861691"/>
    <w:rsid w:val="008620C6"/>
    <w:rsid w:val="008621CA"/>
    <w:rsid w:val="00862671"/>
    <w:rsid w:val="008629F2"/>
    <w:rsid w:val="00862AFA"/>
    <w:rsid w:val="00864981"/>
    <w:rsid w:val="00865053"/>
    <w:rsid w:val="00865160"/>
    <w:rsid w:val="008651D1"/>
    <w:rsid w:val="0086526C"/>
    <w:rsid w:val="0086616C"/>
    <w:rsid w:val="0086620F"/>
    <w:rsid w:val="00867368"/>
    <w:rsid w:val="008710F1"/>
    <w:rsid w:val="008729EF"/>
    <w:rsid w:val="008731F4"/>
    <w:rsid w:val="0087460B"/>
    <w:rsid w:val="00874768"/>
    <w:rsid w:val="00875BE7"/>
    <w:rsid w:val="00875F8E"/>
    <w:rsid w:val="00876108"/>
    <w:rsid w:val="008774A8"/>
    <w:rsid w:val="00881172"/>
    <w:rsid w:val="008811AF"/>
    <w:rsid w:val="00881DD3"/>
    <w:rsid w:val="00881E92"/>
    <w:rsid w:val="0088229E"/>
    <w:rsid w:val="00882FFB"/>
    <w:rsid w:val="008833A4"/>
    <w:rsid w:val="0088512E"/>
    <w:rsid w:val="008866F5"/>
    <w:rsid w:val="00887567"/>
    <w:rsid w:val="0088778D"/>
    <w:rsid w:val="00887D0A"/>
    <w:rsid w:val="00887E6D"/>
    <w:rsid w:val="00892004"/>
    <w:rsid w:val="008921BC"/>
    <w:rsid w:val="008927E5"/>
    <w:rsid w:val="00893C88"/>
    <w:rsid w:val="0089411C"/>
    <w:rsid w:val="00895542"/>
    <w:rsid w:val="00895615"/>
    <w:rsid w:val="00895A50"/>
    <w:rsid w:val="00895B65"/>
    <w:rsid w:val="00895CF1"/>
    <w:rsid w:val="00895EC2"/>
    <w:rsid w:val="008963E8"/>
    <w:rsid w:val="00896D76"/>
    <w:rsid w:val="00897148"/>
    <w:rsid w:val="008A0078"/>
    <w:rsid w:val="008A091C"/>
    <w:rsid w:val="008A13E8"/>
    <w:rsid w:val="008A1790"/>
    <w:rsid w:val="008A1929"/>
    <w:rsid w:val="008A2E5F"/>
    <w:rsid w:val="008A3C5D"/>
    <w:rsid w:val="008A4179"/>
    <w:rsid w:val="008A43E4"/>
    <w:rsid w:val="008A5AC8"/>
    <w:rsid w:val="008A5EE0"/>
    <w:rsid w:val="008A68A9"/>
    <w:rsid w:val="008A6BDC"/>
    <w:rsid w:val="008A6E06"/>
    <w:rsid w:val="008A781A"/>
    <w:rsid w:val="008B05A7"/>
    <w:rsid w:val="008B077B"/>
    <w:rsid w:val="008B11A3"/>
    <w:rsid w:val="008B2F2D"/>
    <w:rsid w:val="008B40CA"/>
    <w:rsid w:val="008B41D3"/>
    <w:rsid w:val="008B5279"/>
    <w:rsid w:val="008B5347"/>
    <w:rsid w:val="008B59A6"/>
    <w:rsid w:val="008B666D"/>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21B9"/>
    <w:rsid w:val="008D4078"/>
    <w:rsid w:val="008D4328"/>
    <w:rsid w:val="008D4A3B"/>
    <w:rsid w:val="008D58D2"/>
    <w:rsid w:val="008E047B"/>
    <w:rsid w:val="008E0801"/>
    <w:rsid w:val="008E08A2"/>
    <w:rsid w:val="008E0A4F"/>
    <w:rsid w:val="008E1A82"/>
    <w:rsid w:val="008E1DA8"/>
    <w:rsid w:val="008E2D4C"/>
    <w:rsid w:val="008E3036"/>
    <w:rsid w:val="008E4B13"/>
    <w:rsid w:val="008E5509"/>
    <w:rsid w:val="008E592C"/>
    <w:rsid w:val="008E5B5D"/>
    <w:rsid w:val="008E66F8"/>
    <w:rsid w:val="008E76CB"/>
    <w:rsid w:val="008F00C9"/>
    <w:rsid w:val="008F1BC8"/>
    <w:rsid w:val="008F2391"/>
    <w:rsid w:val="008F2B5E"/>
    <w:rsid w:val="008F30CC"/>
    <w:rsid w:val="008F382F"/>
    <w:rsid w:val="008F3D66"/>
    <w:rsid w:val="008F5B93"/>
    <w:rsid w:val="008F61F6"/>
    <w:rsid w:val="008F6886"/>
    <w:rsid w:val="008F6970"/>
    <w:rsid w:val="008F6BA5"/>
    <w:rsid w:val="009001F3"/>
    <w:rsid w:val="00900789"/>
    <w:rsid w:val="009014FF"/>
    <w:rsid w:val="00901EF3"/>
    <w:rsid w:val="009026BB"/>
    <w:rsid w:val="00903549"/>
    <w:rsid w:val="0090371D"/>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7563"/>
    <w:rsid w:val="009176AA"/>
    <w:rsid w:val="00917A4D"/>
    <w:rsid w:val="00917D1B"/>
    <w:rsid w:val="00920C1F"/>
    <w:rsid w:val="00921689"/>
    <w:rsid w:val="00921E04"/>
    <w:rsid w:val="0092202D"/>
    <w:rsid w:val="00922F10"/>
    <w:rsid w:val="00923005"/>
    <w:rsid w:val="00923336"/>
    <w:rsid w:val="00923858"/>
    <w:rsid w:val="009241BE"/>
    <w:rsid w:val="00924422"/>
    <w:rsid w:val="00924B24"/>
    <w:rsid w:val="009253E7"/>
    <w:rsid w:val="00925676"/>
    <w:rsid w:val="00925816"/>
    <w:rsid w:val="00926100"/>
    <w:rsid w:val="009261AD"/>
    <w:rsid w:val="009264CE"/>
    <w:rsid w:val="00926FF9"/>
    <w:rsid w:val="00927455"/>
    <w:rsid w:val="00927456"/>
    <w:rsid w:val="00927E80"/>
    <w:rsid w:val="0093067D"/>
    <w:rsid w:val="00931948"/>
    <w:rsid w:val="00931B1D"/>
    <w:rsid w:val="00931D30"/>
    <w:rsid w:val="00931F1E"/>
    <w:rsid w:val="0093230F"/>
    <w:rsid w:val="00932453"/>
    <w:rsid w:val="00932B45"/>
    <w:rsid w:val="0093300E"/>
    <w:rsid w:val="00933832"/>
    <w:rsid w:val="00934A7B"/>
    <w:rsid w:val="00935047"/>
    <w:rsid w:val="009353A3"/>
    <w:rsid w:val="00935AF6"/>
    <w:rsid w:val="00935E9B"/>
    <w:rsid w:val="00935EF6"/>
    <w:rsid w:val="009364E6"/>
    <w:rsid w:val="00937554"/>
    <w:rsid w:val="00937AC9"/>
    <w:rsid w:val="00937B5E"/>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ABF"/>
    <w:rsid w:val="00950306"/>
    <w:rsid w:val="00950C10"/>
    <w:rsid w:val="00951B1D"/>
    <w:rsid w:val="00951BC8"/>
    <w:rsid w:val="00952E77"/>
    <w:rsid w:val="00952FB5"/>
    <w:rsid w:val="0095312C"/>
    <w:rsid w:val="009537CE"/>
    <w:rsid w:val="00953A01"/>
    <w:rsid w:val="00953B4A"/>
    <w:rsid w:val="009549EA"/>
    <w:rsid w:val="00955108"/>
    <w:rsid w:val="009565AF"/>
    <w:rsid w:val="00957DAA"/>
    <w:rsid w:val="009601F5"/>
    <w:rsid w:val="0096043D"/>
    <w:rsid w:val="00960856"/>
    <w:rsid w:val="00960A07"/>
    <w:rsid w:val="00960A76"/>
    <w:rsid w:val="00960D37"/>
    <w:rsid w:val="00961A03"/>
    <w:rsid w:val="00962264"/>
    <w:rsid w:val="009624A6"/>
    <w:rsid w:val="0096256F"/>
    <w:rsid w:val="0096276A"/>
    <w:rsid w:val="009646F7"/>
    <w:rsid w:val="009655F8"/>
    <w:rsid w:val="009659ED"/>
    <w:rsid w:val="00966251"/>
    <w:rsid w:val="00966885"/>
    <w:rsid w:val="00970B07"/>
    <w:rsid w:val="00971ACC"/>
    <w:rsid w:val="00971BB2"/>
    <w:rsid w:val="009724BD"/>
    <w:rsid w:val="00974645"/>
    <w:rsid w:val="00974AA5"/>
    <w:rsid w:val="00974E8F"/>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BA0"/>
    <w:rsid w:val="00991BEF"/>
    <w:rsid w:val="009921CF"/>
    <w:rsid w:val="00992339"/>
    <w:rsid w:val="009943AB"/>
    <w:rsid w:val="00994DD4"/>
    <w:rsid w:val="009955C0"/>
    <w:rsid w:val="009961A8"/>
    <w:rsid w:val="009967C3"/>
    <w:rsid w:val="00996859"/>
    <w:rsid w:val="00997454"/>
    <w:rsid w:val="00997DD9"/>
    <w:rsid w:val="009A006E"/>
    <w:rsid w:val="009A0132"/>
    <w:rsid w:val="009A13B5"/>
    <w:rsid w:val="009A187B"/>
    <w:rsid w:val="009A2B44"/>
    <w:rsid w:val="009A46AF"/>
    <w:rsid w:val="009A529D"/>
    <w:rsid w:val="009A5B70"/>
    <w:rsid w:val="009A5F39"/>
    <w:rsid w:val="009A6D43"/>
    <w:rsid w:val="009A780A"/>
    <w:rsid w:val="009B074F"/>
    <w:rsid w:val="009B09F2"/>
    <w:rsid w:val="009B1012"/>
    <w:rsid w:val="009B14B7"/>
    <w:rsid w:val="009B24B9"/>
    <w:rsid w:val="009B4760"/>
    <w:rsid w:val="009B49A0"/>
    <w:rsid w:val="009B5119"/>
    <w:rsid w:val="009B5680"/>
    <w:rsid w:val="009B57FD"/>
    <w:rsid w:val="009B5CC6"/>
    <w:rsid w:val="009B5D67"/>
    <w:rsid w:val="009B6791"/>
    <w:rsid w:val="009B7233"/>
    <w:rsid w:val="009B7950"/>
    <w:rsid w:val="009C0439"/>
    <w:rsid w:val="009C1803"/>
    <w:rsid w:val="009C260F"/>
    <w:rsid w:val="009C3FBA"/>
    <w:rsid w:val="009C509F"/>
    <w:rsid w:val="009C634B"/>
    <w:rsid w:val="009C657C"/>
    <w:rsid w:val="009C699A"/>
    <w:rsid w:val="009C6C8D"/>
    <w:rsid w:val="009C7591"/>
    <w:rsid w:val="009D0611"/>
    <w:rsid w:val="009D0B23"/>
    <w:rsid w:val="009D1B21"/>
    <w:rsid w:val="009D341F"/>
    <w:rsid w:val="009D3E4B"/>
    <w:rsid w:val="009D42A1"/>
    <w:rsid w:val="009D44F1"/>
    <w:rsid w:val="009D47F9"/>
    <w:rsid w:val="009D5742"/>
    <w:rsid w:val="009D5BFB"/>
    <w:rsid w:val="009D5E0B"/>
    <w:rsid w:val="009D60CA"/>
    <w:rsid w:val="009D6945"/>
    <w:rsid w:val="009D6B02"/>
    <w:rsid w:val="009D7BF0"/>
    <w:rsid w:val="009D7F25"/>
    <w:rsid w:val="009E025C"/>
    <w:rsid w:val="009E1955"/>
    <w:rsid w:val="009E46D0"/>
    <w:rsid w:val="009E4B63"/>
    <w:rsid w:val="009E52BF"/>
    <w:rsid w:val="009E544D"/>
    <w:rsid w:val="009E5ABC"/>
    <w:rsid w:val="009E60FB"/>
    <w:rsid w:val="009E6D4D"/>
    <w:rsid w:val="009F02B5"/>
    <w:rsid w:val="009F0A04"/>
    <w:rsid w:val="009F0C09"/>
    <w:rsid w:val="009F166B"/>
    <w:rsid w:val="009F1B8B"/>
    <w:rsid w:val="009F2030"/>
    <w:rsid w:val="009F32FF"/>
    <w:rsid w:val="009F347C"/>
    <w:rsid w:val="009F3FB0"/>
    <w:rsid w:val="009F5D07"/>
    <w:rsid w:val="009F68AC"/>
    <w:rsid w:val="009F70BE"/>
    <w:rsid w:val="009F7B4F"/>
    <w:rsid w:val="00A0048A"/>
    <w:rsid w:val="00A01BC1"/>
    <w:rsid w:val="00A0231B"/>
    <w:rsid w:val="00A03430"/>
    <w:rsid w:val="00A035F5"/>
    <w:rsid w:val="00A03E97"/>
    <w:rsid w:val="00A040B8"/>
    <w:rsid w:val="00A04511"/>
    <w:rsid w:val="00A05668"/>
    <w:rsid w:val="00A0690C"/>
    <w:rsid w:val="00A071B2"/>
    <w:rsid w:val="00A072E4"/>
    <w:rsid w:val="00A103B2"/>
    <w:rsid w:val="00A11D85"/>
    <w:rsid w:val="00A1202A"/>
    <w:rsid w:val="00A13BD0"/>
    <w:rsid w:val="00A13BD5"/>
    <w:rsid w:val="00A13DB6"/>
    <w:rsid w:val="00A1486B"/>
    <w:rsid w:val="00A1577A"/>
    <w:rsid w:val="00A157EC"/>
    <w:rsid w:val="00A20846"/>
    <w:rsid w:val="00A20AC9"/>
    <w:rsid w:val="00A20E59"/>
    <w:rsid w:val="00A21492"/>
    <w:rsid w:val="00A23C18"/>
    <w:rsid w:val="00A2424C"/>
    <w:rsid w:val="00A250EC"/>
    <w:rsid w:val="00A2582E"/>
    <w:rsid w:val="00A25E61"/>
    <w:rsid w:val="00A260C8"/>
    <w:rsid w:val="00A26659"/>
    <w:rsid w:val="00A270B8"/>
    <w:rsid w:val="00A2781B"/>
    <w:rsid w:val="00A27824"/>
    <w:rsid w:val="00A27DAB"/>
    <w:rsid w:val="00A30199"/>
    <w:rsid w:val="00A3069D"/>
    <w:rsid w:val="00A31E54"/>
    <w:rsid w:val="00A3250F"/>
    <w:rsid w:val="00A32D41"/>
    <w:rsid w:val="00A33639"/>
    <w:rsid w:val="00A34637"/>
    <w:rsid w:val="00A346E1"/>
    <w:rsid w:val="00A34BB5"/>
    <w:rsid w:val="00A34E5F"/>
    <w:rsid w:val="00A3560A"/>
    <w:rsid w:val="00A35874"/>
    <w:rsid w:val="00A35C18"/>
    <w:rsid w:val="00A36032"/>
    <w:rsid w:val="00A406EF"/>
    <w:rsid w:val="00A40AC6"/>
    <w:rsid w:val="00A42583"/>
    <w:rsid w:val="00A42AF8"/>
    <w:rsid w:val="00A43039"/>
    <w:rsid w:val="00A4368D"/>
    <w:rsid w:val="00A43E0A"/>
    <w:rsid w:val="00A43F30"/>
    <w:rsid w:val="00A44A94"/>
    <w:rsid w:val="00A44D6F"/>
    <w:rsid w:val="00A45952"/>
    <w:rsid w:val="00A45C5E"/>
    <w:rsid w:val="00A4715E"/>
    <w:rsid w:val="00A50ABD"/>
    <w:rsid w:val="00A50D35"/>
    <w:rsid w:val="00A51501"/>
    <w:rsid w:val="00A5350F"/>
    <w:rsid w:val="00A552B9"/>
    <w:rsid w:val="00A55E81"/>
    <w:rsid w:val="00A57B71"/>
    <w:rsid w:val="00A60BFC"/>
    <w:rsid w:val="00A6125F"/>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4F99"/>
    <w:rsid w:val="00A75148"/>
    <w:rsid w:val="00A75368"/>
    <w:rsid w:val="00A753F5"/>
    <w:rsid w:val="00A75797"/>
    <w:rsid w:val="00A76082"/>
    <w:rsid w:val="00A7635D"/>
    <w:rsid w:val="00A77286"/>
    <w:rsid w:val="00A80F1A"/>
    <w:rsid w:val="00A817C1"/>
    <w:rsid w:val="00A81854"/>
    <w:rsid w:val="00A819C9"/>
    <w:rsid w:val="00A8224E"/>
    <w:rsid w:val="00A82519"/>
    <w:rsid w:val="00A82E5B"/>
    <w:rsid w:val="00A830B4"/>
    <w:rsid w:val="00A837A0"/>
    <w:rsid w:val="00A83FE6"/>
    <w:rsid w:val="00A842B0"/>
    <w:rsid w:val="00A8447A"/>
    <w:rsid w:val="00A85925"/>
    <w:rsid w:val="00A87C06"/>
    <w:rsid w:val="00A87CA8"/>
    <w:rsid w:val="00A92006"/>
    <w:rsid w:val="00A92447"/>
    <w:rsid w:val="00A92521"/>
    <w:rsid w:val="00A92719"/>
    <w:rsid w:val="00A932B0"/>
    <w:rsid w:val="00A93645"/>
    <w:rsid w:val="00A93671"/>
    <w:rsid w:val="00A93996"/>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B0983"/>
    <w:rsid w:val="00AB0C58"/>
    <w:rsid w:val="00AB1FA3"/>
    <w:rsid w:val="00AB200F"/>
    <w:rsid w:val="00AB2292"/>
    <w:rsid w:val="00AB2421"/>
    <w:rsid w:val="00AB2AD7"/>
    <w:rsid w:val="00AB4DE8"/>
    <w:rsid w:val="00AB6D56"/>
    <w:rsid w:val="00AB6FBA"/>
    <w:rsid w:val="00AB7951"/>
    <w:rsid w:val="00AB7BEE"/>
    <w:rsid w:val="00AB7E2D"/>
    <w:rsid w:val="00AC0482"/>
    <w:rsid w:val="00AC0D01"/>
    <w:rsid w:val="00AC17DD"/>
    <w:rsid w:val="00AC1C58"/>
    <w:rsid w:val="00AC22C4"/>
    <w:rsid w:val="00AC272C"/>
    <w:rsid w:val="00AC2A2A"/>
    <w:rsid w:val="00AC3047"/>
    <w:rsid w:val="00AC3502"/>
    <w:rsid w:val="00AC352B"/>
    <w:rsid w:val="00AC5004"/>
    <w:rsid w:val="00AC5256"/>
    <w:rsid w:val="00AC56B4"/>
    <w:rsid w:val="00AC5D49"/>
    <w:rsid w:val="00AC60E0"/>
    <w:rsid w:val="00AC653C"/>
    <w:rsid w:val="00AC6999"/>
    <w:rsid w:val="00AC6FF8"/>
    <w:rsid w:val="00AC7587"/>
    <w:rsid w:val="00AC7DF4"/>
    <w:rsid w:val="00AC7E75"/>
    <w:rsid w:val="00AD0C5D"/>
    <w:rsid w:val="00AD0E6C"/>
    <w:rsid w:val="00AD5DFD"/>
    <w:rsid w:val="00AD62AD"/>
    <w:rsid w:val="00AD6AB0"/>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761"/>
    <w:rsid w:val="00AF1C5F"/>
    <w:rsid w:val="00AF1E81"/>
    <w:rsid w:val="00AF32ED"/>
    <w:rsid w:val="00AF4657"/>
    <w:rsid w:val="00AF5640"/>
    <w:rsid w:val="00AF612A"/>
    <w:rsid w:val="00AF6D5F"/>
    <w:rsid w:val="00AF6E5B"/>
    <w:rsid w:val="00B018DB"/>
    <w:rsid w:val="00B01D80"/>
    <w:rsid w:val="00B02287"/>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3B12"/>
    <w:rsid w:val="00B1412D"/>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D5D"/>
    <w:rsid w:val="00B25997"/>
    <w:rsid w:val="00B26688"/>
    <w:rsid w:val="00B2683F"/>
    <w:rsid w:val="00B27779"/>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4591"/>
    <w:rsid w:val="00B445CF"/>
    <w:rsid w:val="00B449BF"/>
    <w:rsid w:val="00B450C9"/>
    <w:rsid w:val="00B45646"/>
    <w:rsid w:val="00B46A80"/>
    <w:rsid w:val="00B47346"/>
    <w:rsid w:val="00B47639"/>
    <w:rsid w:val="00B477CA"/>
    <w:rsid w:val="00B47FE8"/>
    <w:rsid w:val="00B50578"/>
    <w:rsid w:val="00B50ADF"/>
    <w:rsid w:val="00B50B79"/>
    <w:rsid w:val="00B51AA0"/>
    <w:rsid w:val="00B51E03"/>
    <w:rsid w:val="00B525A8"/>
    <w:rsid w:val="00B52FCE"/>
    <w:rsid w:val="00B5310C"/>
    <w:rsid w:val="00B53F5C"/>
    <w:rsid w:val="00B54C19"/>
    <w:rsid w:val="00B5718B"/>
    <w:rsid w:val="00B57F45"/>
    <w:rsid w:val="00B65E05"/>
    <w:rsid w:val="00B6656B"/>
    <w:rsid w:val="00B66A30"/>
    <w:rsid w:val="00B66B80"/>
    <w:rsid w:val="00B71222"/>
    <w:rsid w:val="00B716D0"/>
    <w:rsid w:val="00B7245E"/>
    <w:rsid w:val="00B727F8"/>
    <w:rsid w:val="00B741E1"/>
    <w:rsid w:val="00B74A2D"/>
    <w:rsid w:val="00B76AC5"/>
    <w:rsid w:val="00B77340"/>
    <w:rsid w:val="00B77825"/>
    <w:rsid w:val="00B81256"/>
    <w:rsid w:val="00B81E88"/>
    <w:rsid w:val="00B8235D"/>
    <w:rsid w:val="00B82557"/>
    <w:rsid w:val="00B84F41"/>
    <w:rsid w:val="00B8545A"/>
    <w:rsid w:val="00B8548C"/>
    <w:rsid w:val="00B867F7"/>
    <w:rsid w:val="00B87031"/>
    <w:rsid w:val="00B877AE"/>
    <w:rsid w:val="00B90B81"/>
    <w:rsid w:val="00B9124E"/>
    <w:rsid w:val="00B92CC9"/>
    <w:rsid w:val="00B9357D"/>
    <w:rsid w:val="00B93602"/>
    <w:rsid w:val="00B94233"/>
    <w:rsid w:val="00B949B8"/>
    <w:rsid w:val="00B94BC8"/>
    <w:rsid w:val="00B94C1C"/>
    <w:rsid w:val="00B94C2E"/>
    <w:rsid w:val="00B95411"/>
    <w:rsid w:val="00B9622C"/>
    <w:rsid w:val="00B97D1A"/>
    <w:rsid w:val="00BA11E0"/>
    <w:rsid w:val="00BA1AE7"/>
    <w:rsid w:val="00BA1E0A"/>
    <w:rsid w:val="00BA2B0C"/>
    <w:rsid w:val="00BA2CF7"/>
    <w:rsid w:val="00BA3917"/>
    <w:rsid w:val="00BA3A9F"/>
    <w:rsid w:val="00BA3BCD"/>
    <w:rsid w:val="00BA4EAC"/>
    <w:rsid w:val="00BA5791"/>
    <w:rsid w:val="00BA5B3A"/>
    <w:rsid w:val="00BA6971"/>
    <w:rsid w:val="00BA7350"/>
    <w:rsid w:val="00BA74A0"/>
    <w:rsid w:val="00BA7996"/>
    <w:rsid w:val="00BB09EA"/>
    <w:rsid w:val="00BB113C"/>
    <w:rsid w:val="00BB131B"/>
    <w:rsid w:val="00BB15DB"/>
    <w:rsid w:val="00BB2BFB"/>
    <w:rsid w:val="00BB3C5F"/>
    <w:rsid w:val="00BB4098"/>
    <w:rsid w:val="00BB525D"/>
    <w:rsid w:val="00BB59D3"/>
    <w:rsid w:val="00BB5DDB"/>
    <w:rsid w:val="00BB6B6C"/>
    <w:rsid w:val="00BC08B4"/>
    <w:rsid w:val="00BC0966"/>
    <w:rsid w:val="00BC0ADB"/>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527F"/>
    <w:rsid w:val="00BD54E7"/>
    <w:rsid w:val="00BD5AE9"/>
    <w:rsid w:val="00BD6E50"/>
    <w:rsid w:val="00BD7288"/>
    <w:rsid w:val="00BD76E9"/>
    <w:rsid w:val="00BE0222"/>
    <w:rsid w:val="00BE0C9E"/>
    <w:rsid w:val="00BE0E81"/>
    <w:rsid w:val="00BE2922"/>
    <w:rsid w:val="00BE2BA1"/>
    <w:rsid w:val="00BE3476"/>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A3D"/>
    <w:rsid w:val="00BF0B0F"/>
    <w:rsid w:val="00BF1352"/>
    <w:rsid w:val="00BF29BB"/>
    <w:rsid w:val="00BF5ABC"/>
    <w:rsid w:val="00BF72F8"/>
    <w:rsid w:val="00C02564"/>
    <w:rsid w:val="00C0308E"/>
    <w:rsid w:val="00C03344"/>
    <w:rsid w:val="00C0432E"/>
    <w:rsid w:val="00C04354"/>
    <w:rsid w:val="00C043DB"/>
    <w:rsid w:val="00C04795"/>
    <w:rsid w:val="00C04D56"/>
    <w:rsid w:val="00C04F5E"/>
    <w:rsid w:val="00C05028"/>
    <w:rsid w:val="00C054B5"/>
    <w:rsid w:val="00C065EB"/>
    <w:rsid w:val="00C07E0B"/>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60ED"/>
    <w:rsid w:val="00C37ED7"/>
    <w:rsid w:val="00C40023"/>
    <w:rsid w:val="00C403F2"/>
    <w:rsid w:val="00C4106E"/>
    <w:rsid w:val="00C41827"/>
    <w:rsid w:val="00C42607"/>
    <w:rsid w:val="00C42F52"/>
    <w:rsid w:val="00C4322D"/>
    <w:rsid w:val="00C43B8F"/>
    <w:rsid w:val="00C44D40"/>
    <w:rsid w:val="00C45620"/>
    <w:rsid w:val="00C45734"/>
    <w:rsid w:val="00C478C3"/>
    <w:rsid w:val="00C47F25"/>
    <w:rsid w:val="00C51526"/>
    <w:rsid w:val="00C519D7"/>
    <w:rsid w:val="00C521A7"/>
    <w:rsid w:val="00C52A9D"/>
    <w:rsid w:val="00C53223"/>
    <w:rsid w:val="00C53794"/>
    <w:rsid w:val="00C545EF"/>
    <w:rsid w:val="00C54E91"/>
    <w:rsid w:val="00C553D5"/>
    <w:rsid w:val="00C57DDF"/>
    <w:rsid w:val="00C602EC"/>
    <w:rsid w:val="00C60ACC"/>
    <w:rsid w:val="00C61724"/>
    <w:rsid w:val="00C62BE6"/>
    <w:rsid w:val="00C62E10"/>
    <w:rsid w:val="00C62E30"/>
    <w:rsid w:val="00C6397E"/>
    <w:rsid w:val="00C64DE9"/>
    <w:rsid w:val="00C655CF"/>
    <w:rsid w:val="00C65C99"/>
    <w:rsid w:val="00C66398"/>
    <w:rsid w:val="00C66982"/>
    <w:rsid w:val="00C669AF"/>
    <w:rsid w:val="00C66B4C"/>
    <w:rsid w:val="00C6751B"/>
    <w:rsid w:val="00C67ACC"/>
    <w:rsid w:val="00C70175"/>
    <w:rsid w:val="00C7125F"/>
    <w:rsid w:val="00C719D0"/>
    <w:rsid w:val="00C723B6"/>
    <w:rsid w:val="00C72DA8"/>
    <w:rsid w:val="00C72F3F"/>
    <w:rsid w:val="00C736CE"/>
    <w:rsid w:val="00C73990"/>
    <w:rsid w:val="00C74F3B"/>
    <w:rsid w:val="00C761CF"/>
    <w:rsid w:val="00C763F0"/>
    <w:rsid w:val="00C76604"/>
    <w:rsid w:val="00C77DD2"/>
    <w:rsid w:val="00C77EFC"/>
    <w:rsid w:val="00C805A7"/>
    <w:rsid w:val="00C80EFD"/>
    <w:rsid w:val="00C82319"/>
    <w:rsid w:val="00C82A9C"/>
    <w:rsid w:val="00C82BCE"/>
    <w:rsid w:val="00C82C61"/>
    <w:rsid w:val="00C82C79"/>
    <w:rsid w:val="00C82CF0"/>
    <w:rsid w:val="00C837EE"/>
    <w:rsid w:val="00C83F11"/>
    <w:rsid w:val="00C846B4"/>
    <w:rsid w:val="00C84A3A"/>
    <w:rsid w:val="00C84C79"/>
    <w:rsid w:val="00C85390"/>
    <w:rsid w:val="00C85C16"/>
    <w:rsid w:val="00C85DAB"/>
    <w:rsid w:val="00C866C7"/>
    <w:rsid w:val="00C86D52"/>
    <w:rsid w:val="00C8708D"/>
    <w:rsid w:val="00C9075E"/>
    <w:rsid w:val="00C90E7C"/>
    <w:rsid w:val="00C90F08"/>
    <w:rsid w:val="00C9184D"/>
    <w:rsid w:val="00C91EAA"/>
    <w:rsid w:val="00C923FB"/>
    <w:rsid w:val="00C926E3"/>
    <w:rsid w:val="00C930DE"/>
    <w:rsid w:val="00C9311E"/>
    <w:rsid w:val="00C938E8"/>
    <w:rsid w:val="00C93D2F"/>
    <w:rsid w:val="00C94AA0"/>
    <w:rsid w:val="00C94B3C"/>
    <w:rsid w:val="00C95883"/>
    <w:rsid w:val="00C95FCE"/>
    <w:rsid w:val="00C96012"/>
    <w:rsid w:val="00C96423"/>
    <w:rsid w:val="00CA07FE"/>
    <w:rsid w:val="00CA0879"/>
    <w:rsid w:val="00CA287A"/>
    <w:rsid w:val="00CA3D35"/>
    <w:rsid w:val="00CA4DED"/>
    <w:rsid w:val="00CA4DFB"/>
    <w:rsid w:val="00CA6769"/>
    <w:rsid w:val="00CA6D8C"/>
    <w:rsid w:val="00CA74D6"/>
    <w:rsid w:val="00CA77A1"/>
    <w:rsid w:val="00CB010A"/>
    <w:rsid w:val="00CB1FEA"/>
    <w:rsid w:val="00CB23F2"/>
    <w:rsid w:val="00CB2B8E"/>
    <w:rsid w:val="00CB2DB9"/>
    <w:rsid w:val="00CB3819"/>
    <w:rsid w:val="00CB3F19"/>
    <w:rsid w:val="00CB4012"/>
    <w:rsid w:val="00CB4190"/>
    <w:rsid w:val="00CB4411"/>
    <w:rsid w:val="00CB4426"/>
    <w:rsid w:val="00CB4527"/>
    <w:rsid w:val="00CB48AF"/>
    <w:rsid w:val="00CB5272"/>
    <w:rsid w:val="00CB5BD8"/>
    <w:rsid w:val="00CB74A6"/>
    <w:rsid w:val="00CC0163"/>
    <w:rsid w:val="00CC04ED"/>
    <w:rsid w:val="00CC1FA8"/>
    <w:rsid w:val="00CC207F"/>
    <w:rsid w:val="00CC2624"/>
    <w:rsid w:val="00CC27C0"/>
    <w:rsid w:val="00CC3367"/>
    <w:rsid w:val="00CC5176"/>
    <w:rsid w:val="00CC698F"/>
    <w:rsid w:val="00CC7D2E"/>
    <w:rsid w:val="00CD1523"/>
    <w:rsid w:val="00CD156A"/>
    <w:rsid w:val="00CD2391"/>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3F"/>
    <w:rsid w:val="00CE6A90"/>
    <w:rsid w:val="00CE7162"/>
    <w:rsid w:val="00CE7D7B"/>
    <w:rsid w:val="00CF0787"/>
    <w:rsid w:val="00CF1859"/>
    <w:rsid w:val="00CF2AF3"/>
    <w:rsid w:val="00CF2DA5"/>
    <w:rsid w:val="00CF2E3A"/>
    <w:rsid w:val="00CF2F35"/>
    <w:rsid w:val="00CF37BA"/>
    <w:rsid w:val="00CF3D8F"/>
    <w:rsid w:val="00CF48CF"/>
    <w:rsid w:val="00CF50CC"/>
    <w:rsid w:val="00CF5E58"/>
    <w:rsid w:val="00CF6D66"/>
    <w:rsid w:val="00D000EE"/>
    <w:rsid w:val="00D0040A"/>
    <w:rsid w:val="00D0107C"/>
    <w:rsid w:val="00D021E7"/>
    <w:rsid w:val="00D02A19"/>
    <w:rsid w:val="00D02EA0"/>
    <w:rsid w:val="00D0494D"/>
    <w:rsid w:val="00D07793"/>
    <w:rsid w:val="00D11DC6"/>
    <w:rsid w:val="00D12F44"/>
    <w:rsid w:val="00D13D25"/>
    <w:rsid w:val="00D14305"/>
    <w:rsid w:val="00D16B76"/>
    <w:rsid w:val="00D1734E"/>
    <w:rsid w:val="00D1758D"/>
    <w:rsid w:val="00D17D1E"/>
    <w:rsid w:val="00D20DBD"/>
    <w:rsid w:val="00D22654"/>
    <w:rsid w:val="00D237C0"/>
    <w:rsid w:val="00D242D1"/>
    <w:rsid w:val="00D2485D"/>
    <w:rsid w:val="00D26CC0"/>
    <w:rsid w:val="00D31264"/>
    <w:rsid w:val="00D31396"/>
    <w:rsid w:val="00D31685"/>
    <w:rsid w:val="00D3168C"/>
    <w:rsid w:val="00D3374D"/>
    <w:rsid w:val="00D34015"/>
    <w:rsid w:val="00D34F62"/>
    <w:rsid w:val="00D35380"/>
    <w:rsid w:val="00D360B8"/>
    <w:rsid w:val="00D36894"/>
    <w:rsid w:val="00D36F8A"/>
    <w:rsid w:val="00D37222"/>
    <w:rsid w:val="00D37289"/>
    <w:rsid w:val="00D376CF"/>
    <w:rsid w:val="00D377C7"/>
    <w:rsid w:val="00D3785C"/>
    <w:rsid w:val="00D40221"/>
    <w:rsid w:val="00D4258B"/>
    <w:rsid w:val="00D42B80"/>
    <w:rsid w:val="00D44E24"/>
    <w:rsid w:val="00D4504B"/>
    <w:rsid w:val="00D4505B"/>
    <w:rsid w:val="00D4536C"/>
    <w:rsid w:val="00D45AD3"/>
    <w:rsid w:val="00D462A1"/>
    <w:rsid w:val="00D5043F"/>
    <w:rsid w:val="00D50821"/>
    <w:rsid w:val="00D50F63"/>
    <w:rsid w:val="00D52C70"/>
    <w:rsid w:val="00D539AF"/>
    <w:rsid w:val="00D53A05"/>
    <w:rsid w:val="00D53A47"/>
    <w:rsid w:val="00D5526A"/>
    <w:rsid w:val="00D567E9"/>
    <w:rsid w:val="00D56B6B"/>
    <w:rsid w:val="00D57579"/>
    <w:rsid w:val="00D57B91"/>
    <w:rsid w:val="00D57D48"/>
    <w:rsid w:val="00D61260"/>
    <w:rsid w:val="00D619CF"/>
    <w:rsid w:val="00D6242A"/>
    <w:rsid w:val="00D63973"/>
    <w:rsid w:val="00D63C60"/>
    <w:rsid w:val="00D64A9C"/>
    <w:rsid w:val="00D652AE"/>
    <w:rsid w:val="00D66233"/>
    <w:rsid w:val="00D662D3"/>
    <w:rsid w:val="00D66C27"/>
    <w:rsid w:val="00D70ABC"/>
    <w:rsid w:val="00D7137D"/>
    <w:rsid w:val="00D71540"/>
    <w:rsid w:val="00D71BB2"/>
    <w:rsid w:val="00D71FC1"/>
    <w:rsid w:val="00D7294F"/>
    <w:rsid w:val="00D72DD8"/>
    <w:rsid w:val="00D73995"/>
    <w:rsid w:val="00D76862"/>
    <w:rsid w:val="00D77435"/>
    <w:rsid w:val="00D7780B"/>
    <w:rsid w:val="00D77E69"/>
    <w:rsid w:val="00D77E7F"/>
    <w:rsid w:val="00D803DC"/>
    <w:rsid w:val="00D81073"/>
    <w:rsid w:val="00D81DC3"/>
    <w:rsid w:val="00D8202F"/>
    <w:rsid w:val="00D83CC4"/>
    <w:rsid w:val="00D843D9"/>
    <w:rsid w:val="00D85514"/>
    <w:rsid w:val="00D85CF9"/>
    <w:rsid w:val="00D86C49"/>
    <w:rsid w:val="00D86C5C"/>
    <w:rsid w:val="00D872CA"/>
    <w:rsid w:val="00D873FE"/>
    <w:rsid w:val="00D877CF"/>
    <w:rsid w:val="00D91DEB"/>
    <w:rsid w:val="00D920A1"/>
    <w:rsid w:val="00D9271B"/>
    <w:rsid w:val="00D9293B"/>
    <w:rsid w:val="00D93AC9"/>
    <w:rsid w:val="00D9582D"/>
    <w:rsid w:val="00D964A8"/>
    <w:rsid w:val="00D965A3"/>
    <w:rsid w:val="00D96AA6"/>
    <w:rsid w:val="00D97D6E"/>
    <w:rsid w:val="00D97D9C"/>
    <w:rsid w:val="00DA074D"/>
    <w:rsid w:val="00DA277D"/>
    <w:rsid w:val="00DA2CD8"/>
    <w:rsid w:val="00DA32E2"/>
    <w:rsid w:val="00DA3682"/>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3EC4"/>
    <w:rsid w:val="00DB4ABD"/>
    <w:rsid w:val="00DB507C"/>
    <w:rsid w:val="00DB54C7"/>
    <w:rsid w:val="00DB6F5D"/>
    <w:rsid w:val="00DB711A"/>
    <w:rsid w:val="00DB7161"/>
    <w:rsid w:val="00DB71C8"/>
    <w:rsid w:val="00DB7BA4"/>
    <w:rsid w:val="00DC08B6"/>
    <w:rsid w:val="00DC0BF2"/>
    <w:rsid w:val="00DC0E01"/>
    <w:rsid w:val="00DC1CE0"/>
    <w:rsid w:val="00DC316E"/>
    <w:rsid w:val="00DC330D"/>
    <w:rsid w:val="00DC33CE"/>
    <w:rsid w:val="00DC4307"/>
    <w:rsid w:val="00DC4521"/>
    <w:rsid w:val="00DC48DF"/>
    <w:rsid w:val="00DC55F2"/>
    <w:rsid w:val="00DC731A"/>
    <w:rsid w:val="00DC7969"/>
    <w:rsid w:val="00DD1BB5"/>
    <w:rsid w:val="00DD25BE"/>
    <w:rsid w:val="00DD41AD"/>
    <w:rsid w:val="00DD59F5"/>
    <w:rsid w:val="00DD5C58"/>
    <w:rsid w:val="00DE0178"/>
    <w:rsid w:val="00DE0316"/>
    <w:rsid w:val="00DE0C59"/>
    <w:rsid w:val="00DE2AE0"/>
    <w:rsid w:val="00DE2C05"/>
    <w:rsid w:val="00DE30EA"/>
    <w:rsid w:val="00DE3496"/>
    <w:rsid w:val="00DE5899"/>
    <w:rsid w:val="00DE7EE4"/>
    <w:rsid w:val="00DF043B"/>
    <w:rsid w:val="00DF1A18"/>
    <w:rsid w:val="00DF2697"/>
    <w:rsid w:val="00DF4DD5"/>
    <w:rsid w:val="00DF5155"/>
    <w:rsid w:val="00DF5531"/>
    <w:rsid w:val="00DF58D0"/>
    <w:rsid w:val="00E014FD"/>
    <w:rsid w:val="00E017CB"/>
    <w:rsid w:val="00E01C04"/>
    <w:rsid w:val="00E01D00"/>
    <w:rsid w:val="00E03116"/>
    <w:rsid w:val="00E03AD1"/>
    <w:rsid w:val="00E0459E"/>
    <w:rsid w:val="00E0496C"/>
    <w:rsid w:val="00E04ADC"/>
    <w:rsid w:val="00E05003"/>
    <w:rsid w:val="00E05144"/>
    <w:rsid w:val="00E05342"/>
    <w:rsid w:val="00E06D1D"/>
    <w:rsid w:val="00E0705D"/>
    <w:rsid w:val="00E10AF8"/>
    <w:rsid w:val="00E111F8"/>
    <w:rsid w:val="00E11204"/>
    <w:rsid w:val="00E115B0"/>
    <w:rsid w:val="00E1170B"/>
    <w:rsid w:val="00E121E7"/>
    <w:rsid w:val="00E126A8"/>
    <w:rsid w:val="00E12F85"/>
    <w:rsid w:val="00E144B9"/>
    <w:rsid w:val="00E149C7"/>
    <w:rsid w:val="00E15CA7"/>
    <w:rsid w:val="00E15CD2"/>
    <w:rsid w:val="00E171F9"/>
    <w:rsid w:val="00E1751C"/>
    <w:rsid w:val="00E17EAC"/>
    <w:rsid w:val="00E23164"/>
    <w:rsid w:val="00E24017"/>
    <w:rsid w:val="00E24106"/>
    <w:rsid w:val="00E25D33"/>
    <w:rsid w:val="00E26124"/>
    <w:rsid w:val="00E2696C"/>
    <w:rsid w:val="00E27B6B"/>
    <w:rsid w:val="00E27E9C"/>
    <w:rsid w:val="00E30D22"/>
    <w:rsid w:val="00E31045"/>
    <w:rsid w:val="00E31F58"/>
    <w:rsid w:val="00E327BD"/>
    <w:rsid w:val="00E32E94"/>
    <w:rsid w:val="00E33465"/>
    <w:rsid w:val="00E339B7"/>
    <w:rsid w:val="00E33E6C"/>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D14"/>
    <w:rsid w:val="00E47F58"/>
    <w:rsid w:val="00E502D0"/>
    <w:rsid w:val="00E511A2"/>
    <w:rsid w:val="00E524B0"/>
    <w:rsid w:val="00E53A5F"/>
    <w:rsid w:val="00E546C5"/>
    <w:rsid w:val="00E55B49"/>
    <w:rsid w:val="00E565C7"/>
    <w:rsid w:val="00E56DDF"/>
    <w:rsid w:val="00E56E5F"/>
    <w:rsid w:val="00E57D38"/>
    <w:rsid w:val="00E60016"/>
    <w:rsid w:val="00E60100"/>
    <w:rsid w:val="00E6045C"/>
    <w:rsid w:val="00E60697"/>
    <w:rsid w:val="00E60829"/>
    <w:rsid w:val="00E624D1"/>
    <w:rsid w:val="00E638B1"/>
    <w:rsid w:val="00E64A13"/>
    <w:rsid w:val="00E65343"/>
    <w:rsid w:val="00E65B5C"/>
    <w:rsid w:val="00E66383"/>
    <w:rsid w:val="00E675DB"/>
    <w:rsid w:val="00E67E97"/>
    <w:rsid w:val="00E7044B"/>
    <w:rsid w:val="00E70DB0"/>
    <w:rsid w:val="00E712D7"/>
    <w:rsid w:val="00E713BA"/>
    <w:rsid w:val="00E7147B"/>
    <w:rsid w:val="00E7234B"/>
    <w:rsid w:val="00E724DE"/>
    <w:rsid w:val="00E72857"/>
    <w:rsid w:val="00E729A3"/>
    <w:rsid w:val="00E742FE"/>
    <w:rsid w:val="00E743A0"/>
    <w:rsid w:val="00E752CC"/>
    <w:rsid w:val="00E75B15"/>
    <w:rsid w:val="00E768DD"/>
    <w:rsid w:val="00E769C7"/>
    <w:rsid w:val="00E76CF0"/>
    <w:rsid w:val="00E776ED"/>
    <w:rsid w:val="00E77928"/>
    <w:rsid w:val="00E8020A"/>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259"/>
    <w:rsid w:val="00E87EB7"/>
    <w:rsid w:val="00E90574"/>
    <w:rsid w:val="00E91BE4"/>
    <w:rsid w:val="00E928DA"/>
    <w:rsid w:val="00E945B0"/>
    <w:rsid w:val="00E945C5"/>
    <w:rsid w:val="00E95081"/>
    <w:rsid w:val="00E958B6"/>
    <w:rsid w:val="00E95A54"/>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657"/>
    <w:rsid w:val="00EB503B"/>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D1407"/>
    <w:rsid w:val="00ED1816"/>
    <w:rsid w:val="00ED3114"/>
    <w:rsid w:val="00ED376E"/>
    <w:rsid w:val="00ED37F3"/>
    <w:rsid w:val="00ED5392"/>
    <w:rsid w:val="00ED5A0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CE"/>
    <w:rsid w:val="00EE7AE9"/>
    <w:rsid w:val="00EE7D1C"/>
    <w:rsid w:val="00EF0BCF"/>
    <w:rsid w:val="00EF182F"/>
    <w:rsid w:val="00EF3616"/>
    <w:rsid w:val="00EF3ABE"/>
    <w:rsid w:val="00EF3D71"/>
    <w:rsid w:val="00EF438F"/>
    <w:rsid w:val="00EF493A"/>
    <w:rsid w:val="00EF55CC"/>
    <w:rsid w:val="00EF6656"/>
    <w:rsid w:val="00EF6F23"/>
    <w:rsid w:val="00F00334"/>
    <w:rsid w:val="00F003B6"/>
    <w:rsid w:val="00F010C2"/>
    <w:rsid w:val="00F0196D"/>
    <w:rsid w:val="00F02398"/>
    <w:rsid w:val="00F03768"/>
    <w:rsid w:val="00F03DBF"/>
    <w:rsid w:val="00F0566A"/>
    <w:rsid w:val="00F06296"/>
    <w:rsid w:val="00F07E28"/>
    <w:rsid w:val="00F115F6"/>
    <w:rsid w:val="00F11FD7"/>
    <w:rsid w:val="00F12BAC"/>
    <w:rsid w:val="00F13622"/>
    <w:rsid w:val="00F1375D"/>
    <w:rsid w:val="00F14182"/>
    <w:rsid w:val="00F14265"/>
    <w:rsid w:val="00F15654"/>
    <w:rsid w:val="00F15928"/>
    <w:rsid w:val="00F1649D"/>
    <w:rsid w:val="00F16766"/>
    <w:rsid w:val="00F17A30"/>
    <w:rsid w:val="00F20161"/>
    <w:rsid w:val="00F21E21"/>
    <w:rsid w:val="00F23305"/>
    <w:rsid w:val="00F23BF5"/>
    <w:rsid w:val="00F241FB"/>
    <w:rsid w:val="00F2559E"/>
    <w:rsid w:val="00F25A5B"/>
    <w:rsid w:val="00F26CBD"/>
    <w:rsid w:val="00F27F12"/>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9E7"/>
    <w:rsid w:val="00F44BCA"/>
    <w:rsid w:val="00F45DC1"/>
    <w:rsid w:val="00F45F33"/>
    <w:rsid w:val="00F4683A"/>
    <w:rsid w:val="00F46ED1"/>
    <w:rsid w:val="00F47335"/>
    <w:rsid w:val="00F4734E"/>
    <w:rsid w:val="00F4735F"/>
    <w:rsid w:val="00F47706"/>
    <w:rsid w:val="00F47A46"/>
    <w:rsid w:val="00F50139"/>
    <w:rsid w:val="00F50DDC"/>
    <w:rsid w:val="00F5101A"/>
    <w:rsid w:val="00F511CD"/>
    <w:rsid w:val="00F51307"/>
    <w:rsid w:val="00F516C0"/>
    <w:rsid w:val="00F51E64"/>
    <w:rsid w:val="00F5293A"/>
    <w:rsid w:val="00F52A99"/>
    <w:rsid w:val="00F5321B"/>
    <w:rsid w:val="00F542C6"/>
    <w:rsid w:val="00F54606"/>
    <w:rsid w:val="00F54E4B"/>
    <w:rsid w:val="00F5544C"/>
    <w:rsid w:val="00F5575A"/>
    <w:rsid w:val="00F55914"/>
    <w:rsid w:val="00F561C6"/>
    <w:rsid w:val="00F6038E"/>
    <w:rsid w:val="00F611BE"/>
    <w:rsid w:val="00F6220D"/>
    <w:rsid w:val="00F62E3E"/>
    <w:rsid w:val="00F63020"/>
    <w:rsid w:val="00F64863"/>
    <w:rsid w:val="00F65E29"/>
    <w:rsid w:val="00F6685C"/>
    <w:rsid w:val="00F67CB2"/>
    <w:rsid w:val="00F70DA2"/>
    <w:rsid w:val="00F71B73"/>
    <w:rsid w:val="00F72EEB"/>
    <w:rsid w:val="00F7317D"/>
    <w:rsid w:val="00F732BE"/>
    <w:rsid w:val="00F73553"/>
    <w:rsid w:val="00F736A0"/>
    <w:rsid w:val="00F73882"/>
    <w:rsid w:val="00F73996"/>
    <w:rsid w:val="00F73A4C"/>
    <w:rsid w:val="00F7494D"/>
    <w:rsid w:val="00F74FA6"/>
    <w:rsid w:val="00F7723C"/>
    <w:rsid w:val="00F77321"/>
    <w:rsid w:val="00F77402"/>
    <w:rsid w:val="00F775DA"/>
    <w:rsid w:val="00F77932"/>
    <w:rsid w:val="00F77F65"/>
    <w:rsid w:val="00F80BFC"/>
    <w:rsid w:val="00F80CFE"/>
    <w:rsid w:val="00F81376"/>
    <w:rsid w:val="00F81675"/>
    <w:rsid w:val="00F81A48"/>
    <w:rsid w:val="00F81D96"/>
    <w:rsid w:val="00F82426"/>
    <w:rsid w:val="00F82583"/>
    <w:rsid w:val="00F82F3D"/>
    <w:rsid w:val="00F842FA"/>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C19"/>
    <w:rsid w:val="00FA14E0"/>
    <w:rsid w:val="00FA1EAD"/>
    <w:rsid w:val="00FA2DB7"/>
    <w:rsid w:val="00FA56E1"/>
    <w:rsid w:val="00FA6988"/>
    <w:rsid w:val="00FA6C4F"/>
    <w:rsid w:val="00FA765B"/>
    <w:rsid w:val="00FA7881"/>
    <w:rsid w:val="00FB0C1B"/>
    <w:rsid w:val="00FB1C97"/>
    <w:rsid w:val="00FB1E6F"/>
    <w:rsid w:val="00FB4059"/>
    <w:rsid w:val="00FB5825"/>
    <w:rsid w:val="00FB59C8"/>
    <w:rsid w:val="00FB6D83"/>
    <w:rsid w:val="00FB74B1"/>
    <w:rsid w:val="00FC0AA6"/>
    <w:rsid w:val="00FC1046"/>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608D"/>
    <w:rsid w:val="00FD78EF"/>
    <w:rsid w:val="00FE0012"/>
    <w:rsid w:val="00FE03C1"/>
    <w:rsid w:val="00FE078F"/>
    <w:rsid w:val="00FE2196"/>
    <w:rsid w:val="00FE25A7"/>
    <w:rsid w:val="00FE27CA"/>
    <w:rsid w:val="00FE2C07"/>
    <w:rsid w:val="00FE3E4E"/>
    <w:rsid w:val="00FE4266"/>
    <w:rsid w:val="00FE4AE5"/>
    <w:rsid w:val="00FE6247"/>
    <w:rsid w:val="00FE68FD"/>
    <w:rsid w:val="00FE728A"/>
    <w:rsid w:val="00FE75AA"/>
    <w:rsid w:val="00FE7856"/>
    <w:rsid w:val="00FE7B9F"/>
    <w:rsid w:val="00FF041E"/>
    <w:rsid w:val="00FF0AEC"/>
    <w:rsid w:val="00FF3D50"/>
    <w:rsid w:val="00FF5577"/>
    <w:rsid w:val="00FF58B3"/>
    <w:rsid w:val="00FF6018"/>
    <w:rsid w:val="00F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5E0D4-A1AE-4974-BEA6-30335C08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9541</TotalTime>
  <Pages>27</Pages>
  <Words>29322</Words>
  <Characters>178573</Characters>
  <Application>Microsoft Office Word</Application>
  <DocSecurity>0</DocSecurity>
  <Lines>4251</Lines>
  <Paragraphs>1044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2039</cp:revision>
  <dcterms:created xsi:type="dcterms:W3CDTF">2020-01-03T20:17:00Z</dcterms:created>
  <dcterms:modified xsi:type="dcterms:W3CDTF">2020-02-09T02:10:00Z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id="EaRC0VnK"/&gt;&lt;style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