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0913" w14:textId="477ECD80"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Cost-Related Non-adherence and Mortality in Patients with Diabetes and Cardiovascular Disease: A Multi-year Investigation Using the National Health Interview Survey</w:t>
      </w:r>
    </w:p>
    <w:p w14:paraId="669E8529" w14:textId="6A6751AE" w:rsidR="00CF0A17" w:rsidRDefault="00CF0A17" w:rsidP="00CF0A17">
      <w:pPr>
        <w:jc w:val="center"/>
        <w:rPr>
          <w:rFonts w:ascii="Times New Roman" w:hAnsi="Times New Roman" w:cs="Times New Roman"/>
          <w:sz w:val="24"/>
          <w:szCs w:val="24"/>
        </w:rPr>
      </w:pPr>
    </w:p>
    <w:p w14:paraId="18B56D9C" w14:textId="6366F75D" w:rsidR="00CF0A17" w:rsidRDefault="00CF0A17" w:rsidP="00CF0A17">
      <w:pPr>
        <w:jc w:val="center"/>
        <w:rPr>
          <w:rFonts w:ascii="Times New Roman" w:hAnsi="Times New Roman" w:cs="Times New Roman"/>
          <w:sz w:val="24"/>
          <w:szCs w:val="24"/>
        </w:rPr>
      </w:pPr>
      <w:r>
        <w:rPr>
          <w:rFonts w:ascii="Times New Roman" w:hAnsi="Times New Roman" w:cs="Times New Roman"/>
          <w:sz w:val="24"/>
          <w:szCs w:val="24"/>
        </w:rPr>
        <w:t>Sarah Christine Van Alsten</w:t>
      </w:r>
    </w:p>
    <w:p w14:paraId="002C9E1B" w14:textId="41979900" w:rsidR="00CF0A17" w:rsidRDefault="00CF0A17" w:rsidP="00CF0A17">
      <w:pPr>
        <w:jc w:val="center"/>
        <w:rPr>
          <w:rFonts w:ascii="Times New Roman" w:hAnsi="Times New Roman" w:cs="Times New Roman"/>
          <w:sz w:val="24"/>
          <w:szCs w:val="24"/>
        </w:rPr>
      </w:pPr>
    </w:p>
    <w:p w14:paraId="6FD56073" w14:textId="33A167FB" w:rsidR="00C350C7" w:rsidRDefault="00210A91" w:rsidP="00CF0A17">
      <w:pPr>
        <w:jc w:val="center"/>
        <w:rPr>
          <w:rFonts w:ascii="Times New Roman" w:hAnsi="Times New Roman" w:cs="Times New Roman"/>
          <w:sz w:val="24"/>
          <w:szCs w:val="24"/>
        </w:rPr>
      </w:pPr>
      <w:r>
        <w:rPr>
          <w:rFonts w:ascii="Times New Roman" w:hAnsi="Times New Roman" w:cs="Times New Roman"/>
          <w:sz w:val="24"/>
          <w:szCs w:val="24"/>
        </w:rPr>
        <w:t>I, Sarah Van Alsten, have neither given nor received any unauthorized assistance</w:t>
      </w:r>
      <w:r w:rsidR="00C350C7">
        <w:rPr>
          <w:rFonts w:ascii="Times New Roman" w:hAnsi="Times New Roman" w:cs="Times New Roman"/>
          <w:sz w:val="24"/>
          <w:szCs w:val="24"/>
        </w:rPr>
        <w:t xml:space="preserve"> (as detailed in the Brown School student handbook)</w:t>
      </w:r>
      <w:r>
        <w:rPr>
          <w:rFonts w:ascii="Times New Roman" w:hAnsi="Times New Roman" w:cs="Times New Roman"/>
          <w:sz w:val="24"/>
          <w:szCs w:val="24"/>
        </w:rPr>
        <w:t xml:space="preserve"> </w:t>
      </w:r>
      <w:r w:rsidR="00C350C7">
        <w:rPr>
          <w:rFonts w:ascii="Times New Roman" w:hAnsi="Times New Roman" w:cs="Times New Roman"/>
          <w:sz w:val="24"/>
          <w:szCs w:val="24"/>
        </w:rPr>
        <w:t>in the completion of this work. I certify that the work is authentically my own.</w:t>
      </w:r>
    </w:p>
    <w:p w14:paraId="521ECD7E" w14:textId="77777777" w:rsidR="00C350C7" w:rsidRDefault="00C350C7">
      <w:pPr>
        <w:rPr>
          <w:rFonts w:ascii="Times New Roman" w:hAnsi="Times New Roman" w:cs="Times New Roman"/>
          <w:sz w:val="24"/>
          <w:szCs w:val="24"/>
        </w:rPr>
      </w:pPr>
      <w:r>
        <w:rPr>
          <w:rFonts w:ascii="Times New Roman" w:hAnsi="Times New Roman" w:cs="Times New Roman"/>
          <w:sz w:val="24"/>
          <w:szCs w:val="24"/>
        </w:rPr>
        <w:br w:type="page"/>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5BA333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w:t>
      </w:r>
      <w:r w:rsidR="006D252E">
        <w:rPr>
          <w:rFonts w:ascii="Times New Roman" w:hAnsi="Times New Roman" w:cs="Times New Roman"/>
          <w:sz w:val="24"/>
          <w:szCs w:val="24"/>
        </w:rPr>
        <w:lastRenderedPageBreak/>
        <w:t xml:space="preserve">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6D2B96B4"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08EAD3EB"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lastRenderedPageBreak/>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1F4D36BB"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as in-depth healthcare utilization and insurance information, cancer screening, and 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2C5E6F">
        <w:rPr>
          <w:rFonts w:ascii="Times New Roman" w:hAnsi="Times New Roman" w:cs="Times New Roman"/>
          <w:sz w:val="24"/>
          <w:szCs w:val="24"/>
        </w:rPr>
        <w:t xml:space="preserve">I </w:t>
      </w:r>
      <w:r w:rsidR="005B0E84">
        <w:rPr>
          <w:rFonts w:ascii="Times New Roman" w:hAnsi="Times New Roman" w:cs="Times New Roman"/>
          <w:sz w:val="24"/>
          <w:szCs w:val="24"/>
        </w:rPr>
        <w:t>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6EECC3D2"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lastRenderedPageBreak/>
        <w:tab/>
      </w:r>
      <w:r w:rsidR="002C5E6F">
        <w:rPr>
          <w:rFonts w:ascii="Times New Roman" w:hAnsi="Times New Roman" w:cs="Times New Roman"/>
          <w:sz w:val="24"/>
          <w:szCs w:val="24"/>
        </w:rPr>
        <w:t xml:space="preserve">I </w:t>
      </w:r>
      <w:r w:rsidR="00CD466F">
        <w:rPr>
          <w:rFonts w:ascii="Times New Roman" w:hAnsi="Times New Roman" w:cs="Times New Roman"/>
          <w:sz w:val="24"/>
          <w:szCs w:val="24"/>
        </w:rPr>
        <w:t>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C86D52">
        <w:rPr>
          <w:rFonts w:ascii="Times New Roman" w:hAnsi="Times New Roman" w:cs="Times New Roman"/>
          <w:sz w:val="24"/>
          <w:szCs w:val="24"/>
        </w:rPr>
        <w:t xml:space="preserve">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t>
      </w:r>
      <w:r w:rsidR="002C5E6F">
        <w:rPr>
          <w:rFonts w:ascii="Times New Roman" w:hAnsi="Times New Roman" w:cs="Times New Roman"/>
          <w:iCs/>
          <w:sz w:val="24"/>
          <w:szCs w:val="24"/>
        </w:rPr>
        <w:t xml:space="preserve">I </w:t>
      </w:r>
      <w:r w:rsidR="0035422C">
        <w:rPr>
          <w:rFonts w:ascii="Times New Roman" w:hAnsi="Times New Roman" w:cs="Times New Roman"/>
          <w:iCs/>
          <w:sz w:val="24"/>
          <w:szCs w:val="24"/>
        </w:rPr>
        <w:t xml:space="preserve">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36EF7CF1"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2C5E6F">
        <w:rPr>
          <w:rFonts w:ascii="Times New Roman" w:hAnsi="Times New Roman" w:cs="Times New Roman"/>
          <w:sz w:val="24"/>
          <w:szCs w:val="24"/>
        </w:rPr>
        <w:t xml:space="preserve">I </w:t>
      </w:r>
      <w:r w:rsidR="004746C7">
        <w:rPr>
          <w:rFonts w:ascii="Times New Roman" w:hAnsi="Times New Roman" w:cs="Times New Roman"/>
          <w:sz w:val="24"/>
          <w:szCs w:val="24"/>
        </w:rPr>
        <w:t xml:space="preserve">operationalized </w:t>
      </w:r>
      <w:r w:rsidR="00B94BC8">
        <w:rPr>
          <w:rFonts w:ascii="Times New Roman" w:hAnsi="Times New Roman" w:cs="Times New Roman"/>
          <w:sz w:val="24"/>
          <w:szCs w:val="24"/>
        </w:rPr>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w:t>
      </w:r>
      <w:r w:rsidR="0009678C">
        <w:rPr>
          <w:rFonts w:ascii="Times New Roman" w:hAnsi="Times New Roman" w:cs="Times New Roman"/>
          <w:sz w:val="24"/>
          <w:szCs w:val="24"/>
        </w:rPr>
        <w:lastRenderedPageBreak/>
        <w:t xml:space="preserve">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r w:rsidR="00616E89">
        <w:rPr>
          <w:rFonts w:ascii="Times New Roman" w:hAnsi="Times New Roman" w:cs="Times New Roman"/>
          <w:sz w:val="24"/>
          <w:szCs w:val="24"/>
        </w:rPr>
        <w:t xml:space="preserve"> </w:t>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E54B737"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2C5E6F">
        <w:rPr>
          <w:rFonts w:ascii="Times New Roman" w:hAnsi="Times New Roman" w:cs="Times New Roman"/>
          <w:iCs/>
          <w:sz w:val="24"/>
          <w:szCs w:val="24"/>
        </w:rPr>
        <w:t xml:space="preserve">I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071762">
        <w:rPr>
          <w:rFonts w:ascii="Times New Roman" w:hAnsi="Times New Roman" w:cs="Times New Roman"/>
          <w:iCs/>
          <w:sz w:val="24"/>
          <w:szCs w:val="24"/>
        </w:rPr>
        <w:t xml:space="preserve">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35AAE">
        <w:rPr>
          <w:rFonts w:ascii="Times New Roman" w:hAnsi="Times New Roman" w:cs="Times New Roman"/>
          <w:iCs/>
          <w:sz w:val="24"/>
          <w:szCs w:val="24"/>
        </w:rPr>
        <w:t>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t>All-cause mortality</w:t>
      </w:r>
    </w:p>
    <w:p w14:paraId="047E8166" w14:textId="4DC09045"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2C5E6F">
        <w:rPr>
          <w:rFonts w:ascii="Times New Roman" w:hAnsi="Times New Roman" w:cs="Times New Roman"/>
          <w:sz w:val="24"/>
          <w:szCs w:val="24"/>
        </w:rPr>
        <w:t xml:space="preserve">I </w:t>
      </w:r>
      <w:r w:rsidR="00865160">
        <w:rPr>
          <w:rFonts w:ascii="Times New Roman" w:hAnsi="Times New Roman" w:cs="Times New Roman"/>
          <w:sz w:val="24"/>
          <w:szCs w:val="24"/>
        </w:rPr>
        <w:t xml:space="preserve">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715EF7D"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lastRenderedPageBreak/>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13021A">
        <w:rPr>
          <w:rFonts w:ascii="Times New Roman" w:hAnsi="Times New Roman" w:cs="Times New Roman"/>
          <w:iCs/>
          <w:sz w:val="24"/>
          <w:szCs w:val="24"/>
        </w:rPr>
        <w:t>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D50821">
        <w:rPr>
          <w:rFonts w:ascii="Times New Roman" w:hAnsi="Times New Roman" w:cs="Times New Roman"/>
          <w:iCs/>
          <w:sz w:val="24"/>
          <w:szCs w:val="24"/>
        </w:rPr>
        <w:t>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FA6C4F">
        <w:rPr>
          <w:rFonts w:ascii="Times New Roman" w:hAnsi="Times New Roman" w:cs="Times New Roman"/>
          <w:iCs/>
          <w:sz w:val="24"/>
          <w:szCs w:val="24"/>
        </w:rPr>
        <w:t>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C45620">
        <w:rPr>
          <w:rFonts w:ascii="Times New Roman" w:hAnsi="Times New Roman" w:cs="Times New Roman"/>
          <w:iCs/>
          <w:sz w:val="24"/>
          <w:szCs w:val="24"/>
        </w:rPr>
        <w:t xml:space="preserve">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AE44F4">
        <w:rPr>
          <w:rFonts w:ascii="Times New Roman" w:hAnsi="Times New Roman" w:cs="Times New Roman"/>
          <w:iCs/>
          <w:sz w:val="24"/>
          <w:szCs w:val="24"/>
        </w:rPr>
        <w:t>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t>Statistical Analyses</w:t>
      </w:r>
    </w:p>
    <w:p w14:paraId="5532220F" w14:textId="716CA6C1"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2C5E6F">
        <w:rPr>
          <w:rFonts w:ascii="Times New Roman" w:hAnsi="Times New Roman" w:cs="Times New Roman"/>
          <w:sz w:val="24"/>
          <w:szCs w:val="24"/>
        </w:rPr>
        <w:t xml:space="preserve">I </w:t>
      </w:r>
      <w:r w:rsidR="00921E04">
        <w:rPr>
          <w:rFonts w:ascii="Times New Roman" w:hAnsi="Times New Roman" w:cs="Times New Roman"/>
          <w:sz w:val="24"/>
          <w:szCs w:val="24"/>
        </w:rPr>
        <w:t>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021062">
        <w:rPr>
          <w:rFonts w:ascii="Times New Roman" w:hAnsi="Times New Roman" w:cs="Times New Roman"/>
          <w:sz w:val="24"/>
          <w:szCs w:val="24"/>
        </w:rPr>
        <w:t>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w:t>
      </w:r>
      <w:r w:rsidR="00021062">
        <w:rPr>
          <w:rFonts w:ascii="Times New Roman" w:hAnsi="Times New Roman" w:cs="Times New Roman"/>
          <w:sz w:val="24"/>
          <w:szCs w:val="24"/>
        </w:rPr>
        <w:lastRenderedPageBreak/>
        <w:t>Consistent with our operationalization of CVD,</w:t>
      </w:r>
      <w:r w:rsidR="009A13B5">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944B5B">
        <w:rPr>
          <w:rFonts w:ascii="Times New Roman" w:hAnsi="Times New Roman" w:cs="Times New Roman"/>
          <w:sz w:val="24"/>
          <w:szCs w:val="24"/>
        </w:rPr>
        <w:t xml:space="preserve">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47D93963"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2C5E6F">
        <w:rPr>
          <w:rFonts w:ascii="Times New Roman" w:hAnsi="Times New Roman" w:cs="Times New Roman"/>
          <w:sz w:val="24"/>
          <w:szCs w:val="24"/>
        </w:rPr>
        <w:t xml:space="preserve">I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0"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0"/>
      <w:r w:rsidR="009D5E0B">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147862">
        <w:rPr>
          <w:rFonts w:ascii="Times New Roman" w:hAnsi="Times New Roman" w:cs="Times New Roman"/>
          <w:sz w:val="24"/>
          <w:szCs w:val="24"/>
        </w:rPr>
        <w:t xml:space="preserve">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w:t>
      </w:r>
      <w:r w:rsidR="00FC1349">
        <w:rPr>
          <w:rFonts w:ascii="Times New Roman" w:hAnsi="Times New Roman" w:cs="Times New Roman"/>
          <w:sz w:val="24"/>
          <w:szCs w:val="24"/>
        </w:rPr>
        <w:t>ry</w:t>
      </w:r>
      <w:r w:rsidR="00F12BAC">
        <w:rPr>
          <w:rFonts w:ascii="Times New Roman" w:hAnsi="Times New Roman" w:cs="Times New Roman"/>
          <w:sz w:val="24"/>
          <w:szCs w:val="24"/>
        </w:rPr>
        <w:t xml:space="preserve"> Figure </w:t>
      </w:r>
      <w:r w:rsidR="00F6038E">
        <w:rPr>
          <w:rFonts w:ascii="Times New Roman" w:hAnsi="Times New Roman" w:cs="Times New Roman"/>
          <w:sz w:val="24"/>
          <w:szCs w:val="24"/>
        </w:rPr>
        <w:t>1</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2C5E6F">
        <w:rPr>
          <w:rFonts w:ascii="Times New Roman" w:hAnsi="Times New Roman" w:cs="Times New Roman"/>
          <w:sz w:val="24"/>
          <w:szCs w:val="24"/>
        </w:rPr>
        <w:t xml:space="preserve">I </w:t>
      </w:r>
      <w:r w:rsidR="00E928DA">
        <w:rPr>
          <w:rFonts w:ascii="Times New Roman" w:hAnsi="Times New Roman" w:cs="Times New Roman"/>
          <w:sz w:val="24"/>
          <w:szCs w:val="24"/>
        </w:rPr>
        <w:t>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2C5E6F">
        <w:rPr>
          <w:rFonts w:ascii="Times New Roman" w:hAnsi="Times New Roman" w:cs="Times New Roman"/>
          <w:sz w:val="24"/>
          <w:szCs w:val="24"/>
        </w:rPr>
        <w:t xml:space="preserve">I </w:t>
      </w:r>
      <w:r w:rsidR="00C0308E">
        <w:rPr>
          <w:rFonts w:ascii="Times New Roman" w:hAnsi="Times New Roman" w:cs="Times New Roman"/>
          <w:sz w:val="24"/>
          <w:szCs w:val="24"/>
        </w:rPr>
        <w:t>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907C34">
        <w:rPr>
          <w:rFonts w:ascii="Times New Roman" w:hAnsi="Times New Roman" w:cs="Times New Roman"/>
          <w:sz w:val="24"/>
          <w:szCs w:val="24"/>
        </w:rPr>
        <w:instrText xml:space="preserve"> ADDIN ZOTERO_ITEM CSL_CITATION {"citationID":"gcUSUdrF","properties":{"formattedCitation":"\\super 38\\nosupersub{}","plainCitation":"38","noteIndex":0},"citationItems":[{"id":1133,"uris":["http://zotero.org/users/5917738/items/I4BPN39W"],"uri":["http://zotero.org/users/5917738/items/I4BPN39W"],"itemData":{"id":1133,"type":"article-journal","abstract":"It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38</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3DF5CC91"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2C5E6F">
        <w:rPr>
          <w:rFonts w:ascii="Times New Roman" w:hAnsi="Times New Roman" w:cs="Times New Roman"/>
          <w:sz w:val="24"/>
          <w:szCs w:val="24"/>
        </w:rPr>
        <w:t xml:space="preserve">I </w:t>
      </w:r>
      <w:r>
        <w:rPr>
          <w:rFonts w:ascii="Times New Roman" w:hAnsi="Times New Roman" w:cs="Times New Roman"/>
          <w:sz w:val="24"/>
          <w:szCs w:val="24"/>
        </w:rPr>
        <w:t>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 xml:space="preserve">impacted </w:t>
      </w:r>
      <w:r w:rsidR="00937B5E">
        <w:rPr>
          <w:rFonts w:ascii="Times New Roman" w:hAnsi="Times New Roman" w:cs="Times New Roman"/>
          <w:sz w:val="24"/>
          <w:szCs w:val="24"/>
        </w:rPr>
        <w:lastRenderedPageBreak/>
        <w:t>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8058FF">
        <w:rPr>
          <w:rFonts w:ascii="Times New Roman" w:hAnsi="Times New Roman" w:cs="Times New Roman"/>
          <w:sz w:val="24"/>
          <w:szCs w:val="24"/>
        </w:rPr>
        <w:t xml:space="preserve">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{"citationID":"pPdix7h0","properties":{"formattedCitation":"\\super 39\\nosupersub{}","plainCitation":"39","noteIndex":0},"citationItems":[{"id":1087,"uris":["http://zotero.org/users/5917738/items/C9P954VX"],"uri":["http://zotero.org/users/5917738/items/C9P954VX"],"itemData":{"id":1087,"type":"article-journal","abstract":"Nonproportional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39</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3F4A91">
        <w:rPr>
          <w:rFonts w:ascii="Times New Roman" w:hAnsi="Times New Roman" w:cs="Times New Roman"/>
          <w:sz w:val="24"/>
          <w:szCs w:val="24"/>
        </w:rPr>
        <w:t xml:space="preserve">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2C5E6F">
        <w:rPr>
          <w:rFonts w:ascii="Times New Roman" w:hAnsi="Times New Roman" w:cs="Times New Roman"/>
          <w:sz w:val="24"/>
          <w:szCs w:val="24"/>
        </w:rPr>
        <w:t xml:space="preserve">I </w:t>
      </w:r>
      <w:r w:rsidR="00D44E24">
        <w:rPr>
          <w:rFonts w:ascii="Times New Roman" w:hAnsi="Times New Roman" w:cs="Times New Roman"/>
          <w:sz w:val="24"/>
          <w:szCs w:val="24"/>
        </w:rPr>
        <w:t>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 xml:space="preserve">or log-linearity, </w:t>
      </w:r>
      <w:r w:rsidR="002C5E6F">
        <w:rPr>
          <w:rFonts w:ascii="Times New Roman" w:hAnsi="Times New Roman" w:cs="Times New Roman"/>
          <w:sz w:val="24"/>
          <w:szCs w:val="24"/>
        </w:rPr>
        <w:t xml:space="preserve">I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{"citationID":"BmLeulYb","properties":{"formattedCitation":"\\super 40\\nosupersub{}","plainCitation":"40","noteIndex":0},"citationItems":[{"id":1021,"uris":["http://zotero.org/users/5917738/items/C9W2X5AH"],"uri":["http://zotero.org/users/5917738/items/C9W2X5AH"],"itemData":{"id":1021,"type":"book","event-place":"Vienna,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40</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{"citationID":"x8vs1aOB","properties":{"formattedCitation":"\\super 41\\nosupersub{}","plainCitation":"41","noteIndex":0},"citationItems":[{"id":1126,"uris":["http://zotero.org/users/5917738/items/LK3WKERN"],"uri":["http://zotero.org/users/5917738/items/LK3WKERN"],"itemData":{"id":1126,"type":"book","event-place":"Boston,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41</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{"citationID":"mn8CbsHj","properties":{"formattedCitation":"\\super 42\\nosupersub{}","plainCitation":"42","noteIndex":0},"citationItems":[{"id":1127,"uris":["http://zotero.org/users/5917738/items/VYABRGI3"],"uri":["http://zotero.org/users/5917738/items/VYABRGI3"],"itemData":{"id":1127,"type":"article-journal","title":"survival: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42</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{"citationID":"gc8Bzq7D","properties":{"formattedCitation":"\\super 43\\nosupersub{}","plainCitation":"43","noteIndex":0},"citationItems":[{"id":1018,"uris":["http://zotero.org/users/5917738/items/WRL4YBWR"],"uri":["http://zotero.org/users/5917738/items/WRL4YBWR"],"itemData":{"id":1018,"type":"article-journal","container-title":"Journal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43</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t>
      </w:r>
      <w:r w:rsidR="00712896">
        <w:rPr>
          <w:rFonts w:ascii="Times New Roman" w:hAnsi="Times New Roman" w:cs="Times New Roman"/>
          <w:sz w:val="24"/>
          <w:szCs w:val="24"/>
        </w:rPr>
        <w:lastRenderedPageBreak/>
        <w:t xml:space="preserve">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68E2D967"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t>
      </w:r>
      <w:r w:rsidR="002C5E6F">
        <w:rPr>
          <w:rFonts w:ascii="Times New Roman" w:hAnsi="Times New Roman" w:cs="Times New Roman"/>
          <w:sz w:val="24"/>
          <w:szCs w:val="24"/>
        </w:rPr>
        <w:t xml:space="preserve">I </w:t>
      </w:r>
      <w:r w:rsidR="005C6338">
        <w:rPr>
          <w:rFonts w:ascii="Times New Roman" w:hAnsi="Times New Roman" w:cs="Times New Roman"/>
          <w:sz w:val="24"/>
          <w:szCs w:val="24"/>
        </w:rPr>
        <w:t>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Cardiovascular Disease</w:t>
      </w:r>
    </w:p>
    <w:p w14:paraId="0387F8E9" w14:textId="28663D1B"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521E1C">
        <w:rPr>
          <w:rFonts w:ascii="Times New Roman" w:hAnsi="Times New Roman" w:cs="Times New Roman"/>
          <w:sz w:val="24"/>
          <w:szCs w:val="24"/>
        </w:rPr>
        <w:t>Supplementary Table 2 displays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545AE70E"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 xml:space="preserve">.163 – </w:t>
      </w:r>
      <w:proofErr w:type="gramStart"/>
      <w:r w:rsidR="00763566">
        <w:rPr>
          <w:rFonts w:ascii="Times New Roman" w:hAnsi="Times New Roman" w:cs="Times New Roman"/>
          <w:iCs/>
          <w:sz w:val="24"/>
          <w:szCs w:val="24"/>
        </w:rPr>
        <w:t>1.300</w:t>
      </w:r>
      <w:r w:rsidR="0078461C">
        <w:rPr>
          <w:rFonts w:ascii="Times New Roman" w:hAnsi="Times New Roman" w:cs="Times New Roman"/>
          <w:iCs/>
          <w:sz w:val="24"/>
          <w:szCs w:val="24"/>
        </w:rPr>
        <w:t>;</w:t>
      </w:r>
      <w:proofErr w:type="gramEnd"/>
      <w:r w:rsidR="0078461C">
        <w:rPr>
          <w:rFonts w:ascii="Times New Roman" w:hAnsi="Times New Roman" w:cs="Times New Roman"/>
          <w:iCs/>
          <w:sz w:val="24"/>
          <w:szCs w:val="24"/>
        </w:rPr>
        <w:t xml:space="preserve">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w:t>
      </w:r>
      <w:r w:rsidR="00F23991">
        <w:rPr>
          <w:rFonts w:ascii="Times New Roman" w:hAnsi="Times New Roman" w:cs="Times New Roman"/>
          <w:iCs/>
          <w:sz w:val="24"/>
          <w:szCs w:val="24"/>
        </w:rPr>
        <w:t>The hazard ratios for confounders</w:t>
      </w:r>
      <w:r w:rsidR="00C739B6">
        <w:rPr>
          <w:rFonts w:ascii="Times New Roman" w:hAnsi="Times New Roman" w:cs="Times New Roman"/>
          <w:iCs/>
          <w:sz w:val="24"/>
          <w:szCs w:val="24"/>
        </w:rPr>
        <w:t xml:space="preserve"> are listed in Supplementary Table 3.</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7C773BFB"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630E957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 xml:space="preserve">When </w:t>
      </w:r>
      <w:r w:rsidR="002C5E6F">
        <w:rPr>
          <w:rFonts w:ascii="Times New Roman" w:hAnsi="Times New Roman" w:cs="Times New Roman"/>
          <w:iCs/>
          <w:sz w:val="24"/>
          <w:szCs w:val="24"/>
        </w:rPr>
        <w:t xml:space="preserve">I </w:t>
      </w:r>
      <w:r w:rsidR="009655F8">
        <w:rPr>
          <w:rFonts w:ascii="Times New Roman" w:hAnsi="Times New Roman" w:cs="Times New Roman"/>
          <w:iCs/>
          <w:sz w:val="24"/>
          <w:szCs w:val="24"/>
        </w:rPr>
        <w:t>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xml:space="preserve">. The adjusted hazard of disease-specific mortality was not significantly different between the two </w:t>
      </w:r>
      <w:r w:rsidR="004C1948">
        <w:rPr>
          <w:rFonts w:ascii="Times New Roman" w:hAnsi="Times New Roman" w:cs="Times New Roman"/>
          <w:iCs/>
          <w:sz w:val="24"/>
          <w:szCs w:val="24"/>
        </w:rPr>
        <w:lastRenderedPageBreak/>
        <w:t>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r w:rsidR="006B7838">
        <w:rPr>
          <w:rFonts w:ascii="Times New Roman" w:hAnsi="Times New Roman" w:cs="Times New Roman"/>
          <w:iCs/>
          <w:sz w:val="24"/>
          <w:szCs w:val="24"/>
        </w:rPr>
        <w:t xml:space="preserve"> Hazard ratios for associated confounders are displayed in Supplementary Table 5.</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598CA4C8"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w:t>
      </w:r>
      <w:r w:rsidR="000F4848">
        <w:rPr>
          <w:rFonts w:ascii="Times New Roman" w:hAnsi="Times New Roman" w:cs="Times New Roman"/>
          <w:iCs/>
          <w:sz w:val="24"/>
          <w:szCs w:val="24"/>
        </w:rPr>
        <w:t>6</w:t>
      </w:r>
      <w:r w:rsidR="002C0174">
        <w:rPr>
          <w:rFonts w:ascii="Times New Roman" w:hAnsi="Times New Roman" w:cs="Times New Roman"/>
          <w:iCs/>
          <w:sz w:val="24"/>
          <w:szCs w:val="24"/>
        </w:rPr>
        <w:t xml:space="preserve"> shows </w:t>
      </w:r>
      <w:r w:rsidR="004325D0">
        <w:rPr>
          <w:rFonts w:ascii="Times New Roman" w:hAnsi="Times New Roman" w:cs="Times New Roman"/>
          <w:iCs/>
          <w:sz w:val="24"/>
          <w:szCs w:val="24"/>
        </w:rPr>
        <w:t xml:space="preserve">hazard ratios for all included confounders in </w:t>
      </w:r>
      <w:r w:rsidR="000F4848">
        <w:rPr>
          <w:rFonts w:ascii="Times New Roman" w:hAnsi="Times New Roman" w:cs="Times New Roman"/>
          <w:iCs/>
          <w:sz w:val="24"/>
          <w:szCs w:val="24"/>
        </w:rPr>
        <w:t>the disease-specific mortality models</w:t>
      </w:r>
      <w:r w:rsidR="00311FA7">
        <w:rPr>
          <w:rFonts w:ascii="Times New Roman" w:hAnsi="Times New Roman" w:cs="Times New Roman"/>
          <w:iCs/>
          <w:sz w:val="24"/>
          <w:szCs w:val="24"/>
        </w:rPr>
        <w:t xml:space="preserve"> for cardiovascular disease, including hypertension.</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27D7FB9E"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2C5E6F">
        <w:rPr>
          <w:rFonts w:ascii="Times New Roman" w:hAnsi="Times New Roman" w:cs="Times New Roman"/>
          <w:iCs/>
          <w:sz w:val="24"/>
          <w:szCs w:val="24"/>
        </w:rPr>
        <w:t xml:space="preserve">I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w:t>
      </w:r>
      <w:r w:rsidR="00B8545A">
        <w:rPr>
          <w:rFonts w:ascii="Times New Roman" w:hAnsi="Times New Roman" w:cs="Times New Roman"/>
          <w:iCs/>
          <w:sz w:val="24"/>
          <w:szCs w:val="24"/>
        </w:rPr>
        <w:lastRenderedPageBreak/>
        <w:t xml:space="preserve">prevalence of CRN </w:t>
      </w:r>
      <w:r w:rsidR="006A763E">
        <w:rPr>
          <w:rFonts w:ascii="Times New Roman" w:hAnsi="Times New Roman" w:cs="Times New Roman"/>
          <w:iCs/>
          <w:sz w:val="24"/>
          <w:szCs w:val="24"/>
        </w:rPr>
        <w:t>(</w:t>
      </w:r>
      <w:r w:rsidR="00373B27">
        <w:rPr>
          <w:rFonts w:ascii="Times New Roman" w:hAnsi="Times New Roman" w:cs="Times New Roman"/>
          <w:iCs/>
          <w:sz w:val="24"/>
          <w:szCs w:val="24"/>
        </w:rPr>
        <w:t>2</w:t>
      </w:r>
      <w:r w:rsidR="007C357D">
        <w:rPr>
          <w:rFonts w:ascii="Times New Roman" w:hAnsi="Times New Roman" w:cs="Times New Roman"/>
          <w:iCs/>
          <w:sz w:val="24"/>
          <w:szCs w:val="24"/>
        </w:rPr>
        <w:t>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C33C75">
        <w:rPr>
          <w:rFonts w:ascii="Times New Roman" w:hAnsi="Times New Roman" w:cs="Times New Roman"/>
          <w:iCs/>
          <w:sz w:val="24"/>
          <w:szCs w:val="24"/>
        </w:rPr>
        <w:t xml:space="preserve">, thus </w:t>
      </w:r>
      <w:r w:rsidR="002C5E6F">
        <w:rPr>
          <w:rFonts w:ascii="Times New Roman" w:hAnsi="Times New Roman" w:cs="Times New Roman"/>
          <w:iCs/>
          <w:sz w:val="24"/>
          <w:szCs w:val="24"/>
        </w:rPr>
        <w:t xml:space="preserve">I </w:t>
      </w:r>
      <w:r w:rsidR="00C33C75">
        <w:rPr>
          <w:rFonts w:ascii="Times New Roman" w:hAnsi="Times New Roman" w:cs="Times New Roman"/>
          <w:iCs/>
          <w:sz w:val="24"/>
          <w:szCs w:val="24"/>
        </w:rPr>
        <w:t xml:space="preserve">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3FF5DEA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7D07F5">
        <w:rPr>
          <w:rFonts w:ascii="Times New Roman" w:hAnsi="Times New Roman" w:cs="Times New Roman"/>
          <w:iCs/>
          <w:sz w:val="24"/>
          <w:szCs w:val="24"/>
        </w:rPr>
        <w:t>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945CDC">
        <w:rPr>
          <w:rFonts w:ascii="Times New Roman" w:hAnsi="Times New Roman" w:cs="Times New Roman"/>
          <w:iCs/>
          <w:sz w:val="24"/>
          <w:szCs w:val="24"/>
        </w:rPr>
        <w:t>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2C5E6F">
        <w:rPr>
          <w:rFonts w:ascii="Times New Roman" w:hAnsi="Times New Roman" w:cs="Times New Roman"/>
          <w:iCs/>
          <w:sz w:val="24"/>
          <w:szCs w:val="24"/>
        </w:rPr>
        <w:t xml:space="preserve">I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1992421A"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430EA4">
        <w:rPr>
          <w:rFonts w:ascii="Times New Roman" w:hAnsi="Times New Roman" w:cs="Times New Roman"/>
          <w:iCs/>
          <w:sz w:val="24"/>
          <w:szCs w:val="24"/>
        </w:rPr>
        <w:instrText xml:space="preserve"> ADDIN ZOTERO_ITEM CSL_CITATION {"citationID":"vBjrNLZc","properties":{"formattedCitation":"\\super 25\\nosupersub{}","plainCitation":"25","noteIndex":0},"citationItems":[{"id":654,"uris":["http://zotero.org/users/5917738/items/UM8BXSBM"],"uri":["http://zotero.org/users/5917738/items/UM8BXSBM"],"itemData":{"id":654,"type":"article-journal","abstract":"Nonadherence,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430EA4" w:rsidRPr="00430EA4">
        <w:rPr>
          <w:rFonts w:ascii="Times New Roman" w:hAnsi="Times New Roman" w:cs="Times New Roman"/>
          <w:sz w:val="24"/>
          <w:szCs w:val="24"/>
          <w:vertAlign w:val="superscript"/>
        </w:rPr>
        <w:t>25</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5607B3">
        <w:rPr>
          <w:rFonts w:ascii="Times New Roman" w:hAnsi="Times New Roman" w:cs="Times New Roman"/>
          <w:iCs/>
          <w:sz w:val="24"/>
          <w:szCs w:val="24"/>
        </w:rPr>
        <w:t xml:space="preserve">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35CCBD16"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EA2A9D">
        <w:rPr>
          <w:rFonts w:ascii="Times New Roman" w:hAnsi="Times New Roman" w:cs="Times New Roman"/>
          <w:iCs/>
          <w:sz w:val="24"/>
          <w:szCs w:val="24"/>
        </w:rPr>
        <w:instrText xml:space="preserve"> ADDIN ZOTERO_ITEM CSL_CITATION {"citationID":"HdddNjXF","properties":{"formattedCitation":"\\super 23,24,34\\nosupersub{}","plainCitation":"23,24,34","noteIndex":0},"citationItems":[{"id":619,"uris":["http://zotero.org/users/5917738/items/5HKMVCT4"],"uri":["http://zotero.org/users/5917738/items/5HKMVCT4"],"itemData":{"id":619,"type":"report","page":"1-16","title":"Costs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EA2A9D" w:rsidRPr="00780EA6">
        <w:rPr>
          <w:rFonts w:ascii="Times New Roman" w:hAnsi="Times New Roman" w:cs="Times New Roman"/>
          <w:sz w:val="24"/>
          <w:szCs w:val="24"/>
          <w:vertAlign w:val="superscript"/>
        </w:rPr>
        <w:t>23,24,34</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E5D70">
        <w:rPr>
          <w:rFonts w:ascii="Times New Roman" w:hAnsi="Times New Roman" w:cs="Times New Roman"/>
          <w:iCs/>
          <w:sz w:val="24"/>
          <w:szCs w:val="24"/>
        </w:rPr>
        <w:instrText xml:space="preserve"> ADDIN ZOTERO_ITEM CSL_CITATION {"citationID":"HQVDF6j3","properties":{"formattedCitation":"\\super 44\\nosupersub{}","plainCitation":"44","noteIndex":0},"citationItems":[{"id":1214,"uris":["http://zotero.org/users/5917738/items/48FJPADJ"],"uri":["http://zotero.org/users/5917738/items/48FJPADJ"],"itemData":{"id":1214,"type":"article-journal","abstract":"Aims:\nTo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E5D70" w:rsidRPr="00BE5D70">
        <w:rPr>
          <w:rFonts w:ascii="Times New Roman" w:hAnsi="Times New Roman" w:cs="Times New Roman"/>
          <w:sz w:val="24"/>
          <w:szCs w:val="24"/>
          <w:vertAlign w:val="superscript"/>
        </w:rPr>
        <w:t>44</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2C5E6F">
        <w:rPr>
          <w:rFonts w:ascii="Times New Roman" w:hAnsi="Times New Roman" w:cs="Times New Roman"/>
          <w:iCs/>
          <w:sz w:val="24"/>
          <w:szCs w:val="24"/>
        </w:rPr>
        <w:t xml:space="preserve">I </w:t>
      </w:r>
      <w:r w:rsidR="0040581C">
        <w:rPr>
          <w:rFonts w:ascii="Times New Roman" w:hAnsi="Times New Roman" w:cs="Times New Roman"/>
          <w:iCs/>
          <w:sz w:val="24"/>
          <w:szCs w:val="24"/>
        </w:rPr>
        <w:t>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{"citationID":"RwCpi5nD","properties":{"formattedCitation":"\\super 45,46\\nosupersub{}","plainCitation":"45,46","noteIndex":0},"citationItems":[{"id":1228,"uris":["http://zotero.org/users/5917738/items/8JMMTQHI"],"uri":["http://zotero.org/users/5917738/items/8JMMTQHI"],"itemData":{"id":1228,"type":"article-journal","abstract":"Aims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45,46</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06D28601"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lack of association between CRN and mortality in respondents interviewed after 2010 is also notable. Although </w:t>
      </w:r>
      <w:r w:rsidR="002C5E6F">
        <w:rPr>
          <w:rFonts w:ascii="Times New Roman" w:hAnsi="Times New Roman" w:cs="Times New Roman"/>
          <w:iCs/>
          <w:sz w:val="24"/>
          <w:szCs w:val="24"/>
        </w:rPr>
        <w:t xml:space="preserve">I </w:t>
      </w:r>
      <w:r>
        <w:rPr>
          <w:rFonts w:ascii="Times New Roman" w:hAnsi="Times New Roman" w:cs="Times New Roman"/>
          <w:iCs/>
          <w:sz w:val="24"/>
          <w:szCs w:val="24"/>
        </w:rPr>
        <w:t>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{"citationID":"gYPTq1Fb","properties":{"formattedCitation":"\\super 28,47\\nosupersub{}","plainCitation":"28,47","noteIndex":0},"citationItems":[{"id":652,"uris":["http://zotero.org/users/5917738/items/NY2ET4KV"],"uri":["http://zotero.org/users/5917738/items/NY2ET4KV"],"itemData":{"id":652,"type":"article-journal","abstract":"Background: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28,47</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w:t>
      </w:r>
      <w:r>
        <w:rPr>
          <w:rFonts w:ascii="Times New Roman" w:hAnsi="Times New Roman" w:cs="Times New Roman"/>
          <w:iCs/>
          <w:sz w:val="24"/>
          <w:szCs w:val="24"/>
        </w:rPr>
        <w:lastRenderedPageBreak/>
        <w:t xml:space="preserve">longer follow-up </w:t>
      </w:r>
      <w:r w:rsidR="002C5E6F">
        <w:rPr>
          <w:rFonts w:ascii="Times New Roman" w:hAnsi="Times New Roman" w:cs="Times New Roman"/>
          <w:iCs/>
          <w:sz w:val="24"/>
          <w:szCs w:val="24"/>
        </w:rPr>
        <w:t xml:space="preserve">I </w:t>
      </w:r>
      <w:r>
        <w:rPr>
          <w:rFonts w:ascii="Times New Roman" w:hAnsi="Times New Roman" w:cs="Times New Roman"/>
          <w:iCs/>
          <w:sz w:val="24"/>
          <w:szCs w:val="24"/>
        </w:rPr>
        <w:t>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{"citationID":"pu5lOXJt","properties":{"formattedCitation":"\\super 48\\uc0\\u8211{}50\\nosupersub{}","plainCitation":"48–50","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48–50</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{"citationID":"K3GGfjMs","properties":{"formattedCitation":"\\super 51,52\\nosupersub{}","plainCitation":"51,52","noteIndex":0},"citationItems":[{"id":717,"uris":["http://zotero.org/users/5917738/items/HVSK9KPH"],"uri":["http://zotero.org/users/5917738/items/HVSK9KPH"],"itemData":{"id":717,"type":"article-journal","abstract":"Background: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51,52</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ED847F4"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{"citationID":"J28rhhu2","properties":{"formattedCitation":"\\super 53\\nosupersub{}","plainCitation":"53","noteIndex":0},"citationItems":[{"id":1330,"uris":["http://zotero.org/users/5917738/items/SULKG7XM"],"uri":["http://zotero.org/users/5917738/items/SULKG7XM"],"itemData":{"id":1330,"type":"article-journal","abstract":"Aims\nTo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53</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7C5C68">
        <w:rPr>
          <w:rFonts w:ascii="Times New Roman" w:hAnsi="Times New Roman" w:cs="Times New Roman"/>
          <w:iCs/>
          <w:sz w:val="24"/>
          <w:szCs w:val="24"/>
        </w:rPr>
        <w:instrText xml:space="preserve"> ADDIN ZOTERO_ITEM CSL_CITATION {"citationID":"BkuD8wwT","properties":{"formattedCitation":"\\super 30\\nosupersub{}","plainCitation":"30","noteIndex":0},"citationItems":[{"id":701,"uris":["http://zotero.org/users/5917738/items/P6YLAKRG"],"uri":["http://zotero.org/users/5917738/items/P6YLAKRG"],"itemData":{"id":701,"type":"article-journal","abstract":"Background\nLittle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7C5C68" w:rsidRPr="007C5C68">
        <w:rPr>
          <w:rFonts w:ascii="Times New Roman" w:hAnsi="Times New Roman" w:cs="Times New Roman"/>
          <w:sz w:val="24"/>
          <w:szCs w:val="24"/>
          <w:vertAlign w:val="superscript"/>
        </w:rPr>
        <w:t>30</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{"citationID":"aN2lO4AW","properties":{"formattedCitation":"\\super 54\\nosupersub{}","plainCitation":"54","noteIndex":0},"citationItems":[{"id":1335,"uris":["http://zotero.org/users/5917738/items/KSW72SDK"],"uri":["http://zotero.org/users/5917738/items/KSW72SDK"],"itemData":{"id":1335,"type":"article-journal","abstract":"BACKGROUND: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54</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though not necessarily cost-saving,</w:t>
      </w:r>
      <w:r w:rsidR="00F440F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{"citationID":"PIUlxpsq","properties":{"formattedCitation":"\\super 55\\nosupersub{}","plainCitation":"55","noteIndex":0},"citationItems":[{"id":1338,"uris":["http://zotero.org/users/5917738/items/928D5JES"],"uri":["http://zotero.org/users/5917738/items/928D5JES"],"itemData":{"id":1338,"type":"article-journal","abstract":"Background—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55</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1891FCED"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323829">
        <w:rPr>
          <w:rFonts w:ascii="Times New Roman" w:hAnsi="Times New Roman" w:cs="Times New Roman"/>
          <w:bCs/>
          <w:iCs/>
          <w:sz w:val="24"/>
          <w:szCs w:val="24"/>
        </w:rPr>
        <w:instrText xml:space="preserve"> ADDIN ZOTERO_ITEM CSL_CITATION {"citationID":"uQNb11nx","properties":{"formattedCitation":"\\super 56,57\\nosupersub{}","plainCitation":"56,57","noteIndex":0},"citationItems":[{"id":1157,"uris":["http://zotero.org/users/5917738/items/UWL6FWI3"],"uri":["http://zotero.org/users/5917738/items/UWL6FWI3"],"itemData":{"id":1157,"type":"webpage","title":"Reduce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323829" w:rsidRPr="00323829">
        <w:rPr>
          <w:rFonts w:ascii="Times New Roman" w:hAnsi="Times New Roman" w:cs="Times New Roman"/>
          <w:sz w:val="24"/>
          <w:szCs w:val="24"/>
          <w:vertAlign w:val="superscript"/>
        </w:rPr>
        <w:t>56,57</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{"citationID":"StUqx9IW","properties":{"formattedCitation":"\\super 58\\uc0\\u8211{}62\\nosupersub{}","plainCitation":"58–62","noteIndex":0},"citationItems":[{"id":1379,"uris":["http://zotero.org/users/5917738/items/W633C9WM"],"uri":["http://zotero.org/users/5917738/items/W633C9WM"],"itemData":{"id":1379,"type":"bill","authority":"Florida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58–62</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242231">
        <w:rPr>
          <w:rFonts w:ascii="Times New Roman" w:hAnsi="Times New Roman" w:cs="Times New Roman"/>
          <w:bCs/>
          <w:iCs/>
          <w:sz w:val="24"/>
          <w:szCs w:val="24"/>
        </w:rPr>
        <w:t>At 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w:t>
      </w:r>
      <w:r w:rsidR="00242231">
        <w:rPr>
          <w:rFonts w:ascii="Times New Roman" w:hAnsi="Times New Roman" w:cs="Times New Roman"/>
          <w:bCs/>
          <w:iCs/>
          <w:sz w:val="24"/>
          <w:szCs w:val="24"/>
        </w:rPr>
        <w:lastRenderedPageBreak/>
        <w:t>rising faster than inflation.</w:t>
      </w:r>
      <w:r w:rsidR="0093024E">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{"citationID":"AE1GFqoj","properties":{"formattedCitation":"\\super 63\\nosupersub{}","plainCitation":"63","noteIndex":0},"citationItems":[{"id":1359,"uris":["http://zotero.org/users/5917738/items/JJQEFYKB"],"uri":["http://zotero.org/users/5917738/items/JJQEFYKB"],"itemData":{"id":1359,"type":"bill","authority":"U.S. Senate","chapter-number":"116th","number":"S.2453","title":"Prescription Drug Pricing Reduction Act of 2019","URL":"https://www.congress.gov/bill/116th-congress/senate-bill/2543/all-info","author":[{"family":"Grassley","given":"Chuck"}]}}],"schema":"https://github.com/citation-style-language/schema/raw/master/csl-citation.json"} </w:instrText>
      </w:r>
      <w:r w:rsidR="0093024E">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63</w:t>
      </w:r>
      <w:r w:rsidR="0093024E">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{"citationID":"8hQsI1zF","properties":{"formattedCitation":"\\super 64\\nosupersub{}","plainCitation":"64","noteIndex":0},"citationItems":[{"id":1371,"uris":["http://zotero.org/users/5917738/items/AZQEW753"],"uri":["http://zotero.org/users/5917738/items/AZQEW753"],"itemData":{"id":1371,"type":"article-journal","abstract":"This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64</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(demand </w:t>
      </w:r>
      <w:r w:rsidR="00892CDC">
        <w:rPr>
          <w:rFonts w:ascii="Times New Roman" w:hAnsi="Times New Roman" w:cs="Times New Roman"/>
          <w:bCs/>
          <w:iCs/>
          <w:sz w:val="24"/>
          <w:szCs w:val="24"/>
        </w:rPr>
        <w:t>in</w:t>
      </w:r>
      <w:r w:rsidR="008D0613">
        <w:rPr>
          <w:rFonts w:ascii="Times New Roman" w:hAnsi="Times New Roman" w:cs="Times New Roman"/>
          <w:bCs/>
          <w:iCs/>
          <w:sz w:val="24"/>
          <w:szCs w:val="24"/>
        </w:rPr>
        <w:t>elasticity)</w:t>
      </w:r>
      <w:r w:rsidR="003B6E43">
        <w:rPr>
          <w:rFonts w:ascii="Times New Roman" w:hAnsi="Times New Roman" w:cs="Times New Roman"/>
          <w:bCs/>
          <w:iCs/>
          <w:sz w:val="24"/>
          <w:szCs w:val="24"/>
        </w:rPr>
        <w:t xml:space="preserve"> 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for individuals with 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{"citationID":"XJRZCole","properties":{"formattedCitation":"\\super 65\\nosupersub{}","plainCitation":"65","noteIndex":0},"citationItems":[{"id":1374,"uris":["http://zotero.org/users/5917738/items/K9Q9ZYT9"],"uri":["http://zotero.org/users/5917738/items/K9Q9ZYT9"],"itemData":{"id":1374,"type":"article-journal","abstract":"Introduction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65</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{"citationID":"tboQUpZh","properties":{"formattedCitation":"\\super 66\\nosupersub{}","plainCitation":"66","noteIndex":0},"citationItems":[{"id":1363,"uris":["http://zotero.org/users/5917738/items/TH782BSH"],"uri":["http://zotero.org/users/5917738/items/TH782BSH"],"itemData":{"id":1363,"type":"article-journal","abstract":"We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66</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0E0A76">
        <w:rPr>
          <w:rFonts w:ascii="Times New Roman" w:hAnsi="Times New Roman" w:cs="Times New Roman"/>
          <w:bCs/>
          <w:iCs/>
          <w:sz w:val="24"/>
          <w:szCs w:val="24"/>
        </w:rPr>
        <w:t xml:space="preserve">Moreover, </w:t>
      </w:r>
      <w:r w:rsidR="001C6721">
        <w:rPr>
          <w:rFonts w:ascii="Times New Roman" w:hAnsi="Times New Roman" w:cs="Times New Roman"/>
          <w:bCs/>
          <w:iCs/>
          <w:sz w:val="24"/>
          <w:szCs w:val="24"/>
        </w:rPr>
        <w:t>most evidence has focused on the effects of reference pricing (limiting the price of a specific drug to a range within that of common competitors) rather than price caps (also called ‘maximum pricing,’ as in the proposed insulin legislation) and nearly all research</w:t>
      </w:r>
      <w:r w:rsidR="000E0A76">
        <w:rPr>
          <w:rFonts w:ascii="Times New Roman" w:hAnsi="Times New Roman" w:cs="Times New Roman"/>
          <w:bCs/>
          <w:iCs/>
          <w:sz w:val="24"/>
          <w:szCs w:val="24"/>
        </w:rPr>
        <w:t xml:space="preserve"> has been</w:t>
      </w:r>
      <w:r w:rsidR="001C6721">
        <w:rPr>
          <w:rFonts w:ascii="Times New Roman" w:hAnsi="Times New Roman" w:cs="Times New Roman"/>
          <w:bCs/>
          <w:iCs/>
          <w:sz w:val="24"/>
          <w:szCs w:val="24"/>
        </w:rPr>
        <w:t xml:space="preserve"> conducted in European markets.</w:t>
      </w:r>
      <w:r w:rsidR="001C6721">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{"citationID":"lcrpx54h","properties":{"formattedCitation":"\\super 67\\nosupersub{}","plainCitation":"67","noteIndex":0},"citationItems":[{"id":1360,"uris":["http://zotero.org/users/5917738/items/DMG6ER7W"],"uri":["http://zotero.org/users/5917738/items/DMG6ER7W"],"itemData":{"id":1360,"type":"article-journal","container-title":"Cochrane Database of Systematic Reviews","DOI":"10.1002/14651858.CD005979.pub2","ISSN":"1465-1858","issue":"10","language":"en","source":"www.cochranelibrary.com","title":"Pharmaceutical policies: effects of reference pricing, other pricing, and purchasing policies","title-short":"Pharmaceutical policies","URL":"https://www.cochranelibrary.com/cdsr/doi/10.1002/14651858.CD005979.pub2/full","author":[{"family":"Acosta","given":"Angela"},{"family":"Ciapponi","given":"Agustín"},{"family":"Aaserud","given":"Morten"},{"family":"Vietto","given":"Valeria"},{"family":"Austvoll‐Dahlgren","given":"Astrid"},{"family":"Kösters","given":"Jan Peter"},{"family":"Vacca","given":"Claudia"},{"family":"Machado","given":"Manuel"},{"family":"Ayala","given":"Diana Hazbeydy Diaz"},{"family":"Oxman","given":"Andrew D."}],"accessed":{"date-parts":[["2020",2,18]]},"issued":{"date-parts":[["2014"]]}}}],"schema":"https://github.com/citation-style-language/schema/raw/master/csl-citation.json"} </w:instrText>
      </w:r>
      <w:r w:rsidR="001C6721">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67</w:t>
      </w:r>
      <w:r w:rsidR="001C6721">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AB17FB">
        <w:rPr>
          <w:rFonts w:ascii="Times New Roman" w:hAnsi="Times New Roman" w:cs="Times New Roman"/>
          <w:bCs/>
          <w:iCs/>
          <w:sz w:val="24"/>
          <w:szCs w:val="24"/>
        </w:rPr>
        <w:t>our</w:t>
      </w:r>
      <w:r w:rsidR="008D52E4">
        <w:rPr>
          <w:rFonts w:ascii="Times New Roman" w:hAnsi="Times New Roman" w:cs="Times New Roman"/>
          <w:bCs/>
          <w:iCs/>
          <w:sz w:val="24"/>
          <w:szCs w:val="24"/>
        </w:rPr>
        <w:t xml:space="preserve"> </w:t>
      </w:r>
      <w:r w:rsidR="000C345F">
        <w:rPr>
          <w:rFonts w:ascii="Times New Roman" w:hAnsi="Times New Roman" w:cs="Times New Roman"/>
          <w:bCs/>
          <w:iCs/>
          <w:sz w:val="24"/>
          <w:szCs w:val="24"/>
        </w:rPr>
        <w:t xml:space="preserve">results </w:t>
      </w:r>
      <w:r w:rsidR="003D537D">
        <w:rPr>
          <w:rFonts w:ascii="Times New Roman" w:hAnsi="Times New Roman" w:cs="Times New Roman"/>
          <w:bCs/>
          <w:iCs/>
          <w:sz w:val="24"/>
          <w:szCs w:val="24"/>
        </w:rPr>
        <w:t xml:space="preserve">do lend </w:t>
      </w:r>
      <w:r w:rsidR="00055665">
        <w:rPr>
          <w:rFonts w:ascii="Times New Roman" w:hAnsi="Times New Roman" w:cs="Times New Roman"/>
          <w:bCs/>
          <w:iCs/>
          <w:sz w:val="24"/>
          <w:szCs w:val="24"/>
        </w:rPr>
        <w:t>support</w:t>
      </w:r>
      <w:r w:rsidR="000C345F">
        <w:rPr>
          <w:rFonts w:ascii="Times New Roman" w:hAnsi="Times New Roman" w:cs="Times New Roman"/>
          <w:bCs/>
          <w:iCs/>
          <w:sz w:val="24"/>
          <w:szCs w:val="24"/>
        </w:rPr>
        <w:t xml:space="preserve"> </w:t>
      </w:r>
      <w:r w:rsidR="003D537D">
        <w:rPr>
          <w:rFonts w:ascii="Times New Roman" w:hAnsi="Times New Roman" w:cs="Times New Roman"/>
          <w:bCs/>
          <w:iCs/>
          <w:sz w:val="24"/>
          <w:szCs w:val="24"/>
        </w:rPr>
        <w:t>to some form of</w:t>
      </w:r>
      <w:r w:rsidR="00E93AF7">
        <w:rPr>
          <w:rFonts w:ascii="Times New Roman" w:hAnsi="Times New Roman" w:cs="Times New Roman"/>
          <w:bCs/>
          <w:iCs/>
          <w:sz w:val="24"/>
          <w:szCs w:val="24"/>
        </w:rPr>
        <w:t xml:space="preserve"> price protection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FB093F">
        <w:rPr>
          <w:rFonts w:ascii="Times New Roman" w:hAnsi="Times New Roman" w:cs="Times New Roman"/>
          <w:bCs/>
          <w:iCs/>
          <w:sz w:val="24"/>
          <w:szCs w:val="24"/>
        </w:rPr>
        <w:t xml:space="preserve">, </w:t>
      </w:r>
      <w:r w:rsidR="003D537D">
        <w:rPr>
          <w:rFonts w:ascii="Times New Roman" w:hAnsi="Times New Roman" w:cs="Times New Roman"/>
          <w:bCs/>
          <w:iCs/>
          <w:sz w:val="24"/>
          <w:szCs w:val="24"/>
        </w:rPr>
        <w:t xml:space="preserve">provided that </w:t>
      </w:r>
      <w:r w:rsidR="00491AE2">
        <w:rPr>
          <w:rFonts w:ascii="Times New Roman" w:hAnsi="Times New Roman" w:cs="Times New Roman"/>
          <w:bCs/>
          <w:iCs/>
          <w:sz w:val="24"/>
          <w:szCs w:val="24"/>
        </w:rPr>
        <w:t>caps</w:t>
      </w:r>
      <w:r w:rsidR="003E1C07">
        <w:rPr>
          <w:rFonts w:ascii="Times New Roman" w:hAnsi="Times New Roman" w:cs="Times New Roman"/>
          <w:bCs/>
          <w:iCs/>
          <w:sz w:val="24"/>
          <w:szCs w:val="24"/>
        </w:rPr>
        <w:t xml:space="preserve"> are able to</w:t>
      </w:r>
      <w:r w:rsidR="00491AE2">
        <w:rPr>
          <w:rFonts w:ascii="Times New Roman" w:hAnsi="Times New Roman" w:cs="Times New Roman"/>
          <w:bCs/>
          <w:iCs/>
          <w:sz w:val="24"/>
          <w:szCs w:val="24"/>
        </w:rPr>
        <w:t xml:space="preserve"> reduce CRN, </w:t>
      </w:r>
      <w:r w:rsidR="00FB093F">
        <w:rPr>
          <w:rFonts w:ascii="Times New Roman" w:hAnsi="Times New Roman" w:cs="Times New Roman"/>
          <w:bCs/>
          <w:iCs/>
          <w:sz w:val="24"/>
          <w:szCs w:val="24"/>
        </w:rPr>
        <w:t xml:space="preserve">and </w:t>
      </w:r>
      <w:r w:rsidR="002C5E6F">
        <w:rPr>
          <w:rFonts w:ascii="Times New Roman" w:hAnsi="Times New Roman" w:cs="Times New Roman"/>
          <w:bCs/>
          <w:iCs/>
          <w:sz w:val="24"/>
          <w:szCs w:val="24"/>
        </w:rPr>
        <w:t xml:space="preserve">I </w:t>
      </w:r>
      <w:r w:rsidR="00FB093F">
        <w:rPr>
          <w:rFonts w:ascii="Times New Roman" w:hAnsi="Times New Roman" w:cs="Times New Roman"/>
          <w:bCs/>
          <w:iCs/>
          <w:sz w:val="24"/>
          <w:szCs w:val="24"/>
        </w:rPr>
        <w:t xml:space="preserve">are optimistic about the </w:t>
      </w:r>
      <w:r w:rsidR="0052606D">
        <w:rPr>
          <w:rFonts w:ascii="Times New Roman" w:hAnsi="Times New Roman" w:cs="Times New Roman"/>
          <w:bCs/>
          <w:iCs/>
          <w:sz w:val="24"/>
          <w:szCs w:val="24"/>
        </w:rPr>
        <w:t xml:space="preserve">potential of </w:t>
      </w:r>
      <w:r w:rsidR="000305B6">
        <w:rPr>
          <w:rFonts w:ascii="Times New Roman" w:hAnsi="Times New Roman" w:cs="Times New Roman"/>
          <w:bCs/>
          <w:iCs/>
          <w:sz w:val="24"/>
          <w:szCs w:val="24"/>
        </w:rPr>
        <w:t>new legis</w:t>
      </w:r>
      <w:r w:rsidR="005A1694">
        <w:rPr>
          <w:rFonts w:ascii="Times New Roman" w:hAnsi="Times New Roman" w:cs="Times New Roman"/>
          <w:bCs/>
          <w:iCs/>
          <w:sz w:val="24"/>
          <w:szCs w:val="24"/>
        </w:rPr>
        <w:t xml:space="preserve">lation to make access to </w:t>
      </w:r>
      <w:r w:rsidR="00A2081F">
        <w:rPr>
          <w:rFonts w:ascii="Times New Roman" w:hAnsi="Times New Roman" w:cs="Times New Roman"/>
          <w:bCs/>
          <w:iCs/>
          <w:sz w:val="24"/>
          <w:szCs w:val="24"/>
        </w:rPr>
        <w:t>essential</w:t>
      </w:r>
      <w:r w:rsidR="004F483F">
        <w:rPr>
          <w:rFonts w:ascii="Times New Roman" w:hAnsi="Times New Roman" w:cs="Times New Roman"/>
          <w:bCs/>
          <w:iCs/>
          <w:sz w:val="24"/>
          <w:szCs w:val="24"/>
        </w:rPr>
        <w:t xml:space="preserve"> care</w:t>
      </w:r>
      <w:r w:rsidR="005A1694">
        <w:rPr>
          <w:rFonts w:ascii="Times New Roman" w:hAnsi="Times New Roman" w:cs="Times New Roman"/>
          <w:bCs/>
          <w:iCs/>
          <w:sz w:val="24"/>
          <w:szCs w:val="24"/>
        </w:rPr>
        <w:t xml:space="preserve"> more equitable</w:t>
      </w:r>
      <w:r w:rsidR="002D0EAC">
        <w:rPr>
          <w:rFonts w:ascii="Times New Roman" w:hAnsi="Times New Roman" w:cs="Times New Roman"/>
          <w:bCs/>
          <w:iCs/>
          <w:sz w:val="24"/>
          <w:szCs w:val="24"/>
        </w:rPr>
        <w:t xml:space="preserve"> for </w:t>
      </w:r>
      <w:r w:rsidR="00A2081F">
        <w:rPr>
          <w:rFonts w:ascii="Times New Roman" w:hAnsi="Times New Roman" w:cs="Times New Roman"/>
          <w:bCs/>
          <w:iCs/>
          <w:sz w:val="24"/>
          <w:szCs w:val="24"/>
        </w:rPr>
        <w:t>patients most</w:t>
      </w:r>
      <w:r w:rsidR="002D0EAC">
        <w:rPr>
          <w:rFonts w:ascii="Times New Roman" w:hAnsi="Times New Roman" w:cs="Times New Roman"/>
          <w:bCs/>
          <w:iCs/>
          <w:sz w:val="24"/>
          <w:szCs w:val="24"/>
        </w:rPr>
        <w:t xml:space="preserve"> in need</w:t>
      </w:r>
      <w:r w:rsidR="00E93AF7">
        <w:rPr>
          <w:rFonts w:ascii="Times New Roman" w:hAnsi="Times New Roman" w:cs="Times New Roman"/>
          <w:bCs/>
          <w:iCs/>
          <w:sz w:val="24"/>
          <w:szCs w:val="24"/>
        </w:rPr>
        <w:t>.</w:t>
      </w:r>
      <w:r w:rsidR="005C38BF">
        <w:rPr>
          <w:rFonts w:ascii="Times New Roman" w:hAnsi="Times New Roman" w:cs="Times New Roman"/>
          <w:bCs/>
          <w:iCs/>
          <w:sz w:val="24"/>
          <w:szCs w:val="24"/>
        </w:rPr>
        <w:t xml:space="preserve"> </w:t>
      </w:r>
      <w:r w:rsidR="00E93AF7">
        <w:rPr>
          <w:rFonts w:ascii="Times New Roman" w:hAnsi="Times New Roman" w:cs="Times New Roman"/>
          <w:bCs/>
          <w:iCs/>
          <w:sz w:val="24"/>
          <w:szCs w:val="24"/>
        </w:rPr>
        <w:t>I</w:t>
      </w:r>
      <w:r w:rsidR="005C38BF">
        <w:rPr>
          <w:rFonts w:ascii="Times New Roman" w:hAnsi="Times New Roman" w:cs="Times New Roman"/>
          <w:bCs/>
          <w:iCs/>
          <w:sz w:val="24"/>
          <w:szCs w:val="24"/>
        </w:rPr>
        <w:t>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and high risk of CRN</w:t>
      </w:r>
      <w:r w:rsidR="008603A9">
        <w:rPr>
          <w:rFonts w:ascii="Times New Roman" w:hAnsi="Times New Roman" w:cs="Times New Roman"/>
          <w:bCs/>
          <w:iCs/>
          <w:sz w:val="24"/>
          <w:szCs w:val="24"/>
        </w:rPr>
        <w:t>. 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3DD41E07"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The major strengths of our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 xml:space="preserve">Given the nature of the sample, </w:t>
      </w:r>
      <w:r w:rsidR="002C5E6F">
        <w:rPr>
          <w:rFonts w:ascii="Times New Roman" w:hAnsi="Times New Roman" w:cs="Times New Roman"/>
          <w:iCs/>
          <w:sz w:val="24"/>
          <w:szCs w:val="24"/>
        </w:rPr>
        <w:t xml:space="preserve">I </w:t>
      </w:r>
      <w:proofErr w:type="gramStart"/>
      <w:r w:rsidR="00172A90">
        <w:rPr>
          <w:rFonts w:ascii="Times New Roman" w:hAnsi="Times New Roman" w:cs="Times New Roman"/>
          <w:iCs/>
          <w:sz w:val="24"/>
          <w:szCs w:val="24"/>
        </w:rPr>
        <w:t>were</w:t>
      </w:r>
      <w:proofErr w:type="gramEnd"/>
      <w:r w:rsidR="00172A90">
        <w:rPr>
          <w:rFonts w:ascii="Times New Roman" w:hAnsi="Times New Roman" w:cs="Times New Roman"/>
          <w:iCs/>
          <w:sz w:val="24"/>
          <w:szCs w:val="24"/>
        </w:rPr>
        <w:t xml:space="preserve"> 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w:t>
      </w:r>
      <w:r w:rsidR="004E29EE">
        <w:rPr>
          <w:rFonts w:ascii="Times New Roman" w:hAnsi="Times New Roman" w:cs="Times New Roman"/>
          <w:iCs/>
          <w:sz w:val="24"/>
          <w:szCs w:val="24"/>
        </w:rPr>
        <w:lastRenderedPageBreak/>
        <w:t xml:space="preserve">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comparable sample sizes to our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F55D63">
        <w:rPr>
          <w:rFonts w:ascii="Times New Roman" w:hAnsi="Times New Roman" w:cs="Times New Roman"/>
          <w:iCs/>
          <w:sz w:val="24"/>
          <w:szCs w:val="24"/>
        </w:rPr>
        <w:instrText xml:space="preserve"> ADDIN ZOTERO_ITEM CSL_CITATION {"citationID":"zC6RkIRh","properties":{"formattedCitation":"\\super 71,72\\nosupersub{}","plainCitation":"71,72","noteIndex":0},"citationItems":[{"id":704,"uris":["http://zotero.org/users/5917738/items/AVM6FAXK"],"uri":["http://zotero.org/users/5917738/items/AVM6FAXK"],"itemData":{"id":704,"type":"article-journal","abstract":"Objective\nAlthough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F55D63" w:rsidRPr="00F55D63">
        <w:rPr>
          <w:rFonts w:ascii="Times New Roman" w:hAnsi="Times New Roman" w:cs="Times New Roman"/>
          <w:sz w:val="24"/>
          <w:szCs w:val="24"/>
          <w:vertAlign w:val="superscript"/>
        </w:rPr>
        <w:t>71,72</w:t>
      </w:r>
      <w:r w:rsidR="008A13E8">
        <w:rPr>
          <w:rFonts w:ascii="Times New Roman" w:hAnsi="Times New Roman" w:cs="Times New Roman"/>
          <w:iCs/>
          <w:sz w:val="24"/>
          <w:szCs w:val="24"/>
        </w:rPr>
        <w:fldChar w:fldCharType="end"/>
      </w:r>
    </w:p>
    <w:p w14:paraId="17EAAD8B" w14:textId="183198A8"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our findings should be interpreted </w:t>
      </w:r>
      <w:proofErr w:type="gramStart"/>
      <w:r w:rsidR="00F82583">
        <w:rPr>
          <w:rFonts w:ascii="Times New Roman" w:hAnsi="Times New Roman" w:cs="Times New Roman"/>
          <w:bCs/>
          <w:iCs/>
          <w:sz w:val="24"/>
          <w:szCs w:val="24"/>
        </w:rPr>
        <w:t>in light of</w:t>
      </w:r>
      <w:proofErr w:type="gramEnd"/>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AE1EBF">
        <w:rPr>
          <w:rFonts w:ascii="Times New Roman" w:hAnsi="Times New Roman" w:cs="Times New Roman"/>
          <w:bCs/>
          <w:iCs/>
          <w:sz w:val="24"/>
          <w:szCs w:val="24"/>
        </w:rPr>
        <w:t>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N, leading to probable immortal time bias in our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{"citationID":"9OfaKWks","properties":{"formattedCitation":"\\super 73,74\\nosupersub{}","plainCitation":"73,74","noteIndex":0},"citationItems":[{"id":1144,"uris":["http://zotero.org/users/5917738/items/FN97AW2V"],"uri":["http://zotero.org/users/5917738/items/FN97AW2V"],"itemData":{"id":1144,"type":"article-journal","container-title":"The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73,74</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E945C5">
        <w:rPr>
          <w:rFonts w:ascii="Times New Roman" w:hAnsi="Times New Roman" w:cs="Times New Roman"/>
          <w:bCs/>
          <w:iCs/>
          <w:sz w:val="24"/>
          <w:szCs w:val="24"/>
        </w:rPr>
        <w:t>our 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{"citationID":"KCkErHdm","properties":{"formattedCitation":"\\super 75\\nosupersub{}","plainCitation":"75","noteIndex":0},"citationItems":[{"id":1153,"uris":["http://zotero.org/users/5917738/items/UDSQJZZ8"],"uri":["http://zotero.org/users/5917738/items/UDSQJZZ8"],"itemData":{"id":1153,"type":"article-journal","abstract":"OBJECTIVE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75</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662D08">
        <w:rPr>
          <w:rFonts w:ascii="Times New Roman" w:hAnsi="Times New Roman" w:cs="Times New Roman"/>
          <w:bCs/>
          <w:iCs/>
          <w:sz w:val="24"/>
          <w:szCs w:val="24"/>
        </w:rPr>
        <w:t>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and </w:t>
      </w:r>
      <w:r w:rsidR="002C5E6F">
        <w:rPr>
          <w:rFonts w:ascii="Times New Roman" w:hAnsi="Times New Roman" w:cs="Times New Roman"/>
          <w:bCs/>
          <w:iCs/>
          <w:sz w:val="24"/>
          <w:szCs w:val="24"/>
        </w:rPr>
        <w:t xml:space="preserve">I </w:t>
      </w:r>
      <w:r w:rsidR="0033754F">
        <w:rPr>
          <w:rFonts w:ascii="Times New Roman" w:hAnsi="Times New Roman" w:cs="Times New Roman"/>
          <w:bCs/>
          <w:iCs/>
          <w:sz w:val="24"/>
          <w:szCs w:val="24"/>
        </w:rPr>
        <w:t xml:space="preserve">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287522">
        <w:rPr>
          <w:rFonts w:ascii="Times New Roman" w:hAnsi="Times New Roman" w:cs="Times New Roman"/>
          <w:bCs/>
          <w:iCs/>
          <w:sz w:val="24"/>
          <w:szCs w:val="24"/>
        </w:rPr>
        <w:t xml:space="preserve">acknowledge that the existence of cases with erroneous (negative) lengths of follow-up time in this study sample likely reduced the internal validity of </w:t>
      </w:r>
      <w:r w:rsidR="00287522">
        <w:rPr>
          <w:rFonts w:ascii="Times New Roman" w:hAnsi="Times New Roman" w:cs="Times New Roman"/>
          <w:bCs/>
          <w:iCs/>
          <w:sz w:val="24"/>
          <w:szCs w:val="24"/>
        </w:rPr>
        <w:lastRenderedPageBreak/>
        <w:t xml:space="preserve">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t>
      </w:r>
      <w:r w:rsidR="002C5E6F">
        <w:rPr>
          <w:rFonts w:ascii="Times New Roman" w:hAnsi="Times New Roman" w:cs="Times New Roman"/>
          <w:bCs/>
          <w:iCs/>
          <w:sz w:val="24"/>
          <w:szCs w:val="24"/>
        </w:rPr>
        <w:t xml:space="preserve">I </w:t>
      </w:r>
      <w:r w:rsidR="00FB1E6F">
        <w:rPr>
          <w:rFonts w:ascii="Times New Roman" w:hAnsi="Times New Roman" w:cs="Times New Roman"/>
          <w:bCs/>
          <w:iCs/>
          <w:sz w:val="24"/>
          <w:szCs w:val="24"/>
        </w:rPr>
        <w:t>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{"citationID":"S3e2pNUM","properties":{"formattedCitation":"\\super 76\\uc0\\u8211{}78\\nosupersub{}","plainCitation":"76–78","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76–78</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records in our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{"citationID":"qgXBf9lx","properties":{"formattedCitation":"\\super 79\\nosupersub{}","plainCitation":"79","noteIndex":0},"citationItems":[{"id":1136,"uris":["http://zotero.org/users/5917738/items/L83TX8MU"],"uri":["http://zotero.org/users/5917738/items/L83TX8MU"],"itemData":{"id":1136,"type":"article-journal","abstract":"Data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79</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2EBD43AC"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 our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w:t>
      </w:r>
      <w:r w:rsidR="00C01DE6">
        <w:rPr>
          <w:rFonts w:ascii="Times New Roman" w:hAnsi="Times New Roman" w:cs="Times New Roman"/>
          <w:bCs/>
          <w:iCs/>
          <w:sz w:val="24"/>
          <w:szCs w:val="24"/>
        </w:rPr>
        <w:t>most likely to experience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79FEE992" w14:textId="77777777" w:rsidR="003C3A0C" w:rsidRDefault="003C3A0C">
      <w:pPr>
        <w:rPr>
          <w:rFonts w:ascii="Times New Roman" w:hAnsi="Times New Roman" w:cs="Times New Roman"/>
          <w:b/>
          <w:bCs/>
          <w:sz w:val="24"/>
          <w:szCs w:val="24"/>
        </w:rPr>
      </w:pPr>
      <w:r>
        <w:rPr>
          <w:rFonts w:ascii="Times New Roman" w:hAnsi="Times New Roman" w:cs="Times New Roman"/>
          <w:b/>
          <w:bCs/>
          <w:sz w:val="24"/>
          <w:szCs w:val="24"/>
        </w:rPr>
        <w:br w:type="page"/>
      </w:r>
    </w:p>
    <w:p w14:paraId="642D9C1C" w14:textId="125C4CE7" w:rsidR="001678F8" w:rsidRDefault="00B716D0" w:rsidP="001678F8">
      <w:pPr>
        <w:spacing w:line="480" w:lineRule="auto"/>
        <w:rPr>
          <w:rFonts w:ascii="Times New Roman" w:hAnsi="Times New Roman" w:cs="Times New Roman"/>
          <w:b/>
          <w:bCs/>
          <w:sz w:val="24"/>
          <w:szCs w:val="24"/>
        </w:rPr>
      </w:pPr>
      <w:bookmarkStart w:id="1" w:name="_GoBack"/>
      <w:bookmarkEnd w:id="1"/>
      <w:r>
        <w:rPr>
          <w:rFonts w:ascii="Times New Roman" w:hAnsi="Times New Roman" w:cs="Times New Roman"/>
          <w:b/>
          <w:bCs/>
          <w:sz w:val="24"/>
          <w:szCs w:val="24"/>
        </w:rPr>
        <w:lastRenderedPageBreak/>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 xml:space="preserve">in different subsamples of </w:t>
      </w:r>
      <w:r w:rsidR="00FE03C1">
        <w:rPr>
          <w:rFonts w:ascii="Times New Roman" w:hAnsi="Times New Roman" w:cs="Times New Roman"/>
          <w:sz w:val="24"/>
          <w:szCs w:val="24"/>
        </w:rPr>
        <w:lastRenderedPageBreak/>
        <w:t>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362894E3" w14:textId="77777777" w:rsidR="00E00E2E" w:rsidRDefault="00E00E2E">
      <w:pPr>
        <w:rPr>
          <w:rFonts w:ascii="Times New Roman" w:hAnsi="Times New Roman" w:cs="Times New Roman"/>
          <w:sz w:val="24"/>
          <w:szCs w:val="24"/>
        </w:rPr>
      </w:pPr>
      <w:r>
        <w:rPr>
          <w:rFonts w:ascii="Times New Roman" w:hAnsi="Times New Roman" w:cs="Times New Roman"/>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C061030" w14:textId="77777777" w:rsidR="00F55D63" w:rsidRPr="00F55D63" w:rsidRDefault="00654988"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fldChar w:fldCharType="begin"/>
      </w:r>
      <w:r w:rsidR="008E163E" w:rsidRPr="00F55D63">
        <w:rPr>
          <w:rFonts w:ascii="Times New Roman" w:hAnsi="Times New Roman" w:cs="Times New Roman"/>
          <w:sz w:val="24"/>
          <w:szCs w:val="24"/>
        </w:rPr>
        <w:instrText xml:space="preserve"> ADDIN ZOTERO_BIBL {"uncited":[],"omitted":[],"custom":[]} CSL_BIBLIOGRAPHY </w:instrText>
      </w:r>
      <w:r w:rsidRPr="00F55D63">
        <w:rPr>
          <w:rFonts w:ascii="Times New Roman" w:hAnsi="Times New Roman" w:cs="Times New Roman"/>
          <w:sz w:val="24"/>
          <w:szCs w:val="24"/>
        </w:rPr>
        <w:fldChar w:fldCharType="separate"/>
      </w:r>
      <w:r w:rsidR="00F55D63" w:rsidRPr="00F55D63">
        <w:rPr>
          <w:rFonts w:ascii="Times New Roman" w:hAnsi="Times New Roman" w:cs="Times New Roman"/>
          <w:sz w:val="24"/>
          <w:szCs w:val="24"/>
        </w:rPr>
        <w:t xml:space="preserve">1. </w:t>
      </w:r>
      <w:r w:rsidR="00F55D63" w:rsidRPr="00F55D63">
        <w:rPr>
          <w:rFonts w:ascii="Times New Roman" w:hAnsi="Times New Roman" w:cs="Times New Roman"/>
          <w:sz w:val="24"/>
          <w:szCs w:val="24"/>
        </w:rPr>
        <w:tab/>
        <w:t xml:space="preserve">Menke A, Casagrande S, Geiss L, Cowie CC. Prevalence of and trends in diabetes among adults in the United States, 1988-2012. </w:t>
      </w:r>
      <w:r w:rsidR="00F55D63" w:rsidRPr="00F55D63">
        <w:rPr>
          <w:rFonts w:ascii="Times New Roman" w:hAnsi="Times New Roman" w:cs="Times New Roman"/>
          <w:i/>
          <w:iCs/>
          <w:sz w:val="24"/>
          <w:szCs w:val="24"/>
        </w:rPr>
        <w:t>Jama</w:t>
      </w:r>
      <w:r w:rsidR="00F55D63" w:rsidRPr="00F55D63">
        <w:rPr>
          <w:rFonts w:ascii="Times New Roman" w:hAnsi="Times New Roman" w:cs="Times New Roman"/>
          <w:sz w:val="24"/>
          <w:szCs w:val="24"/>
        </w:rPr>
        <w:t>. 2015;314(10):1021-1029.</w:t>
      </w:r>
    </w:p>
    <w:p w14:paraId="2FA7CE5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 </w:t>
      </w:r>
      <w:r w:rsidRPr="00F55D63">
        <w:rPr>
          <w:rFonts w:ascii="Times New Roman" w:hAnsi="Times New Roman" w:cs="Times New Roman"/>
          <w:sz w:val="24"/>
          <w:szCs w:val="24"/>
        </w:rPr>
        <w:tab/>
        <w:t xml:space="preserve">Khavjou O, Phelps D, Leib A. Projections of cardiovascular disease prevalence and costs: 2015–2035. </w:t>
      </w:r>
      <w:r w:rsidRPr="00F55D63">
        <w:rPr>
          <w:rFonts w:ascii="Times New Roman" w:hAnsi="Times New Roman" w:cs="Times New Roman"/>
          <w:i/>
          <w:iCs/>
          <w:sz w:val="24"/>
          <w:szCs w:val="24"/>
        </w:rPr>
        <w:t>Am Heart Assoc</w:t>
      </w:r>
      <w:r w:rsidRPr="00F55D63">
        <w:rPr>
          <w:rFonts w:ascii="Times New Roman" w:hAnsi="Times New Roman" w:cs="Times New Roman"/>
          <w:sz w:val="24"/>
          <w:szCs w:val="24"/>
        </w:rPr>
        <w:t>. 2016.</w:t>
      </w:r>
    </w:p>
    <w:p w14:paraId="53A2BAD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 </w:t>
      </w:r>
      <w:r w:rsidRPr="00F55D63">
        <w:rPr>
          <w:rFonts w:ascii="Times New Roman" w:hAnsi="Times New Roman" w:cs="Times New Roman"/>
          <w:sz w:val="24"/>
          <w:szCs w:val="24"/>
        </w:rPr>
        <w:tab/>
        <w:t>Murphy SL, Xu J, Kochanek KD, Arias E. Mortality in the United States, 2017. 2018.</w:t>
      </w:r>
    </w:p>
    <w:p w14:paraId="24E6938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 </w:t>
      </w:r>
      <w:r w:rsidRPr="00F55D63">
        <w:rPr>
          <w:rFonts w:ascii="Times New Roman" w:hAnsi="Times New Roman" w:cs="Times New Roman"/>
          <w:sz w:val="24"/>
          <w:szCs w:val="24"/>
        </w:rPr>
        <w:tab/>
        <w:t xml:space="preserve">Mozaffarian Dariush, Benjamin Emelia J., Go Alan S., et al. Heart Disease and Stroke Statistics—2016 Update. </w:t>
      </w:r>
      <w:r w:rsidRPr="00F55D63">
        <w:rPr>
          <w:rFonts w:ascii="Times New Roman" w:hAnsi="Times New Roman" w:cs="Times New Roman"/>
          <w:i/>
          <w:iCs/>
          <w:sz w:val="24"/>
          <w:szCs w:val="24"/>
        </w:rPr>
        <w:t>Circulation</w:t>
      </w:r>
      <w:r w:rsidRPr="00F55D63">
        <w:rPr>
          <w:rFonts w:ascii="Times New Roman" w:hAnsi="Times New Roman" w:cs="Times New Roman"/>
          <w:sz w:val="24"/>
          <w:szCs w:val="24"/>
        </w:rPr>
        <w:t>. 2016;133(4):e38-e360. doi:10.1161/CIR.0000000000000350</w:t>
      </w:r>
    </w:p>
    <w:p w14:paraId="3CB6C8E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 </w:t>
      </w:r>
      <w:r w:rsidRPr="00F55D63">
        <w:rPr>
          <w:rFonts w:ascii="Times New Roman" w:hAnsi="Times New Roman" w:cs="Times New Roman"/>
          <w:sz w:val="24"/>
          <w:szCs w:val="24"/>
        </w:rPr>
        <w:tab/>
        <w:t xml:space="preserve">Ford ES. Trends in Predicted 10-Year Risk of Coronary Heart Disease and Cardiovascular Disease Among U.S. Adults From 1999 to 2010. </w:t>
      </w:r>
      <w:r w:rsidRPr="00F55D63">
        <w:rPr>
          <w:rFonts w:ascii="Times New Roman" w:hAnsi="Times New Roman" w:cs="Times New Roman"/>
          <w:i/>
          <w:iCs/>
          <w:sz w:val="24"/>
          <w:szCs w:val="24"/>
        </w:rPr>
        <w:t>J Am Coll Cardiol</w:t>
      </w:r>
      <w:r w:rsidRPr="00F55D63">
        <w:rPr>
          <w:rFonts w:ascii="Times New Roman" w:hAnsi="Times New Roman" w:cs="Times New Roman"/>
          <w:sz w:val="24"/>
          <w:szCs w:val="24"/>
        </w:rPr>
        <w:t>. 2013;61(22):2249-2252. doi:10.1016/j.jacc.2013.03.023</w:t>
      </w:r>
    </w:p>
    <w:p w14:paraId="4B4659D3" w14:textId="3A22D1D0"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 </w:t>
      </w:r>
      <w:r w:rsidRPr="00F55D63">
        <w:rPr>
          <w:rFonts w:ascii="Times New Roman" w:hAnsi="Times New Roman" w:cs="Times New Roman"/>
          <w:sz w:val="24"/>
          <w:szCs w:val="24"/>
        </w:rPr>
        <w:tab/>
        <w:t xml:space="preserve">Imperatore G, Boyle JP, Thompson TJ, et al. Projections of Type 1 and Type 2 Diabetes Burden in the U.S. Population Aged </w:t>
      </w:r>
      <w:r w:rsidR="00A3654B">
        <w:rPr>
          <w:rFonts w:ascii="Times New Roman" w:hAnsi="Times New Roman" w:cs="Times New Roman"/>
          <w:sz w:val="24"/>
          <w:szCs w:val="24"/>
        </w:rPr>
        <w:t>&gt;</w:t>
      </w:r>
      <w:r w:rsidRPr="00F55D63">
        <w:rPr>
          <w:rFonts w:ascii="Times New Roman" w:hAnsi="Times New Roman" w:cs="Times New Roman"/>
          <w:sz w:val="24"/>
          <w:szCs w:val="24"/>
        </w:rPr>
        <w:t xml:space="preserve">20 Years Through 2050: Dynamic modeling of incidence, mortality, and population growth.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2012;35(12):2515-2520. doi:10.2337/dc12-0669</w:t>
      </w:r>
    </w:p>
    <w:p w14:paraId="64F0E2E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 </w:t>
      </w:r>
      <w:r w:rsidRPr="00F55D63">
        <w:rPr>
          <w:rFonts w:ascii="Times New Roman" w:hAnsi="Times New Roman" w:cs="Times New Roman"/>
          <w:sz w:val="24"/>
          <w:szCs w:val="24"/>
        </w:rPr>
        <w:tab/>
        <w:t xml:space="preserve">Dieleman JL, Baral R, Birger M, et al. US Spending on Personal Health Care and Public Health, 1996-2013.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2016;316(24):2627. doi:10.1001/jama.2016.16885</w:t>
      </w:r>
    </w:p>
    <w:p w14:paraId="083E477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8. </w:t>
      </w:r>
      <w:r w:rsidRPr="00F55D63">
        <w:rPr>
          <w:rFonts w:ascii="Times New Roman" w:hAnsi="Times New Roman" w:cs="Times New Roman"/>
          <w:sz w:val="24"/>
          <w:szCs w:val="24"/>
        </w:rPr>
        <w:tab/>
        <w:t xml:space="preserve">Murray CJ, Abraham J, Ali MK, et al. The state of US health, 1990-2010: burden of diseases, injuries, and risk factors.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2013;310(6):591-606.</w:t>
      </w:r>
    </w:p>
    <w:p w14:paraId="5848378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9. </w:t>
      </w:r>
      <w:r w:rsidRPr="00F55D63">
        <w:rPr>
          <w:rFonts w:ascii="Times New Roman" w:hAnsi="Times New Roman" w:cs="Times New Roman"/>
          <w:sz w:val="24"/>
          <w:szCs w:val="24"/>
        </w:rPr>
        <w:tab/>
        <w:t xml:space="preserve">Bommer C, Sagalova V, Heesemann E, et al. Global Economic Burden of Diabetes in Adults: Projections From 2015 to 2030.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2018;41(5):963-970. doi:10.2337/dc17-1962</w:t>
      </w:r>
    </w:p>
    <w:p w14:paraId="6587490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10. </w:t>
      </w:r>
      <w:r w:rsidRPr="00F55D63">
        <w:rPr>
          <w:rFonts w:ascii="Times New Roman" w:hAnsi="Times New Roman" w:cs="Times New Roman"/>
          <w:sz w:val="24"/>
          <w:szCs w:val="24"/>
        </w:rPr>
        <w:tab/>
        <w:t xml:space="preserve">Zhang P, Zhang X, Brown J, et al. Global healthcare expenditure on diabetes for 2010 and 2030. </w:t>
      </w:r>
      <w:r w:rsidRPr="00F55D63">
        <w:rPr>
          <w:rFonts w:ascii="Times New Roman" w:hAnsi="Times New Roman" w:cs="Times New Roman"/>
          <w:i/>
          <w:iCs/>
          <w:sz w:val="24"/>
          <w:szCs w:val="24"/>
        </w:rPr>
        <w:t>Diabetes Res Clin Pract</w:t>
      </w:r>
      <w:r w:rsidRPr="00F55D63">
        <w:rPr>
          <w:rFonts w:ascii="Times New Roman" w:hAnsi="Times New Roman" w:cs="Times New Roman"/>
          <w:sz w:val="24"/>
          <w:szCs w:val="24"/>
        </w:rPr>
        <w:t>. 2010;87(3):293-301. doi:10.1016/j.diabres.2010.01.026</w:t>
      </w:r>
    </w:p>
    <w:p w14:paraId="120A601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11. </w:t>
      </w:r>
      <w:r w:rsidRPr="00F55D63">
        <w:rPr>
          <w:rFonts w:ascii="Times New Roman" w:hAnsi="Times New Roman" w:cs="Times New Roman"/>
          <w:sz w:val="24"/>
          <w:szCs w:val="24"/>
        </w:rPr>
        <w:tab/>
        <w:t xml:space="preserve">Kesselheim AS, Avorn J, Sarpatwari A. The High Cost of Prescription Drugs in the United States: Origins and Prospects for Reform.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2016;316(8):858-871. doi:10.1001/jama.2016.11237</w:t>
      </w:r>
    </w:p>
    <w:p w14:paraId="331579E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12. </w:t>
      </w:r>
      <w:r w:rsidRPr="00F55D63">
        <w:rPr>
          <w:rFonts w:ascii="Times New Roman" w:hAnsi="Times New Roman" w:cs="Times New Roman"/>
          <w:sz w:val="24"/>
          <w:szCs w:val="24"/>
        </w:rPr>
        <w:tab/>
        <w:t xml:space="preserve">OECD. </w:t>
      </w:r>
      <w:r w:rsidRPr="00F55D63">
        <w:rPr>
          <w:rFonts w:ascii="Times New Roman" w:hAnsi="Times New Roman" w:cs="Times New Roman"/>
          <w:i/>
          <w:iCs/>
          <w:sz w:val="24"/>
          <w:szCs w:val="24"/>
        </w:rPr>
        <w:t>Health at a Glance 2015</w:t>
      </w:r>
      <w:r w:rsidRPr="00F55D63">
        <w:rPr>
          <w:rFonts w:ascii="Times New Roman" w:hAnsi="Times New Roman" w:cs="Times New Roman"/>
          <w:sz w:val="24"/>
          <w:szCs w:val="24"/>
        </w:rPr>
        <w:t>.; 2015. https://www.oecd-ilibrary.org/content/publication/health_glance-2015-en.</w:t>
      </w:r>
    </w:p>
    <w:p w14:paraId="59F225B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13. </w:t>
      </w:r>
      <w:r w:rsidRPr="00F55D63">
        <w:rPr>
          <w:rFonts w:ascii="Times New Roman" w:hAnsi="Times New Roman" w:cs="Times New Roman"/>
          <w:sz w:val="24"/>
          <w:szCs w:val="24"/>
        </w:rPr>
        <w:tab/>
        <w:t xml:space="preserve">Hua X, Carvalho N, Tew M, Huang ES, Herman WH, Clarke P. Expenditures and prices of antihyperglycemic medications in the United States: 2002-2013.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2016;315(13):1400-1402.</w:t>
      </w:r>
    </w:p>
    <w:p w14:paraId="399E1AC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14. </w:t>
      </w:r>
      <w:r w:rsidRPr="00F55D63">
        <w:rPr>
          <w:rFonts w:ascii="Times New Roman" w:hAnsi="Times New Roman" w:cs="Times New Roman"/>
          <w:sz w:val="24"/>
          <w:szCs w:val="24"/>
        </w:rPr>
        <w:tab/>
        <w:t xml:space="preserve">Biniek JF, Johnson W. </w:t>
      </w:r>
      <w:r w:rsidRPr="00F55D63">
        <w:rPr>
          <w:rFonts w:ascii="Times New Roman" w:hAnsi="Times New Roman" w:cs="Times New Roman"/>
          <w:i/>
          <w:iCs/>
          <w:sz w:val="24"/>
          <w:szCs w:val="24"/>
        </w:rPr>
        <w:t>Spending on Individuals with Type 1 Diabetes and the Role of Rapidly Increasing Insulin Prices</w:t>
      </w:r>
      <w:r w:rsidRPr="00F55D63">
        <w:rPr>
          <w:rFonts w:ascii="Times New Roman" w:hAnsi="Times New Roman" w:cs="Times New Roman"/>
          <w:sz w:val="24"/>
          <w:szCs w:val="24"/>
        </w:rPr>
        <w:t>. Health Care Cost Institute; 2019.</w:t>
      </w:r>
    </w:p>
    <w:p w14:paraId="01750AD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15. </w:t>
      </w:r>
      <w:r w:rsidRPr="00F55D63">
        <w:rPr>
          <w:rFonts w:ascii="Times New Roman" w:hAnsi="Times New Roman" w:cs="Times New Roman"/>
          <w:sz w:val="24"/>
          <w:szCs w:val="24"/>
        </w:rPr>
        <w:tab/>
        <w:t xml:space="preserve">McHorney CA, Spain CV. Frequency of and reasons for medication non‐fulfillment and non‐persistence among American adults with chronic disease in 2008. </w:t>
      </w:r>
      <w:r w:rsidRPr="00F55D63">
        <w:rPr>
          <w:rFonts w:ascii="Times New Roman" w:hAnsi="Times New Roman" w:cs="Times New Roman"/>
          <w:i/>
          <w:iCs/>
          <w:sz w:val="24"/>
          <w:szCs w:val="24"/>
        </w:rPr>
        <w:t>Health Expect Int J Public Particip Health Care Health Policy</w:t>
      </w:r>
      <w:r w:rsidRPr="00F55D63">
        <w:rPr>
          <w:rFonts w:ascii="Times New Roman" w:hAnsi="Times New Roman" w:cs="Times New Roman"/>
          <w:sz w:val="24"/>
          <w:szCs w:val="24"/>
        </w:rPr>
        <w:t>. 2011;14(3):307-320. doi:10.1111/j.1369-7625.2010.00619.x</w:t>
      </w:r>
    </w:p>
    <w:p w14:paraId="022DEB2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16. </w:t>
      </w:r>
      <w:r w:rsidRPr="00F55D63">
        <w:rPr>
          <w:rFonts w:ascii="Times New Roman" w:hAnsi="Times New Roman" w:cs="Times New Roman"/>
          <w:sz w:val="24"/>
          <w:szCs w:val="24"/>
        </w:rPr>
        <w:tab/>
        <w:t xml:space="preserve">Pierre-Jacques M, Safran DG, Zhang F, et al. Reliability of New Measures of Cost-Related Medication Nonadherence.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2008;46(4):444. doi:10.1097/MLR.0b013e31815dc59a</w:t>
      </w:r>
    </w:p>
    <w:p w14:paraId="36A39D4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17. </w:t>
      </w:r>
      <w:r w:rsidRPr="00F55D63">
        <w:rPr>
          <w:rFonts w:ascii="Times New Roman" w:hAnsi="Times New Roman" w:cs="Times New Roman"/>
          <w:sz w:val="24"/>
          <w:szCs w:val="24"/>
        </w:rPr>
        <w:tab/>
        <w:t xml:space="preserve">Roebuck MC, Liberman JN, Gemmill-Toyama M, Brennan TA. Medication Adherence Leads To Lower Health Care Use And Costs Despite Increased Drug Spending. </w:t>
      </w:r>
      <w:r w:rsidRPr="00F55D63">
        <w:rPr>
          <w:rFonts w:ascii="Times New Roman" w:hAnsi="Times New Roman" w:cs="Times New Roman"/>
          <w:i/>
          <w:iCs/>
          <w:sz w:val="24"/>
          <w:szCs w:val="24"/>
        </w:rPr>
        <w:t>Health Affai Rs</w:t>
      </w:r>
      <w:r w:rsidRPr="00F55D63">
        <w:rPr>
          <w:rFonts w:ascii="Times New Roman" w:hAnsi="Times New Roman" w:cs="Times New Roman"/>
          <w:sz w:val="24"/>
          <w:szCs w:val="24"/>
        </w:rPr>
        <w:t>. 2011:9.</w:t>
      </w:r>
    </w:p>
    <w:p w14:paraId="3DD564C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18. </w:t>
      </w:r>
      <w:r w:rsidRPr="00F55D63">
        <w:rPr>
          <w:rFonts w:ascii="Times New Roman" w:hAnsi="Times New Roman" w:cs="Times New Roman"/>
          <w:sz w:val="24"/>
          <w:szCs w:val="24"/>
        </w:rPr>
        <w:tab/>
        <w:t xml:space="preserve">Jensen GA, Li Y. Long-run health effects of cost-related non-adherence to prescribed medications among adults in late midlife: Long-run health effects, cost-related non-adherence. </w:t>
      </w:r>
      <w:r w:rsidRPr="00F55D63">
        <w:rPr>
          <w:rFonts w:ascii="Times New Roman" w:hAnsi="Times New Roman" w:cs="Times New Roman"/>
          <w:i/>
          <w:iCs/>
          <w:sz w:val="24"/>
          <w:szCs w:val="24"/>
        </w:rPr>
        <w:t>J Pharm Health Serv Res</w:t>
      </w:r>
      <w:r w:rsidRPr="00F55D63">
        <w:rPr>
          <w:rFonts w:ascii="Times New Roman" w:hAnsi="Times New Roman" w:cs="Times New Roman"/>
          <w:sz w:val="24"/>
          <w:szCs w:val="24"/>
        </w:rPr>
        <w:t>. 2012;3(2):85-93. doi:10.1111/j.1759-8893.2012.00087.x</w:t>
      </w:r>
    </w:p>
    <w:p w14:paraId="3E88D9F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19. </w:t>
      </w:r>
      <w:r w:rsidRPr="00F55D63">
        <w:rPr>
          <w:rFonts w:ascii="Times New Roman" w:hAnsi="Times New Roman" w:cs="Times New Roman"/>
          <w:sz w:val="24"/>
          <w:szCs w:val="24"/>
        </w:rPr>
        <w:tab/>
        <w:t xml:space="preserve">Blanchard J, Madden JM, Ross-Degnan D, Soumerai SB. The Relationship Between Emergency Department Use and Cost-Related Medication Nonadherence Among Medicare Beneficiaries. </w:t>
      </w:r>
      <w:r w:rsidRPr="00F55D63">
        <w:rPr>
          <w:rFonts w:ascii="Times New Roman" w:hAnsi="Times New Roman" w:cs="Times New Roman"/>
          <w:i/>
          <w:iCs/>
          <w:sz w:val="24"/>
          <w:szCs w:val="24"/>
        </w:rPr>
        <w:t>Ann Emerg Med</w:t>
      </w:r>
      <w:r w:rsidRPr="00F55D63">
        <w:rPr>
          <w:rFonts w:ascii="Times New Roman" w:hAnsi="Times New Roman" w:cs="Times New Roman"/>
          <w:sz w:val="24"/>
          <w:szCs w:val="24"/>
        </w:rPr>
        <w:t>. 2013;62(5). doi:10.1016/j.annemergmed.2013.04.013</w:t>
      </w:r>
    </w:p>
    <w:p w14:paraId="231E121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20. </w:t>
      </w:r>
      <w:r w:rsidRPr="00F55D63">
        <w:rPr>
          <w:rFonts w:ascii="Times New Roman" w:hAnsi="Times New Roman" w:cs="Times New Roman"/>
          <w:sz w:val="24"/>
          <w:szCs w:val="24"/>
        </w:rPr>
        <w:tab/>
        <w:t xml:space="preserve">Cutler RL, Fernandez-Llimos F, Frommer M, Benrimoj C, Garcia-Cardenas V. Economic impact of medication non-adherence by disease groups: a systematic review. </w:t>
      </w:r>
      <w:r w:rsidRPr="00F55D63">
        <w:rPr>
          <w:rFonts w:ascii="Times New Roman" w:hAnsi="Times New Roman" w:cs="Times New Roman"/>
          <w:i/>
          <w:iCs/>
          <w:sz w:val="24"/>
          <w:szCs w:val="24"/>
        </w:rPr>
        <w:t>BMJ Open</w:t>
      </w:r>
      <w:r w:rsidRPr="00F55D63">
        <w:rPr>
          <w:rFonts w:ascii="Times New Roman" w:hAnsi="Times New Roman" w:cs="Times New Roman"/>
          <w:sz w:val="24"/>
          <w:szCs w:val="24"/>
        </w:rPr>
        <w:t>. 2018;8(1):e016982. doi:10.1136/bmjopen-2017-016982</w:t>
      </w:r>
    </w:p>
    <w:p w14:paraId="53A831B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21. </w:t>
      </w:r>
      <w:r w:rsidRPr="00F55D63">
        <w:rPr>
          <w:rFonts w:ascii="Times New Roman" w:hAnsi="Times New Roman" w:cs="Times New Roman"/>
          <w:sz w:val="24"/>
          <w:szCs w:val="24"/>
        </w:rPr>
        <w:tab/>
        <w:t xml:space="preserve">Lloyd JT, Maresh S, Powers CA, Shrank WH, Alley DE. How Much Does Medication Nonadherence Cost the Medicare Fee-for-Service Program?: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2019;57(3):218-224. doi:10.1097/MLR.0000000000001067</w:t>
      </w:r>
    </w:p>
    <w:p w14:paraId="768889B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22. </w:t>
      </w:r>
      <w:r w:rsidRPr="00F55D63">
        <w:rPr>
          <w:rFonts w:ascii="Times New Roman" w:hAnsi="Times New Roman" w:cs="Times New Roman"/>
          <w:sz w:val="24"/>
          <w:szCs w:val="24"/>
        </w:rPr>
        <w:tab/>
        <w:t xml:space="preserve">Kennedy J, Wood EG. Medication Costs and Adherence of Treatment Before and After the Affordable Care Act: 1999–2015. </w:t>
      </w:r>
      <w:r w:rsidRPr="00F55D63">
        <w:rPr>
          <w:rFonts w:ascii="Times New Roman" w:hAnsi="Times New Roman" w:cs="Times New Roman"/>
          <w:i/>
          <w:iCs/>
          <w:sz w:val="24"/>
          <w:szCs w:val="24"/>
        </w:rPr>
        <w:t>Am J Public Health</w:t>
      </w:r>
      <w:r w:rsidRPr="00F55D63">
        <w:rPr>
          <w:rFonts w:ascii="Times New Roman" w:hAnsi="Times New Roman" w:cs="Times New Roman"/>
          <w:sz w:val="24"/>
          <w:szCs w:val="24"/>
        </w:rPr>
        <w:t>. 2016;106(10):1804-1807. doi:10.2105/AJPH.2016.303269</w:t>
      </w:r>
    </w:p>
    <w:p w14:paraId="6F17B6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23. </w:t>
      </w:r>
      <w:r w:rsidRPr="00F55D63">
        <w:rPr>
          <w:rFonts w:ascii="Times New Roman" w:hAnsi="Times New Roman" w:cs="Times New Roman"/>
          <w:sz w:val="24"/>
          <w:szCs w:val="24"/>
        </w:rPr>
        <w:tab/>
        <w:t xml:space="preserve">T1International. </w:t>
      </w:r>
      <w:r w:rsidRPr="00F55D63">
        <w:rPr>
          <w:rFonts w:ascii="Times New Roman" w:hAnsi="Times New Roman" w:cs="Times New Roman"/>
          <w:i/>
          <w:iCs/>
          <w:sz w:val="24"/>
          <w:szCs w:val="24"/>
        </w:rPr>
        <w:t>Costs and Rationing of Insulin and Diabetes Supplies: Findings from the 2018 T1International Patient Survey</w:t>
      </w:r>
      <w:r w:rsidRPr="00F55D63">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7BB2CDA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24. </w:t>
      </w:r>
      <w:r w:rsidRPr="00F55D63">
        <w:rPr>
          <w:rFonts w:ascii="Times New Roman" w:hAnsi="Times New Roman" w:cs="Times New Roman"/>
          <w:sz w:val="24"/>
          <w:szCs w:val="24"/>
        </w:rPr>
        <w:tab/>
        <w:t xml:space="preserve">Herkert D, Vijayakumar P, Luo J, et al. Cost-Related Insulin Underuse Among Patients With Diabetes. </w:t>
      </w:r>
      <w:r w:rsidRPr="00F55D63">
        <w:rPr>
          <w:rFonts w:ascii="Times New Roman" w:hAnsi="Times New Roman" w:cs="Times New Roman"/>
          <w:i/>
          <w:iCs/>
          <w:sz w:val="24"/>
          <w:szCs w:val="24"/>
        </w:rPr>
        <w:t>JAMA Intern Med</w:t>
      </w:r>
      <w:r w:rsidRPr="00F55D63">
        <w:rPr>
          <w:rFonts w:ascii="Times New Roman" w:hAnsi="Times New Roman" w:cs="Times New Roman"/>
          <w:sz w:val="24"/>
          <w:szCs w:val="24"/>
        </w:rPr>
        <w:t>. 2019;179(1):112-114. doi:10.1001/jamainternmed.2018.5008</w:t>
      </w:r>
    </w:p>
    <w:p w14:paraId="15886C6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25. </w:t>
      </w:r>
      <w:r w:rsidRPr="00F55D63">
        <w:rPr>
          <w:rFonts w:ascii="Times New Roman" w:hAnsi="Times New Roman" w:cs="Times New Roman"/>
          <w:sz w:val="24"/>
          <w:szCs w:val="24"/>
        </w:rPr>
        <w:tab/>
        <w:t xml:space="preserve">Tong X, Chu EK, Fang J, Wall HK, Ayala C. Nonadherence to Antihypertensive Medication Among Hypertensive Adults in the United States─HealthStyles, 2010. </w:t>
      </w:r>
      <w:r w:rsidRPr="00F55D63">
        <w:rPr>
          <w:rFonts w:ascii="Times New Roman" w:hAnsi="Times New Roman" w:cs="Times New Roman"/>
          <w:i/>
          <w:iCs/>
          <w:sz w:val="24"/>
          <w:szCs w:val="24"/>
        </w:rPr>
        <w:t>J Clin Hypertens</w:t>
      </w:r>
      <w:r w:rsidRPr="00F55D63">
        <w:rPr>
          <w:rFonts w:ascii="Times New Roman" w:hAnsi="Times New Roman" w:cs="Times New Roman"/>
          <w:sz w:val="24"/>
          <w:szCs w:val="24"/>
        </w:rPr>
        <w:t>. 2016;18(9):892-900. doi:10.1111/jch.12786</w:t>
      </w:r>
    </w:p>
    <w:p w14:paraId="2DB30162"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26. </w:t>
      </w:r>
      <w:r w:rsidRPr="00F55D63">
        <w:rPr>
          <w:rFonts w:ascii="Times New Roman" w:hAnsi="Times New Roman" w:cs="Times New Roman"/>
          <w:sz w:val="24"/>
          <w:szCs w:val="24"/>
        </w:rPr>
        <w:tab/>
        <w:t xml:space="preserve">Marcum ZA, Zheng Y, Perera S, et al. Prevalence and Correlates of Self-Reported Medication Non-Adherence among Older Adults with Coronary Heart Disease, Diabetes Mellitus, and/or Hypertension. </w:t>
      </w:r>
      <w:r w:rsidRPr="00F55D63">
        <w:rPr>
          <w:rFonts w:ascii="Times New Roman" w:hAnsi="Times New Roman" w:cs="Times New Roman"/>
          <w:i/>
          <w:iCs/>
          <w:sz w:val="24"/>
          <w:szCs w:val="24"/>
        </w:rPr>
        <w:t>Res Soc Adm Pharm RSAP</w:t>
      </w:r>
      <w:r w:rsidRPr="00F55D63">
        <w:rPr>
          <w:rFonts w:ascii="Times New Roman" w:hAnsi="Times New Roman" w:cs="Times New Roman"/>
          <w:sz w:val="24"/>
          <w:szCs w:val="24"/>
        </w:rPr>
        <w:t>. 2013;9(6). doi:10.1016/j.sapharm.2012.12.002</w:t>
      </w:r>
    </w:p>
    <w:p w14:paraId="4748EA4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27. </w:t>
      </w:r>
      <w:r w:rsidRPr="00F55D63">
        <w:rPr>
          <w:rFonts w:ascii="Times New Roman" w:hAnsi="Times New Roman" w:cs="Times New Roman"/>
          <w:sz w:val="24"/>
          <w:szCs w:val="24"/>
        </w:rPr>
        <w:tab/>
        <w:t xml:space="preserve">Ho PM, Rumsfeld JS, Masoudi FA, et al. Effect of Medication Nonadherence on Hospitalization and Mortality Among Patients With Diabetes Mellitus. </w:t>
      </w:r>
      <w:r w:rsidRPr="00F55D63">
        <w:rPr>
          <w:rFonts w:ascii="Times New Roman" w:hAnsi="Times New Roman" w:cs="Times New Roman"/>
          <w:i/>
          <w:iCs/>
          <w:sz w:val="24"/>
          <w:szCs w:val="24"/>
        </w:rPr>
        <w:t>Arch Intern Med</w:t>
      </w:r>
      <w:r w:rsidRPr="00F55D63">
        <w:rPr>
          <w:rFonts w:ascii="Times New Roman" w:hAnsi="Times New Roman" w:cs="Times New Roman"/>
          <w:sz w:val="24"/>
          <w:szCs w:val="24"/>
        </w:rPr>
        <w:t>. 2006;166(17):1836-1841. doi:10.1001/archinte.166.17.1836</w:t>
      </w:r>
    </w:p>
    <w:p w14:paraId="534FE8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28. </w:t>
      </w:r>
      <w:r w:rsidRPr="00F55D63">
        <w:rPr>
          <w:rFonts w:ascii="Times New Roman" w:hAnsi="Times New Roman" w:cs="Times New Roman"/>
          <w:sz w:val="24"/>
          <w:szCs w:val="24"/>
        </w:rPr>
        <w:tab/>
        <w:t xml:space="preserve">Egede LE, Gebregziabher M, Echols C, Lynch CP. Longitudinal Effects of Medication Nonadherence on Glycemic Control. </w:t>
      </w:r>
      <w:r w:rsidRPr="00F55D63">
        <w:rPr>
          <w:rFonts w:ascii="Times New Roman" w:hAnsi="Times New Roman" w:cs="Times New Roman"/>
          <w:i/>
          <w:iCs/>
          <w:sz w:val="24"/>
          <w:szCs w:val="24"/>
        </w:rPr>
        <w:t>Ann Pharmacother</w:t>
      </w:r>
      <w:r w:rsidRPr="00F55D63">
        <w:rPr>
          <w:rFonts w:ascii="Times New Roman" w:hAnsi="Times New Roman" w:cs="Times New Roman"/>
          <w:sz w:val="24"/>
          <w:szCs w:val="24"/>
        </w:rPr>
        <w:t>. 2014;48(5):562-570. doi:10.1177/1060028014526362</w:t>
      </w:r>
    </w:p>
    <w:p w14:paraId="3B89010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29. </w:t>
      </w:r>
      <w:r w:rsidRPr="00F55D63">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2007;297(2):177-186. doi:10.1001/jama.297.2.177</w:t>
      </w:r>
    </w:p>
    <w:p w14:paraId="11F8FE2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30. </w:t>
      </w:r>
      <w:r w:rsidRPr="00F55D63">
        <w:rPr>
          <w:rFonts w:ascii="Times New Roman" w:hAnsi="Times New Roman" w:cs="Times New Roman"/>
          <w:sz w:val="24"/>
          <w:szCs w:val="24"/>
        </w:rPr>
        <w:tab/>
        <w:t xml:space="preserve">Ho PM, Magid DJ, Shetterly SM, et al. Medication nonadherence is associated with a broad range of adverse outcomes in patients with coronary artery disease. </w:t>
      </w:r>
      <w:r w:rsidRPr="00F55D63">
        <w:rPr>
          <w:rFonts w:ascii="Times New Roman" w:hAnsi="Times New Roman" w:cs="Times New Roman"/>
          <w:i/>
          <w:iCs/>
          <w:sz w:val="24"/>
          <w:szCs w:val="24"/>
        </w:rPr>
        <w:t>Am Heart J</w:t>
      </w:r>
      <w:r w:rsidRPr="00F55D63">
        <w:rPr>
          <w:rFonts w:ascii="Times New Roman" w:hAnsi="Times New Roman" w:cs="Times New Roman"/>
          <w:sz w:val="24"/>
          <w:szCs w:val="24"/>
        </w:rPr>
        <w:t>. 2008;155(4):772-779. doi:10.1016/j.ahj.2007.12.011</w:t>
      </w:r>
    </w:p>
    <w:p w14:paraId="183ACFC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31. </w:t>
      </w:r>
      <w:r w:rsidRPr="00F55D63">
        <w:rPr>
          <w:rFonts w:ascii="Times New Roman" w:hAnsi="Times New Roman" w:cs="Times New Roman"/>
          <w:sz w:val="24"/>
          <w:szCs w:val="24"/>
        </w:rPr>
        <w:tab/>
        <w:t xml:space="preserve">Heisler M, Langa KM, Eby EL, Fendrick AM, Kabeto MU, Piette JD. The health effects of restricting prescription medication use because of cost.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2004;42(7):626-634. doi:10.1097/01.mlr.0000129352.36733.cc</w:t>
      </w:r>
    </w:p>
    <w:p w14:paraId="23419BD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32. </w:t>
      </w:r>
      <w:r w:rsidRPr="00F55D63">
        <w:rPr>
          <w:rFonts w:ascii="Times New Roman" w:hAnsi="Times New Roman" w:cs="Times New Roman"/>
          <w:sz w:val="24"/>
          <w:szCs w:val="24"/>
        </w:rPr>
        <w:tab/>
        <w:t>Lynn A. Blewett, Rivera Drew JA, King ML, Williams KCW. IPUMS Health Surveys: National Health Interview Survery, Version 6.4 [dataset]. 2019.</w:t>
      </w:r>
    </w:p>
    <w:p w14:paraId="2704A12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33. </w:t>
      </w:r>
      <w:r w:rsidRPr="00F55D63">
        <w:rPr>
          <w:rFonts w:ascii="Times New Roman" w:hAnsi="Times New Roman" w:cs="Times New Roman"/>
          <w:sz w:val="24"/>
          <w:szCs w:val="24"/>
        </w:rPr>
        <w:tab/>
        <w:t>NHIS - About the National Health Interview Survey. https://www.cdc.gov/nchs/nhis/about_nhis.htm. Published June 28, 2019. Accessed October 20, 2019.</w:t>
      </w:r>
    </w:p>
    <w:p w14:paraId="77A766C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34. </w:t>
      </w:r>
      <w:r w:rsidRPr="00F55D63">
        <w:rPr>
          <w:rFonts w:ascii="Times New Roman" w:hAnsi="Times New Roman" w:cs="Times New Roman"/>
          <w:sz w:val="24"/>
          <w:szCs w:val="24"/>
        </w:rPr>
        <w:tab/>
        <w:t xml:space="preserve">Patel MR, Piette JD, Resnicow K, Kowalski-Dobson T, Heisler M. Social determinants of health, cost-related non-adherence, and cost-reducing behaviors among adults with diabetes: findings from the National Health Interview Survey.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2016;54(8):796-803. doi:10.1097/MLR.0000000000000565</w:t>
      </w:r>
    </w:p>
    <w:p w14:paraId="6C1DD12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35. </w:t>
      </w:r>
      <w:r w:rsidRPr="00F55D63">
        <w:rPr>
          <w:rFonts w:ascii="Times New Roman" w:hAnsi="Times New Roman" w:cs="Times New Roman"/>
          <w:sz w:val="24"/>
          <w:szCs w:val="24"/>
        </w:rPr>
        <w:tab/>
        <w:t xml:space="preserve">Bhuyan SS, Shiyanbola O, Deka P, et al. The Role of Gender in Cost-Related Medication Nonadherence Among Patients with Diabetes. </w:t>
      </w:r>
      <w:r w:rsidRPr="00F55D63">
        <w:rPr>
          <w:rFonts w:ascii="Times New Roman" w:hAnsi="Times New Roman" w:cs="Times New Roman"/>
          <w:i/>
          <w:iCs/>
          <w:sz w:val="24"/>
          <w:szCs w:val="24"/>
        </w:rPr>
        <w:t>J Am Board Fam Med</w:t>
      </w:r>
      <w:r w:rsidRPr="00F55D63">
        <w:rPr>
          <w:rFonts w:ascii="Times New Roman" w:hAnsi="Times New Roman" w:cs="Times New Roman"/>
          <w:sz w:val="24"/>
          <w:szCs w:val="24"/>
        </w:rPr>
        <w:t>. 2018;31(5):743-751. doi:10.3122/jabfm.2018.05.180039</w:t>
      </w:r>
    </w:p>
    <w:p w14:paraId="4EEEAE3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36. </w:t>
      </w:r>
      <w:r w:rsidRPr="00F55D63">
        <w:rPr>
          <w:rFonts w:ascii="Times New Roman" w:hAnsi="Times New Roman" w:cs="Times New Roman"/>
          <w:sz w:val="24"/>
          <w:szCs w:val="24"/>
        </w:rPr>
        <w:tab/>
        <w:t xml:space="preserve">Abegaz TM, Shehab A, Gebreyohannes EA, Bhagavathula AS, Elnour AA. Nonadherence to antihypertensive drugs. </w:t>
      </w:r>
      <w:r w:rsidRPr="00F55D63">
        <w:rPr>
          <w:rFonts w:ascii="Times New Roman" w:hAnsi="Times New Roman" w:cs="Times New Roman"/>
          <w:i/>
          <w:iCs/>
          <w:sz w:val="24"/>
          <w:szCs w:val="24"/>
        </w:rPr>
        <w:t>Medicine (Baltimore)</w:t>
      </w:r>
      <w:r w:rsidRPr="00F55D63">
        <w:rPr>
          <w:rFonts w:ascii="Times New Roman" w:hAnsi="Times New Roman" w:cs="Times New Roman"/>
          <w:sz w:val="24"/>
          <w:szCs w:val="24"/>
        </w:rPr>
        <w:t>. 2017;96(4). doi:10.1097/MD.0000000000005641</w:t>
      </w:r>
    </w:p>
    <w:p w14:paraId="359F8D5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37. </w:t>
      </w:r>
      <w:r w:rsidRPr="00F55D63">
        <w:rPr>
          <w:rFonts w:ascii="Times New Roman" w:hAnsi="Times New Roman" w:cs="Times New Roman"/>
          <w:sz w:val="24"/>
          <w:szCs w:val="24"/>
        </w:rPr>
        <w:tab/>
        <w:t xml:space="preserve">Heisler M, Wagner TH, Piette JD. Patient Strategies to Cope with High Prescription Medication Costs: Who is Cutting Back on Necessities, Increasing Debt, or Underusing Medications? </w:t>
      </w:r>
      <w:r w:rsidRPr="00F55D63">
        <w:rPr>
          <w:rFonts w:ascii="Times New Roman" w:hAnsi="Times New Roman" w:cs="Times New Roman"/>
          <w:i/>
          <w:iCs/>
          <w:sz w:val="24"/>
          <w:szCs w:val="24"/>
        </w:rPr>
        <w:t>J Behav Med</w:t>
      </w:r>
      <w:r w:rsidRPr="00F55D63">
        <w:rPr>
          <w:rFonts w:ascii="Times New Roman" w:hAnsi="Times New Roman" w:cs="Times New Roman"/>
          <w:sz w:val="24"/>
          <w:szCs w:val="24"/>
        </w:rPr>
        <w:t>. 2005;28(1):43-51. doi:10.1007/s10865-005-2562-z</w:t>
      </w:r>
    </w:p>
    <w:p w14:paraId="44FD1B8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38. </w:t>
      </w:r>
      <w:r w:rsidRPr="00F55D63">
        <w:rPr>
          <w:rFonts w:ascii="Times New Roman" w:hAnsi="Times New Roman" w:cs="Times New Roman"/>
          <w:sz w:val="24"/>
          <w:szCs w:val="24"/>
        </w:rPr>
        <w:tab/>
        <w:t xml:space="preserve">Westreich D, Greenland S. The Table 2 Fallacy: Presenting and Interpreting Confounder and Modifier Coefficients.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2013;177(4):292-298. doi:10.1093/aje/kws412</w:t>
      </w:r>
    </w:p>
    <w:p w14:paraId="3D156E8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39. </w:t>
      </w:r>
      <w:r w:rsidRPr="00F55D63">
        <w:rPr>
          <w:rFonts w:ascii="Times New Roman" w:hAnsi="Times New Roman" w:cs="Times New Roman"/>
          <w:sz w:val="24"/>
          <w:szCs w:val="24"/>
        </w:rPr>
        <w:tab/>
        <w:t xml:space="preserve">Grambsch PM, Therneau TM. Proportional Hazards Tests and Diagnostics Based on Weighted Residuals. </w:t>
      </w:r>
      <w:r w:rsidRPr="00F55D63">
        <w:rPr>
          <w:rFonts w:ascii="Times New Roman" w:hAnsi="Times New Roman" w:cs="Times New Roman"/>
          <w:i/>
          <w:iCs/>
          <w:sz w:val="24"/>
          <w:szCs w:val="24"/>
        </w:rPr>
        <w:t>Biometrika</w:t>
      </w:r>
      <w:r w:rsidRPr="00F55D63">
        <w:rPr>
          <w:rFonts w:ascii="Times New Roman" w:hAnsi="Times New Roman" w:cs="Times New Roman"/>
          <w:sz w:val="24"/>
          <w:szCs w:val="24"/>
        </w:rPr>
        <w:t>. 1994;81(3):515-526. doi:10.2307/2337123</w:t>
      </w:r>
    </w:p>
    <w:p w14:paraId="7A3EB14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40. </w:t>
      </w:r>
      <w:r w:rsidRPr="00F55D63">
        <w:rPr>
          <w:rFonts w:ascii="Times New Roman" w:hAnsi="Times New Roman" w:cs="Times New Roman"/>
          <w:sz w:val="24"/>
          <w:szCs w:val="24"/>
        </w:rPr>
        <w:tab/>
        <w:t xml:space="preserve">R Core Team. </w:t>
      </w:r>
      <w:r w:rsidRPr="00F55D63">
        <w:rPr>
          <w:rFonts w:ascii="Times New Roman" w:hAnsi="Times New Roman" w:cs="Times New Roman"/>
          <w:i/>
          <w:iCs/>
          <w:sz w:val="24"/>
          <w:szCs w:val="24"/>
        </w:rPr>
        <w:t>R: A Language and Environment for Statistical Computing</w:t>
      </w:r>
      <w:r w:rsidRPr="00F55D63">
        <w:rPr>
          <w:rFonts w:ascii="Times New Roman" w:hAnsi="Times New Roman" w:cs="Times New Roman"/>
          <w:sz w:val="24"/>
          <w:szCs w:val="24"/>
        </w:rPr>
        <w:t>. Vienna, Austria: R Foundation for Statistical Computing; 2019. https://www.R-project.org/.</w:t>
      </w:r>
    </w:p>
    <w:p w14:paraId="5224928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41. </w:t>
      </w:r>
      <w:r w:rsidRPr="00F55D63">
        <w:rPr>
          <w:rFonts w:ascii="Times New Roman" w:hAnsi="Times New Roman" w:cs="Times New Roman"/>
          <w:sz w:val="24"/>
          <w:szCs w:val="24"/>
        </w:rPr>
        <w:tab/>
        <w:t xml:space="preserve">R Studio Team. </w:t>
      </w:r>
      <w:r w:rsidRPr="00F55D63">
        <w:rPr>
          <w:rFonts w:ascii="Times New Roman" w:hAnsi="Times New Roman" w:cs="Times New Roman"/>
          <w:i/>
          <w:iCs/>
          <w:sz w:val="24"/>
          <w:szCs w:val="24"/>
        </w:rPr>
        <w:t>RStudio: Integrated Development for R</w:t>
      </w:r>
      <w:r w:rsidRPr="00F55D63">
        <w:rPr>
          <w:rFonts w:ascii="Times New Roman" w:hAnsi="Times New Roman" w:cs="Times New Roman"/>
          <w:sz w:val="24"/>
          <w:szCs w:val="24"/>
        </w:rPr>
        <w:t>. Boston, MA: RStudio, Inc.; 2019. http://www.rstudio.com/.</w:t>
      </w:r>
    </w:p>
    <w:p w14:paraId="6016A18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42. </w:t>
      </w:r>
      <w:r w:rsidRPr="00F55D63">
        <w:rPr>
          <w:rFonts w:ascii="Times New Roman" w:hAnsi="Times New Roman" w:cs="Times New Roman"/>
          <w:sz w:val="24"/>
          <w:szCs w:val="24"/>
        </w:rPr>
        <w:tab/>
        <w:t>Therneau T, Lumley T. survival: Survival analysis. R package version 2.38-3. 2015.</w:t>
      </w:r>
    </w:p>
    <w:p w14:paraId="5F40B43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43. </w:t>
      </w:r>
      <w:r w:rsidRPr="00F55D63">
        <w:rPr>
          <w:rFonts w:ascii="Times New Roman" w:hAnsi="Times New Roman" w:cs="Times New Roman"/>
          <w:sz w:val="24"/>
          <w:szCs w:val="24"/>
        </w:rPr>
        <w:tab/>
        <w:t xml:space="preserve">Lumley T. Analysis of Complex Survey Samples. </w:t>
      </w:r>
      <w:r w:rsidRPr="00F55D63">
        <w:rPr>
          <w:rFonts w:ascii="Times New Roman" w:hAnsi="Times New Roman" w:cs="Times New Roman"/>
          <w:i/>
          <w:iCs/>
          <w:sz w:val="24"/>
          <w:szCs w:val="24"/>
        </w:rPr>
        <w:t>J Stat Softw</w:t>
      </w:r>
      <w:r w:rsidRPr="00F55D63">
        <w:rPr>
          <w:rFonts w:ascii="Times New Roman" w:hAnsi="Times New Roman" w:cs="Times New Roman"/>
          <w:sz w:val="24"/>
          <w:szCs w:val="24"/>
        </w:rPr>
        <w:t>. 2004;9(1):1-19. doi:10.18637/jss.v009.i08</w:t>
      </w:r>
    </w:p>
    <w:p w14:paraId="504F07A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44. </w:t>
      </w:r>
      <w:r w:rsidRPr="00F55D63">
        <w:rPr>
          <w:rFonts w:ascii="Times New Roman" w:hAnsi="Times New Roman" w:cs="Times New Roman"/>
          <w:sz w:val="24"/>
          <w:szCs w:val="24"/>
        </w:rPr>
        <w:tab/>
        <w:t xml:space="preserve">Kang H, Lobo JM, Kim S, Sohn M-W. Cost-related medication non-adherence among U.S. adults with diabetes. </w:t>
      </w:r>
      <w:r w:rsidRPr="00F55D63">
        <w:rPr>
          <w:rFonts w:ascii="Times New Roman" w:hAnsi="Times New Roman" w:cs="Times New Roman"/>
          <w:i/>
          <w:iCs/>
          <w:sz w:val="24"/>
          <w:szCs w:val="24"/>
        </w:rPr>
        <w:t>Diabetes Res Clin Pract</w:t>
      </w:r>
      <w:r w:rsidRPr="00F55D63">
        <w:rPr>
          <w:rFonts w:ascii="Times New Roman" w:hAnsi="Times New Roman" w:cs="Times New Roman"/>
          <w:sz w:val="24"/>
          <w:szCs w:val="24"/>
        </w:rPr>
        <w:t>. 2018;143:24-33. doi:10.1016/j.diabres.2018.06.016</w:t>
      </w:r>
    </w:p>
    <w:p w14:paraId="02E4C7A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45. </w:t>
      </w:r>
      <w:r w:rsidRPr="00F55D63">
        <w:rPr>
          <w:rFonts w:ascii="Times New Roman" w:hAnsi="Times New Roman" w:cs="Times New Roman"/>
          <w:sz w:val="24"/>
          <w:szCs w:val="24"/>
        </w:rPr>
        <w:tab/>
        <w:t xml:space="preserve">De Vera MA, Bhole V, Burns LC, Lacaille D. Impact of statin adherence on cardiovascular disease and mortality outcomes: a systematic review. </w:t>
      </w:r>
      <w:r w:rsidRPr="00F55D63">
        <w:rPr>
          <w:rFonts w:ascii="Times New Roman" w:hAnsi="Times New Roman" w:cs="Times New Roman"/>
          <w:i/>
          <w:iCs/>
          <w:sz w:val="24"/>
          <w:szCs w:val="24"/>
        </w:rPr>
        <w:t>Br J Clin Pharmacol</w:t>
      </w:r>
      <w:r w:rsidRPr="00F55D63">
        <w:rPr>
          <w:rFonts w:ascii="Times New Roman" w:hAnsi="Times New Roman" w:cs="Times New Roman"/>
          <w:sz w:val="24"/>
          <w:szCs w:val="24"/>
        </w:rPr>
        <w:t>. 2014;78(4):684-698. doi:10.1111/bcp.12339</w:t>
      </w:r>
    </w:p>
    <w:p w14:paraId="1DCBA6B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46. </w:t>
      </w:r>
      <w:r w:rsidRPr="00F55D63">
        <w:rPr>
          <w:rFonts w:ascii="Times New Roman" w:hAnsi="Times New Roman" w:cs="Times New Roman"/>
          <w:sz w:val="24"/>
          <w:szCs w:val="24"/>
        </w:rPr>
        <w:tab/>
        <w:t xml:space="preserve">Gosmanova Elvira O., Lu Jun L., Streja Elani, Cushman William C., Kalantar-Zadeh Kamyar, Kovesdy Csaba P. Association of Medical Treatment Nonadherence With All-Cause Mortality in Newly Treated Hypertensive US Veterans. </w:t>
      </w:r>
      <w:r w:rsidRPr="00F55D63">
        <w:rPr>
          <w:rFonts w:ascii="Times New Roman" w:hAnsi="Times New Roman" w:cs="Times New Roman"/>
          <w:i/>
          <w:iCs/>
          <w:sz w:val="24"/>
          <w:szCs w:val="24"/>
        </w:rPr>
        <w:t>Hypertension</w:t>
      </w:r>
      <w:r w:rsidRPr="00F55D63">
        <w:rPr>
          <w:rFonts w:ascii="Times New Roman" w:hAnsi="Times New Roman" w:cs="Times New Roman"/>
          <w:sz w:val="24"/>
          <w:szCs w:val="24"/>
        </w:rPr>
        <w:t>. 2014;64(5):951-957. doi:10.1161/HYPERTENSIONAHA.114.03805</w:t>
      </w:r>
    </w:p>
    <w:p w14:paraId="28C8511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47. </w:t>
      </w:r>
      <w:r w:rsidRPr="00F55D63">
        <w:rPr>
          <w:rFonts w:ascii="Times New Roman" w:hAnsi="Times New Roman" w:cs="Times New Roman"/>
          <w:sz w:val="24"/>
          <w:szCs w:val="24"/>
        </w:rPr>
        <w:tab/>
        <w:t xml:space="preserve">Cherry SB, Benner JS, Hussein MA, Tang SSK, Nichol MB. The Clinical and Economic Burden of Nonadherence with Antihypertensive and Lipid-Lowering Therapy in Hypertensive Patients. </w:t>
      </w:r>
      <w:r w:rsidRPr="00F55D63">
        <w:rPr>
          <w:rFonts w:ascii="Times New Roman" w:hAnsi="Times New Roman" w:cs="Times New Roman"/>
          <w:i/>
          <w:iCs/>
          <w:sz w:val="24"/>
          <w:szCs w:val="24"/>
        </w:rPr>
        <w:t>Value Health</w:t>
      </w:r>
      <w:r w:rsidRPr="00F55D63">
        <w:rPr>
          <w:rFonts w:ascii="Times New Roman" w:hAnsi="Times New Roman" w:cs="Times New Roman"/>
          <w:sz w:val="24"/>
          <w:szCs w:val="24"/>
        </w:rPr>
        <w:t>. 2009;12(4):489-497. doi:10.1111/j.1524-4733.2008.00447.x</w:t>
      </w:r>
    </w:p>
    <w:p w14:paraId="27DAD0B2"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48. </w:t>
      </w:r>
      <w:r w:rsidRPr="00F55D63">
        <w:rPr>
          <w:rFonts w:ascii="Times New Roman" w:hAnsi="Times New Roman" w:cs="Times New Roman"/>
          <w:sz w:val="24"/>
          <w:szCs w:val="24"/>
        </w:rPr>
        <w:tab/>
        <w:t xml:space="preserve">Sommers BD, Gunja MZ, Finegold K, Musco T. Changes in Self-reported Insurance Coverage, Access to Care, and Health Under the Affordable Care Act.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2015;314(4):366-374. doi:10.1001/jama.2015.8421</w:t>
      </w:r>
    </w:p>
    <w:p w14:paraId="1084F62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49. </w:t>
      </w:r>
      <w:r w:rsidRPr="00F55D63">
        <w:rPr>
          <w:rFonts w:ascii="Times New Roman" w:hAnsi="Times New Roman" w:cs="Times New Roman"/>
          <w:sz w:val="24"/>
          <w:szCs w:val="24"/>
        </w:rPr>
        <w:tab/>
        <w:t xml:space="preserve">Rosenbaum S. The Patient Protection and Affordable Care Act: Implications for Public Health Policy and Practice. </w:t>
      </w:r>
      <w:r w:rsidRPr="00F55D63">
        <w:rPr>
          <w:rFonts w:ascii="Times New Roman" w:hAnsi="Times New Roman" w:cs="Times New Roman"/>
          <w:i/>
          <w:iCs/>
          <w:sz w:val="24"/>
          <w:szCs w:val="24"/>
        </w:rPr>
        <w:t>Public Health Rep</w:t>
      </w:r>
      <w:r w:rsidRPr="00F55D63">
        <w:rPr>
          <w:rFonts w:ascii="Times New Roman" w:hAnsi="Times New Roman" w:cs="Times New Roman"/>
          <w:sz w:val="24"/>
          <w:szCs w:val="24"/>
        </w:rPr>
        <w:t>. 2011;126(1):130-135. doi:10.1177/003335491112600118</w:t>
      </w:r>
    </w:p>
    <w:p w14:paraId="57E35C6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50. </w:t>
      </w:r>
      <w:r w:rsidRPr="00F55D63">
        <w:rPr>
          <w:rFonts w:ascii="Times New Roman" w:hAnsi="Times New Roman" w:cs="Times New Roman"/>
          <w:sz w:val="24"/>
          <w:szCs w:val="24"/>
        </w:rPr>
        <w:tab/>
        <w:t xml:space="preserve">Miller S, Altekruse S, Johnson N, Wherry LR. </w:t>
      </w:r>
      <w:r w:rsidRPr="00F55D63">
        <w:rPr>
          <w:rFonts w:ascii="Times New Roman" w:hAnsi="Times New Roman" w:cs="Times New Roman"/>
          <w:i/>
          <w:iCs/>
          <w:sz w:val="24"/>
          <w:szCs w:val="24"/>
        </w:rPr>
        <w:t>Medicaid and Mortality: New Evidence from Linked Survey and Administrative Data</w:t>
      </w:r>
      <w:r w:rsidRPr="00F55D63">
        <w:rPr>
          <w:rFonts w:ascii="Times New Roman" w:hAnsi="Times New Roman" w:cs="Times New Roman"/>
          <w:sz w:val="24"/>
          <w:szCs w:val="24"/>
        </w:rPr>
        <w:t>. National Bureau of Economic Research; 2019.</w:t>
      </w:r>
    </w:p>
    <w:p w14:paraId="485CC46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51. </w:t>
      </w:r>
      <w:r w:rsidRPr="00F55D63">
        <w:rPr>
          <w:rFonts w:ascii="Times New Roman" w:hAnsi="Times New Roman" w:cs="Times New Roman"/>
          <w:sz w:val="24"/>
          <w:szCs w:val="24"/>
        </w:rPr>
        <w:tab/>
        <w:t xml:space="preserve">Kennedy JJ, Maciejewski M, Liu D, Blodgett E. Cost-Related Nonadherence in the Medicare Program: The Impact of Part D.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2011;49(5):522-526.</w:t>
      </w:r>
    </w:p>
    <w:p w14:paraId="29E71C8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52. </w:t>
      </w:r>
      <w:r w:rsidRPr="00F55D63">
        <w:rPr>
          <w:rFonts w:ascii="Times New Roman" w:hAnsi="Times New Roman" w:cs="Times New Roman"/>
          <w:sz w:val="24"/>
          <w:szCs w:val="24"/>
        </w:rPr>
        <w:tab/>
        <w:t xml:space="preserve">Park YJ, Martin EG. Medicare Part D’s Effects on Drug Utilization and Out-of-Pocket Costs: A Systematic Review. </w:t>
      </w:r>
      <w:r w:rsidRPr="00F55D63">
        <w:rPr>
          <w:rFonts w:ascii="Times New Roman" w:hAnsi="Times New Roman" w:cs="Times New Roman"/>
          <w:i/>
          <w:iCs/>
          <w:sz w:val="24"/>
          <w:szCs w:val="24"/>
        </w:rPr>
        <w:t>Health Serv Res</w:t>
      </w:r>
      <w:r w:rsidRPr="00F55D63">
        <w:rPr>
          <w:rFonts w:ascii="Times New Roman" w:hAnsi="Times New Roman" w:cs="Times New Roman"/>
          <w:sz w:val="24"/>
          <w:szCs w:val="24"/>
        </w:rPr>
        <w:t>. 2017;52(5):1685-1728. doi:10.1111/1475-6773.12534</w:t>
      </w:r>
    </w:p>
    <w:p w14:paraId="223E259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53. </w:t>
      </w:r>
      <w:r w:rsidRPr="00F55D63">
        <w:rPr>
          <w:rFonts w:ascii="Times New Roman" w:hAnsi="Times New Roman" w:cs="Times New Roman"/>
          <w:sz w:val="24"/>
          <w:szCs w:val="24"/>
        </w:rPr>
        <w:tab/>
        <w:t xml:space="preserve">Fukuda H, Mizobe M. Impact of nonadherence on complication risks and healthcare costs in patients newly-diagnosed with diabetes. </w:t>
      </w:r>
      <w:r w:rsidRPr="00F55D63">
        <w:rPr>
          <w:rFonts w:ascii="Times New Roman" w:hAnsi="Times New Roman" w:cs="Times New Roman"/>
          <w:i/>
          <w:iCs/>
          <w:sz w:val="24"/>
          <w:szCs w:val="24"/>
        </w:rPr>
        <w:t>Diabetes Res Clin Pract</w:t>
      </w:r>
      <w:r w:rsidRPr="00F55D63">
        <w:rPr>
          <w:rFonts w:ascii="Times New Roman" w:hAnsi="Times New Roman" w:cs="Times New Roman"/>
          <w:sz w:val="24"/>
          <w:szCs w:val="24"/>
        </w:rPr>
        <w:t>. 2017;123:55-62. doi:10.1016/j.diabres.2016.11.007</w:t>
      </w:r>
    </w:p>
    <w:p w14:paraId="45359ED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54. </w:t>
      </w:r>
      <w:r w:rsidRPr="00F55D63">
        <w:rPr>
          <w:rFonts w:ascii="Times New Roman" w:hAnsi="Times New Roman" w:cs="Times New Roman"/>
          <w:sz w:val="24"/>
          <w:szCs w:val="24"/>
        </w:rPr>
        <w:tab/>
        <w:t xml:space="preserve">Ito K, Avorn J, Shrank WH, et al. Long-term cost-effectiveness of providing full coverage for preventive medications after myocardial infarction. </w:t>
      </w:r>
      <w:r w:rsidRPr="00F55D63">
        <w:rPr>
          <w:rFonts w:ascii="Times New Roman" w:hAnsi="Times New Roman" w:cs="Times New Roman"/>
          <w:i/>
          <w:iCs/>
          <w:sz w:val="24"/>
          <w:szCs w:val="24"/>
        </w:rPr>
        <w:t>Circ Cardiovasc Qual Outcomes</w:t>
      </w:r>
      <w:r w:rsidRPr="00F55D63">
        <w:rPr>
          <w:rFonts w:ascii="Times New Roman" w:hAnsi="Times New Roman" w:cs="Times New Roman"/>
          <w:sz w:val="24"/>
          <w:szCs w:val="24"/>
        </w:rPr>
        <w:t>. 2015;8(3):252-259. doi:10.1161/CIRCOUTCOMES.114.001330</w:t>
      </w:r>
    </w:p>
    <w:p w14:paraId="351BC81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55. </w:t>
      </w:r>
      <w:r w:rsidRPr="00F55D63">
        <w:rPr>
          <w:rFonts w:ascii="Times New Roman" w:hAnsi="Times New Roman" w:cs="Times New Roman"/>
          <w:sz w:val="24"/>
          <w:szCs w:val="24"/>
        </w:rPr>
        <w:tab/>
        <w:t xml:space="preserve">Choudhry Niteesh K., Patrick Amanda R., Antman Elliott M., Avorn Jerry, Shrank William H. Cost-Effectiveness of Providing Full Drug Coverage to Increase Medication Adherence in Post–Myocardial Infarction Medicare Beneficiaries. </w:t>
      </w:r>
      <w:r w:rsidRPr="00F55D63">
        <w:rPr>
          <w:rFonts w:ascii="Times New Roman" w:hAnsi="Times New Roman" w:cs="Times New Roman"/>
          <w:i/>
          <w:iCs/>
          <w:sz w:val="24"/>
          <w:szCs w:val="24"/>
        </w:rPr>
        <w:t>Circulation</w:t>
      </w:r>
      <w:r w:rsidRPr="00F55D63">
        <w:rPr>
          <w:rFonts w:ascii="Times New Roman" w:hAnsi="Times New Roman" w:cs="Times New Roman"/>
          <w:sz w:val="24"/>
          <w:szCs w:val="24"/>
        </w:rPr>
        <w:t>. 2008;117(10):1261-1268. doi:10.1161/CIRCULATIONAHA.107.735605</w:t>
      </w:r>
    </w:p>
    <w:p w14:paraId="05D9063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56. </w:t>
      </w:r>
      <w:r w:rsidRPr="00F55D63">
        <w:rPr>
          <w:rFonts w:ascii="Times New Roman" w:hAnsi="Times New Roman" w:cs="Times New Roman"/>
          <w:sz w:val="24"/>
          <w:szCs w:val="24"/>
        </w:rPr>
        <w:tab/>
        <w:t>Reduce Insulin Prices | Colorado General Assembly. https://leg.colorado.gov/bills/hb19-1216. Accessed February 8, 2020.</w:t>
      </w:r>
    </w:p>
    <w:p w14:paraId="71CFFAE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57. </w:t>
      </w:r>
      <w:r w:rsidRPr="00F55D63">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52D8DC4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58. </w:t>
      </w:r>
      <w:r w:rsidRPr="00F55D63">
        <w:rPr>
          <w:rFonts w:ascii="Times New Roman" w:hAnsi="Times New Roman" w:cs="Times New Roman"/>
          <w:sz w:val="24"/>
          <w:szCs w:val="24"/>
        </w:rPr>
        <w:tab/>
        <w:t xml:space="preserve">Casello D. </w:t>
      </w:r>
      <w:r w:rsidRPr="00F55D63">
        <w:rPr>
          <w:rFonts w:ascii="Times New Roman" w:hAnsi="Times New Roman" w:cs="Times New Roman"/>
          <w:i/>
          <w:iCs/>
          <w:sz w:val="24"/>
          <w:szCs w:val="24"/>
        </w:rPr>
        <w:t>Prescription Insulin Drugs</w:t>
      </w:r>
      <w:r w:rsidRPr="00F55D63">
        <w:rPr>
          <w:rFonts w:ascii="Times New Roman" w:hAnsi="Times New Roman" w:cs="Times New Roman"/>
          <w:sz w:val="24"/>
          <w:szCs w:val="24"/>
        </w:rPr>
        <w:t>.; 2020. https://www.flsenate.gov/Session/Bill/2020/109.</w:t>
      </w:r>
    </w:p>
    <w:p w14:paraId="6487C63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59. </w:t>
      </w:r>
      <w:r w:rsidRPr="00F55D63">
        <w:rPr>
          <w:rFonts w:ascii="Times New Roman" w:hAnsi="Times New Roman" w:cs="Times New Roman"/>
          <w:sz w:val="24"/>
          <w:szCs w:val="24"/>
        </w:rPr>
        <w:tab/>
        <w:t>Krasselt K. Lawmakers moving toward payment caps for insulin and other drugs. Connecticut Post. https://www.ctpost.com/politics/article/Lawmakers-moving-toward-payment-caps-for-insulin-14951512.php. Published January 3, 2020. Accessed February 19, 2020.</w:t>
      </w:r>
    </w:p>
    <w:p w14:paraId="47CD1DA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60. </w:t>
      </w:r>
      <w:r w:rsidRPr="00F55D63">
        <w:rPr>
          <w:rFonts w:ascii="Times New Roman" w:hAnsi="Times New Roman" w:cs="Times New Roman"/>
          <w:sz w:val="24"/>
          <w:szCs w:val="24"/>
        </w:rPr>
        <w:tab/>
        <w:t xml:space="preserve">Committee on Insurance. </w:t>
      </w:r>
      <w:r w:rsidRPr="00F55D63">
        <w:rPr>
          <w:rFonts w:ascii="Times New Roman" w:hAnsi="Times New Roman" w:cs="Times New Roman"/>
          <w:i/>
          <w:iCs/>
          <w:sz w:val="24"/>
          <w:szCs w:val="24"/>
        </w:rPr>
        <w:t>Establishing a $100 Maximum out of Pocket Cost Share per Month per Covered Person for Prescription Insulin Drugs</w:t>
      </w:r>
      <w:r w:rsidRPr="00F55D63">
        <w:rPr>
          <w:rFonts w:ascii="Times New Roman" w:hAnsi="Times New Roman" w:cs="Times New Roman"/>
          <w:sz w:val="24"/>
          <w:szCs w:val="24"/>
        </w:rPr>
        <w:t>.; 2020.</w:t>
      </w:r>
    </w:p>
    <w:p w14:paraId="22F857E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61. </w:t>
      </w:r>
      <w:r w:rsidRPr="00F55D63">
        <w:rPr>
          <w:rFonts w:ascii="Times New Roman" w:hAnsi="Times New Roman" w:cs="Times New Roman"/>
          <w:sz w:val="24"/>
          <w:szCs w:val="24"/>
        </w:rPr>
        <w:tab/>
        <w:t>A5786. https://www.njleg.state.nj.us/2018/Bills/A9999/5786_I1.HTM. Accessed February 8, 2020.</w:t>
      </w:r>
    </w:p>
    <w:p w14:paraId="2C52166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62. </w:t>
      </w:r>
      <w:r w:rsidRPr="00F55D63">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64318E0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63. </w:t>
      </w:r>
      <w:r w:rsidRPr="00F55D63">
        <w:rPr>
          <w:rFonts w:ascii="Times New Roman" w:hAnsi="Times New Roman" w:cs="Times New Roman"/>
          <w:sz w:val="24"/>
          <w:szCs w:val="24"/>
        </w:rPr>
        <w:tab/>
        <w:t xml:space="preserve">Grassley C. </w:t>
      </w:r>
      <w:r w:rsidRPr="00F55D63">
        <w:rPr>
          <w:rFonts w:ascii="Times New Roman" w:hAnsi="Times New Roman" w:cs="Times New Roman"/>
          <w:i/>
          <w:iCs/>
          <w:sz w:val="24"/>
          <w:szCs w:val="24"/>
        </w:rPr>
        <w:t>Prescription Drug Pricing Reduction Act of 2019</w:t>
      </w:r>
      <w:r w:rsidRPr="00F55D63">
        <w:rPr>
          <w:rFonts w:ascii="Times New Roman" w:hAnsi="Times New Roman" w:cs="Times New Roman"/>
          <w:sz w:val="24"/>
          <w:szCs w:val="24"/>
        </w:rPr>
        <w:t>. https://www.congress.gov/bill/116th-congress/senate-bill/2543/all-info.</w:t>
      </w:r>
    </w:p>
    <w:p w14:paraId="5C22C05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64. </w:t>
      </w:r>
      <w:r w:rsidRPr="00F55D63">
        <w:rPr>
          <w:rFonts w:ascii="Times New Roman" w:hAnsi="Times New Roman" w:cs="Times New Roman"/>
          <w:sz w:val="24"/>
          <w:szCs w:val="24"/>
        </w:rPr>
        <w:tab/>
        <w:t xml:space="preserve">Vernon JA. Examining the link between price regulation and pharmaceutical R&amp;D investment. </w:t>
      </w:r>
      <w:r w:rsidRPr="00F55D63">
        <w:rPr>
          <w:rFonts w:ascii="Times New Roman" w:hAnsi="Times New Roman" w:cs="Times New Roman"/>
          <w:i/>
          <w:iCs/>
          <w:sz w:val="24"/>
          <w:szCs w:val="24"/>
        </w:rPr>
        <w:t>Health Econ</w:t>
      </w:r>
      <w:r w:rsidRPr="00F55D63">
        <w:rPr>
          <w:rFonts w:ascii="Times New Roman" w:hAnsi="Times New Roman" w:cs="Times New Roman"/>
          <w:sz w:val="24"/>
          <w:szCs w:val="24"/>
        </w:rPr>
        <w:t>. 2005;14(1):1-16. doi:10.1002/hec.897</w:t>
      </w:r>
    </w:p>
    <w:p w14:paraId="3C39B7F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65. </w:t>
      </w:r>
      <w:r w:rsidRPr="00F55D63">
        <w:rPr>
          <w:rFonts w:ascii="Times New Roman" w:hAnsi="Times New Roman" w:cs="Times New Roman"/>
          <w:sz w:val="24"/>
          <w:szCs w:val="24"/>
        </w:rPr>
        <w:tab/>
        <w:t xml:space="preserve">Gotham D, Barber MJ, Hill A. Production costs and potential prices for biosimilars of human insulin and insulin analogues. </w:t>
      </w:r>
      <w:r w:rsidRPr="00F55D63">
        <w:rPr>
          <w:rFonts w:ascii="Times New Roman" w:hAnsi="Times New Roman" w:cs="Times New Roman"/>
          <w:i/>
          <w:iCs/>
          <w:sz w:val="24"/>
          <w:szCs w:val="24"/>
        </w:rPr>
        <w:t>BMJ Glob Health</w:t>
      </w:r>
      <w:r w:rsidRPr="00F55D63">
        <w:rPr>
          <w:rFonts w:ascii="Times New Roman" w:hAnsi="Times New Roman" w:cs="Times New Roman"/>
          <w:sz w:val="24"/>
          <w:szCs w:val="24"/>
        </w:rPr>
        <w:t>. 2018;3(5). doi:10.1136/bmjgh-2018-000850</w:t>
      </w:r>
    </w:p>
    <w:p w14:paraId="0D53BAA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66. </w:t>
      </w:r>
      <w:r w:rsidRPr="00F55D63">
        <w:rPr>
          <w:rFonts w:ascii="Times New Roman" w:hAnsi="Times New Roman" w:cs="Times New Roman"/>
          <w:sz w:val="24"/>
          <w:szCs w:val="24"/>
        </w:rPr>
        <w:tab/>
        <w:t xml:space="preserve">Brekke KR, Grasdal AL, Holmås TH. Regulation and pricing of pharmaceuticals: Reference pricing or price cap regulation? </w:t>
      </w:r>
      <w:r w:rsidRPr="00F55D63">
        <w:rPr>
          <w:rFonts w:ascii="Times New Roman" w:hAnsi="Times New Roman" w:cs="Times New Roman"/>
          <w:i/>
          <w:iCs/>
          <w:sz w:val="24"/>
          <w:szCs w:val="24"/>
        </w:rPr>
        <w:t>Eur Econ Rev</w:t>
      </w:r>
      <w:r w:rsidRPr="00F55D63">
        <w:rPr>
          <w:rFonts w:ascii="Times New Roman" w:hAnsi="Times New Roman" w:cs="Times New Roman"/>
          <w:sz w:val="24"/>
          <w:szCs w:val="24"/>
        </w:rPr>
        <w:t>. 2009;53(2):170-185. doi:10.1016/j.euroecorev.2008.03.004</w:t>
      </w:r>
    </w:p>
    <w:p w14:paraId="602C616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67. </w:t>
      </w:r>
      <w:r w:rsidRPr="00F55D63">
        <w:rPr>
          <w:rFonts w:ascii="Times New Roman" w:hAnsi="Times New Roman" w:cs="Times New Roman"/>
          <w:sz w:val="24"/>
          <w:szCs w:val="24"/>
        </w:rPr>
        <w:tab/>
        <w:t xml:space="preserve">Acosta A, Ciapponi A, Aaserud M, et al. Pharmaceutical policies: effects of reference pricing, other pricing, and purchasing policies. </w:t>
      </w:r>
      <w:r w:rsidRPr="00F55D63">
        <w:rPr>
          <w:rFonts w:ascii="Times New Roman" w:hAnsi="Times New Roman" w:cs="Times New Roman"/>
          <w:i/>
          <w:iCs/>
          <w:sz w:val="24"/>
          <w:szCs w:val="24"/>
        </w:rPr>
        <w:t>Cochrane Database Syst Rev</w:t>
      </w:r>
      <w:r w:rsidRPr="00F55D63">
        <w:rPr>
          <w:rFonts w:ascii="Times New Roman" w:hAnsi="Times New Roman" w:cs="Times New Roman"/>
          <w:sz w:val="24"/>
          <w:szCs w:val="24"/>
        </w:rPr>
        <w:t>. 2014;(10). doi:10.1002/14651858.CD005979.pub2</w:t>
      </w:r>
    </w:p>
    <w:p w14:paraId="21A2546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68. </w:t>
      </w:r>
      <w:r w:rsidRPr="00F55D63">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2008;299(16):1922-1928. doi:10.1001/jama.299.16.1922</w:t>
      </w:r>
    </w:p>
    <w:p w14:paraId="6B8C1FD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69. </w:t>
      </w:r>
      <w:r w:rsidRPr="00F55D63">
        <w:rPr>
          <w:rFonts w:ascii="Times New Roman" w:hAnsi="Times New Roman" w:cs="Times New Roman"/>
          <w:sz w:val="24"/>
          <w:szCs w:val="24"/>
        </w:rPr>
        <w:tab/>
        <w:t xml:space="preserve">Kennedy J, Tuleu I, Mackay K. Unfilled Prescriptions of Medicare Beneficiaries: Prevalence, Reasons, and Types of Medicines Prescribed. </w:t>
      </w:r>
      <w:r w:rsidRPr="00F55D63">
        <w:rPr>
          <w:rFonts w:ascii="Times New Roman" w:hAnsi="Times New Roman" w:cs="Times New Roman"/>
          <w:i/>
          <w:iCs/>
          <w:sz w:val="24"/>
          <w:szCs w:val="24"/>
        </w:rPr>
        <w:t>J Manag Care Pharm</w:t>
      </w:r>
      <w:r w:rsidRPr="00F55D63">
        <w:rPr>
          <w:rFonts w:ascii="Times New Roman" w:hAnsi="Times New Roman" w:cs="Times New Roman"/>
          <w:sz w:val="24"/>
          <w:szCs w:val="24"/>
        </w:rPr>
        <w:t>. 2008;14(6):553-560. doi:10.18553/jmcp.2008.14.6.553</w:t>
      </w:r>
    </w:p>
    <w:p w14:paraId="79AF99E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70. </w:t>
      </w:r>
      <w:r w:rsidRPr="00F55D63">
        <w:rPr>
          <w:rFonts w:ascii="Times New Roman" w:hAnsi="Times New Roman" w:cs="Times New Roman"/>
          <w:sz w:val="24"/>
          <w:szCs w:val="24"/>
        </w:rPr>
        <w:tab/>
        <w:t xml:space="preserve">Blumberg DM, Prager AJ, Liebmann JM, Cioffi GA, Moraes CGD. Cost-Related Medication Nonadherence and Cost-Saving Behaviors Among Patients With Glaucoma Before and After the Implementation of Medicare Part D. </w:t>
      </w:r>
      <w:r w:rsidRPr="00F55D63">
        <w:rPr>
          <w:rFonts w:ascii="Times New Roman" w:hAnsi="Times New Roman" w:cs="Times New Roman"/>
          <w:i/>
          <w:iCs/>
          <w:sz w:val="24"/>
          <w:szCs w:val="24"/>
        </w:rPr>
        <w:t>JAMA Ophthalmol</w:t>
      </w:r>
      <w:r w:rsidRPr="00F55D63">
        <w:rPr>
          <w:rFonts w:ascii="Times New Roman" w:hAnsi="Times New Roman" w:cs="Times New Roman"/>
          <w:sz w:val="24"/>
          <w:szCs w:val="24"/>
        </w:rPr>
        <w:t>. 2015;133(9):985-996. doi:10.1001/jamaophthalmol.2015.1671</w:t>
      </w:r>
    </w:p>
    <w:p w14:paraId="60B048B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71. </w:t>
      </w:r>
      <w:r w:rsidRPr="00F55D63">
        <w:rPr>
          <w:rFonts w:ascii="Times New Roman" w:hAnsi="Times New Roman" w:cs="Times New Roman"/>
          <w:sz w:val="24"/>
          <w:szCs w:val="24"/>
        </w:rPr>
        <w:tab/>
        <w:t xml:space="preserve">Zivin K, Ratliff S, Heisler MM, Langa KM, Piette JD. Factors Influencing Cost-Related Nonadherence to Medication in Older Adults: A Conceptually Based Approach. </w:t>
      </w:r>
      <w:r w:rsidRPr="00F55D63">
        <w:rPr>
          <w:rFonts w:ascii="Times New Roman" w:hAnsi="Times New Roman" w:cs="Times New Roman"/>
          <w:i/>
          <w:iCs/>
          <w:sz w:val="24"/>
          <w:szCs w:val="24"/>
        </w:rPr>
        <w:t>Value Health J Int Soc Pharmacoeconomics Outcomes Res</w:t>
      </w:r>
      <w:r w:rsidRPr="00F55D63">
        <w:rPr>
          <w:rFonts w:ascii="Times New Roman" w:hAnsi="Times New Roman" w:cs="Times New Roman"/>
          <w:sz w:val="24"/>
          <w:szCs w:val="24"/>
        </w:rPr>
        <w:t>. 2010;13(4):338-345. doi:10.1111/j.1524-4733.2009.00679.x</w:t>
      </w:r>
    </w:p>
    <w:p w14:paraId="65E1D8C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72. </w:t>
      </w:r>
      <w:r w:rsidRPr="00F55D63">
        <w:rPr>
          <w:rFonts w:ascii="Times New Roman" w:hAnsi="Times New Roman" w:cs="Times New Roman"/>
          <w:sz w:val="24"/>
          <w:szCs w:val="24"/>
        </w:rPr>
        <w:tab/>
        <w:t xml:space="preserve">Piette JD, Beard A, Rosland AM, McHorney CA. Beliefs that influence cost-related medication non-adherence among the “haves” and “have nots” with chronic diseases. </w:t>
      </w:r>
      <w:r w:rsidRPr="00F55D63">
        <w:rPr>
          <w:rFonts w:ascii="Times New Roman" w:hAnsi="Times New Roman" w:cs="Times New Roman"/>
          <w:i/>
          <w:iCs/>
          <w:sz w:val="24"/>
          <w:szCs w:val="24"/>
        </w:rPr>
        <w:t>Patient Prefer Adherence</w:t>
      </w:r>
      <w:r w:rsidRPr="00F55D63">
        <w:rPr>
          <w:rFonts w:ascii="Times New Roman" w:hAnsi="Times New Roman" w:cs="Times New Roman"/>
          <w:sz w:val="24"/>
          <w:szCs w:val="24"/>
        </w:rPr>
        <w:t>. 2011;5:389-396. doi:10.2147/PPA.S23111</w:t>
      </w:r>
    </w:p>
    <w:p w14:paraId="2445939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73. </w:t>
      </w:r>
      <w:r w:rsidRPr="00F55D63">
        <w:rPr>
          <w:rFonts w:ascii="Times New Roman" w:hAnsi="Times New Roman" w:cs="Times New Roman"/>
          <w:sz w:val="24"/>
          <w:szCs w:val="24"/>
        </w:rPr>
        <w:tab/>
        <w:t xml:space="preserve">Zeng F, Patel BV, Brunetti L. Effects of coverage gap reform on adherence to diabetes medications. </w:t>
      </w:r>
      <w:r w:rsidRPr="00F55D63">
        <w:rPr>
          <w:rFonts w:ascii="Times New Roman" w:hAnsi="Times New Roman" w:cs="Times New Roman"/>
          <w:i/>
          <w:iCs/>
          <w:sz w:val="24"/>
          <w:szCs w:val="24"/>
        </w:rPr>
        <w:t>Am J Manag Care</w:t>
      </w:r>
      <w:r w:rsidRPr="00F55D63">
        <w:rPr>
          <w:rFonts w:ascii="Times New Roman" w:hAnsi="Times New Roman" w:cs="Times New Roman"/>
          <w:sz w:val="24"/>
          <w:szCs w:val="24"/>
        </w:rPr>
        <w:t>. 2013;19(4):308—316.</w:t>
      </w:r>
    </w:p>
    <w:p w14:paraId="1C3C177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74. </w:t>
      </w:r>
      <w:r w:rsidRPr="00F55D63">
        <w:rPr>
          <w:rFonts w:ascii="Times New Roman" w:hAnsi="Times New Roman" w:cs="Times New Roman"/>
          <w:sz w:val="24"/>
          <w:szCs w:val="24"/>
        </w:rPr>
        <w:tab/>
        <w:t xml:space="preserve">Mulcahy AW, Eibner C, Finegold K. Gaining Coverage Through Medicaid Or Private Insurance Increased Prescription Use And Lowered Out-Of-Pocket Spending. </w:t>
      </w:r>
      <w:r w:rsidRPr="00F55D63">
        <w:rPr>
          <w:rFonts w:ascii="Times New Roman" w:hAnsi="Times New Roman" w:cs="Times New Roman"/>
          <w:i/>
          <w:iCs/>
          <w:sz w:val="24"/>
          <w:szCs w:val="24"/>
        </w:rPr>
        <w:t>Health Aff (Millwood)</w:t>
      </w:r>
      <w:r w:rsidRPr="00F55D63">
        <w:rPr>
          <w:rFonts w:ascii="Times New Roman" w:hAnsi="Times New Roman" w:cs="Times New Roman"/>
          <w:sz w:val="24"/>
          <w:szCs w:val="24"/>
        </w:rPr>
        <w:t>. 2016;35(9):1725-1733. doi:10.1377/hlthaff.2016.0091</w:t>
      </w:r>
    </w:p>
    <w:p w14:paraId="485E1E7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75. </w:t>
      </w:r>
      <w:r w:rsidRPr="00F55D63">
        <w:rPr>
          <w:rFonts w:ascii="Times New Roman" w:hAnsi="Times New Roman" w:cs="Times New Roman"/>
          <w:sz w:val="24"/>
          <w:szCs w:val="24"/>
        </w:rPr>
        <w:tab/>
        <w:t xml:space="preserve">Kurlander JE, Kerr EA, Krein S, Heisler M, Piette JD. Cost-Related Nonadherence to Medications Among Patients With Diabetes and Chronic Pain: Factors beyond finances.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2009;32(12):2143-2148. doi:10.2337/dc09-1059</w:t>
      </w:r>
    </w:p>
    <w:p w14:paraId="5DC429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76. </w:t>
      </w:r>
      <w:r w:rsidRPr="00F55D63">
        <w:rPr>
          <w:rFonts w:ascii="Times New Roman" w:hAnsi="Times New Roman" w:cs="Times New Roman"/>
          <w:sz w:val="24"/>
          <w:szCs w:val="24"/>
        </w:rPr>
        <w:tab/>
        <w:t xml:space="preserve">Skopp NA, Smolenski DJ, Schwesinger DA, Johnson CJ, Metzger-Abamukong MJ, Reger MA. Evaluation of a methodology to validate National Death Index retrieval results among a cohort of U.S. service members. </w:t>
      </w:r>
      <w:r w:rsidRPr="00F55D63">
        <w:rPr>
          <w:rFonts w:ascii="Times New Roman" w:hAnsi="Times New Roman" w:cs="Times New Roman"/>
          <w:i/>
          <w:iCs/>
          <w:sz w:val="24"/>
          <w:szCs w:val="24"/>
        </w:rPr>
        <w:t>Ann Epidemiol</w:t>
      </w:r>
      <w:r w:rsidRPr="00F55D63">
        <w:rPr>
          <w:rFonts w:ascii="Times New Roman" w:hAnsi="Times New Roman" w:cs="Times New Roman"/>
          <w:sz w:val="24"/>
          <w:szCs w:val="24"/>
        </w:rPr>
        <w:t>. 2017;27(6):397-400. doi:10.1016/j.annepidem.2017.05.004</w:t>
      </w:r>
    </w:p>
    <w:p w14:paraId="496AA5A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77. </w:t>
      </w:r>
      <w:r w:rsidRPr="00F55D63">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2010;172(4):469-477. doi:10.1093/aje/kwq130</w:t>
      </w:r>
    </w:p>
    <w:p w14:paraId="1B6239F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78. </w:t>
      </w:r>
      <w:r w:rsidRPr="00F55D63">
        <w:rPr>
          <w:rFonts w:ascii="Times New Roman" w:hAnsi="Times New Roman" w:cs="Times New Roman"/>
          <w:sz w:val="24"/>
          <w:szCs w:val="24"/>
        </w:rPr>
        <w:tab/>
        <w:t xml:space="preserve">Lash T, Silliman R. A Comparison of the National Death Index and Social Security Administration Databases to Ascertain Vital Status. </w:t>
      </w:r>
      <w:r w:rsidRPr="00F55D63">
        <w:rPr>
          <w:rFonts w:ascii="Times New Roman" w:hAnsi="Times New Roman" w:cs="Times New Roman"/>
          <w:i/>
          <w:iCs/>
          <w:sz w:val="24"/>
          <w:szCs w:val="24"/>
        </w:rPr>
        <w:t>Epidemiology</w:t>
      </w:r>
      <w:r w:rsidRPr="00F55D63">
        <w:rPr>
          <w:rFonts w:ascii="Times New Roman" w:hAnsi="Times New Roman" w:cs="Times New Roman"/>
          <w:sz w:val="24"/>
          <w:szCs w:val="24"/>
        </w:rPr>
        <w:t>. 2001;12(2):259-261.</w:t>
      </w:r>
    </w:p>
    <w:p w14:paraId="2256459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79. </w:t>
      </w:r>
      <w:r w:rsidRPr="00F55D63">
        <w:rPr>
          <w:rFonts w:ascii="Times New Roman" w:hAnsi="Times New Roman" w:cs="Times New Roman"/>
          <w:sz w:val="24"/>
          <w:szCs w:val="24"/>
        </w:rPr>
        <w:tab/>
        <w:t xml:space="preserve">Fillenbaum GG, Burchett BM, Blazer DG. Identifying a National Death Index Match.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2009;170(4):515-518. doi:10.1093/aje/kwp155</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8"/>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9">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xml:space="preserve">Died: </w:t>
            </w:r>
            <w:proofErr w:type="gramStart"/>
            <w:r w:rsidRPr="001B7D46">
              <w:rPr>
                <w:rFonts w:ascii="Times New Roman" w:eastAsia="Times New Roman" w:hAnsi="Times New Roman" w:cs="Times New Roman"/>
                <w:color w:val="000000"/>
                <w:sz w:val="16"/>
                <w:szCs w:val="16"/>
              </w:rPr>
              <w:t>N(</w:t>
            </w:r>
            <w:proofErr w:type="gramEnd"/>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xml:space="preserve">Died: </w:t>
            </w:r>
            <w:proofErr w:type="gramStart"/>
            <w:r w:rsidRPr="001B7D46">
              <w:rPr>
                <w:rFonts w:ascii="Times New Roman" w:eastAsia="Times New Roman" w:hAnsi="Times New Roman" w:cs="Times New Roman"/>
                <w:color w:val="000000"/>
                <w:sz w:val="16"/>
                <w:szCs w:val="16"/>
              </w:rPr>
              <w:t>N(</w:t>
            </w:r>
            <w:proofErr w:type="gramEnd"/>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0"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1">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A0EC9" w14:textId="77777777" w:rsidR="00C5041C" w:rsidRDefault="00C5041C" w:rsidP="00857007">
      <w:pPr>
        <w:spacing w:after="0" w:line="240" w:lineRule="auto"/>
      </w:pPr>
      <w:r>
        <w:separator/>
      </w:r>
    </w:p>
  </w:endnote>
  <w:endnote w:type="continuationSeparator" w:id="0">
    <w:p w14:paraId="624EA379" w14:textId="77777777" w:rsidR="00C5041C" w:rsidRDefault="00C5041C"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ADD3" w14:textId="77777777" w:rsidR="00C5041C" w:rsidRDefault="00C5041C" w:rsidP="00857007">
      <w:pPr>
        <w:spacing w:after="0" w:line="240" w:lineRule="auto"/>
      </w:pPr>
      <w:r>
        <w:separator/>
      </w:r>
    </w:p>
  </w:footnote>
  <w:footnote w:type="continuationSeparator" w:id="0">
    <w:p w14:paraId="492345DC" w14:textId="77777777" w:rsidR="00C5041C" w:rsidRDefault="00C5041C"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C5041C" w:rsidRDefault="00C5041C"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5041C" w:rsidRDefault="00C5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5B6"/>
    <w:rsid w:val="000306C9"/>
    <w:rsid w:val="00031565"/>
    <w:rsid w:val="000316AB"/>
    <w:rsid w:val="00031FF1"/>
    <w:rsid w:val="000333F9"/>
    <w:rsid w:val="00034072"/>
    <w:rsid w:val="000352D7"/>
    <w:rsid w:val="00035628"/>
    <w:rsid w:val="00035DED"/>
    <w:rsid w:val="00036065"/>
    <w:rsid w:val="0003790D"/>
    <w:rsid w:val="000379E7"/>
    <w:rsid w:val="00037FD9"/>
    <w:rsid w:val="000406DA"/>
    <w:rsid w:val="0004282C"/>
    <w:rsid w:val="00042E95"/>
    <w:rsid w:val="00043131"/>
    <w:rsid w:val="00043632"/>
    <w:rsid w:val="000443F4"/>
    <w:rsid w:val="00044745"/>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18FB"/>
    <w:rsid w:val="000A4710"/>
    <w:rsid w:val="000A47E3"/>
    <w:rsid w:val="000A4D4F"/>
    <w:rsid w:val="000A4DFA"/>
    <w:rsid w:val="000A575B"/>
    <w:rsid w:val="000A5BFC"/>
    <w:rsid w:val="000A7455"/>
    <w:rsid w:val="000A7F4A"/>
    <w:rsid w:val="000B009C"/>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6150"/>
    <w:rsid w:val="000C73B5"/>
    <w:rsid w:val="000C7C3F"/>
    <w:rsid w:val="000D0AFD"/>
    <w:rsid w:val="000D13A3"/>
    <w:rsid w:val="000D149D"/>
    <w:rsid w:val="000D2901"/>
    <w:rsid w:val="000D32E8"/>
    <w:rsid w:val="000D35A4"/>
    <w:rsid w:val="000D3D75"/>
    <w:rsid w:val="000D429F"/>
    <w:rsid w:val="000D43B7"/>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F061D"/>
    <w:rsid w:val="000F0A14"/>
    <w:rsid w:val="000F0BB7"/>
    <w:rsid w:val="000F1647"/>
    <w:rsid w:val="000F2F35"/>
    <w:rsid w:val="000F31D7"/>
    <w:rsid w:val="000F3564"/>
    <w:rsid w:val="000F3BF4"/>
    <w:rsid w:val="000F4848"/>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149E"/>
    <w:rsid w:val="00131F4F"/>
    <w:rsid w:val="00132AD0"/>
    <w:rsid w:val="001340CD"/>
    <w:rsid w:val="00136154"/>
    <w:rsid w:val="0013692D"/>
    <w:rsid w:val="00137043"/>
    <w:rsid w:val="001405DE"/>
    <w:rsid w:val="00141E81"/>
    <w:rsid w:val="00142BEB"/>
    <w:rsid w:val="001438C0"/>
    <w:rsid w:val="00143F54"/>
    <w:rsid w:val="00144208"/>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0A91"/>
    <w:rsid w:val="00211E24"/>
    <w:rsid w:val="00213025"/>
    <w:rsid w:val="0021330C"/>
    <w:rsid w:val="0021352A"/>
    <w:rsid w:val="00213CC1"/>
    <w:rsid w:val="0021461B"/>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25BE"/>
    <w:rsid w:val="002B2860"/>
    <w:rsid w:val="002B3F22"/>
    <w:rsid w:val="002B4158"/>
    <w:rsid w:val="002B4336"/>
    <w:rsid w:val="002B63BD"/>
    <w:rsid w:val="002B7DA7"/>
    <w:rsid w:val="002C0174"/>
    <w:rsid w:val="002C0652"/>
    <w:rsid w:val="002C2AA9"/>
    <w:rsid w:val="002C2C69"/>
    <w:rsid w:val="002C42C2"/>
    <w:rsid w:val="002C4EA5"/>
    <w:rsid w:val="002C51CD"/>
    <w:rsid w:val="002C5257"/>
    <w:rsid w:val="002C5E6F"/>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B1"/>
    <w:rsid w:val="00380B5C"/>
    <w:rsid w:val="0038111F"/>
    <w:rsid w:val="003814E8"/>
    <w:rsid w:val="00383231"/>
    <w:rsid w:val="003835E1"/>
    <w:rsid w:val="00383E29"/>
    <w:rsid w:val="00384301"/>
    <w:rsid w:val="0038523C"/>
    <w:rsid w:val="003858BB"/>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1BB"/>
    <w:rsid w:val="00397459"/>
    <w:rsid w:val="003A0792"/>
    <w:rsid w:val="003A0EA1"/>
    <w:rsid w:val="003A113F"/>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3A0C"/>
    <w:rsid w:val="003C4B8A"/>
    <w:rsid w:val="003C6482"/>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4640"/>
    <w:rsid w:val="003F486D"/>
    <w:rsid w:val="003F4A91"/>
    <w:rsid w:val="003F5390"/>
    <w:rsid w:val="003F563E"/>
    <w:rsid w:val="003F6B4F"/>
    <w:rsid w:val="003F6D9C"/>
    <w:rsid w:val="003F6FAD"/>
    <w:rsid w:val="004001B6"/>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4A37"/>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369"/>
    <w:rsid w:val="00440652"/>
    <w:rsid w:val="004419ED"/>
    <w:rsid w:val="00442593"/>
    <w:rsid w:val="00442F00"/>
    <w:rsid w:val="0044403F"/>
    <w:rsid w:val="0044496B"/>
    <w:rsid w:val="0044508E"/>
    <w:rsid w:val="0044525E"/>
    <w:rsid w:val="00445300"/>
    <w:rsid w:val="004455BA"/>
    <w:rsid w:val="004458B1"/>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9F"/>
    <w:rsid w:val="0045784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410E"/>
    <w:rsid w:val="004C5E79"/>
    <w:rsid w:val="004C6DD9"/>
    <w:rsid w:val="004C71F7"/>
    <w:rsid w:val="004C7468"/>
    <w:rsid w:val="004C797B"/>
    <w:rsid w:val="004C7C89"/>
    <w:rsid w:val="004C7EC3"/>
    <w:rsid w:val="004D0B94"/>
    <w:rsid w:val="004D128A"/>
    <w:rsid w:val="004D28FC"/>
    <w:rsid w:val="004D2CD3"/>
    <w:rsid w:val="004D39A8"/>
    <w:rsid w:val="004D43C3"/>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5151"/>
    <w:rsid w:val="00565327"/>
    <w:rsid w:val="00565ABA"/>
    <w:rsid w:val="00567505"/>
    <w:rsid w:val="00567BE5"/>
    <w:rsid w:val="00567D42"/>
    <w:rsid w:val="0057028B"/>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4F9"/>
    <w:rsid w:val="00581E99"/>
    <w:rsid w:val="00581F61"/>
    <w:rsid w:val="00582184"/>
    <w:rsid w:val="005830CB"/>
    <w:rsid w:val="00583995"/>
    <w:rsid w:val="00583FC1"/>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5AA9"/>
    <w:rsid w:val="005F60A1"/>
    <w:rsid w:val="005F67CC"/>
    <w:rsid w:val="005F6DA3"/>
    <w:rsid w:val="005F77FB"/>
    <w:rsid w:val="005F7B7E"/>
    <w:rsid w:val="005F7EA1"/>
    <w:rsid w:val="006000F3"/>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5601"/>
    <w:rsid w:val="006A6988"/>
    <w:rsid w:val="006A69FD"/>
    <w:rsid w:val="006A763E"/>
    <w:rsid w:val="006A77ED"/>
    <w:rsid w:val="006A7EAB"/>
    <w:rsid w:val="006B0B7C"/>
    <w:rsid w:val="006B0ECC"/>
    <w:rsid w:val="006B2737"/>
    <w:rsid w:val="006B2757"/>
    <w:rsid w:val="006B30D4"/>
    <w:rsid w:val="006B30F1"/>
    <w:rsid w:val="006B33E4"/>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3CC8"/>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429"/>
    <w:rsid w:val="007228D0"/>
    <w:rsid w:val="00723C4A"/>
    <w:rsid w:val="00724C8A"/>
    <w:rsid w:val="00725E73"/>
    <w:rsid w:val="00726513"/>
    <w:rsid w:val="00726CF1"/>
    <w:rsid w:val="00726EBF"/>
    <w:rsid w:val="00726F69"/>
    <w:rsid w:val="0072712A"/>
    <w:rsid w:val="00730163"/>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3ABA"/>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D76"/>
    <w:rsid w:val="00897148"/>
    <w:rsid w:val="00897401"/>
    <w:rsid w:val="008A0078"/>
    <w:rsid w:val="008A091C"/>
    <w:rsid w:val="008A13E8"/>
    <w:rsid w:val="008A1790"/>
    <w:rsid w:val="008A1929"/>
    <w:rsid w:val="008A2E5F"/>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455"/>
    <w:rsid w:val="00927456"/>
    <w:rsid w:val="00927E80"/>
    <w:rsid w:val="0093024E"/>
    <w:rsid w:val="0093067D"/>
    <w:rsid w:val="00930B67"/>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810"/>
    <w:rsid w:val="00991BA0"/>
    <w:rsid w:val="00991BEF"/>
    <w:rsid w:val="009921CF"/>
    <w:rsid w:val="00992339"/>
    <w:rsid w:val="00992779"/>
    <w:rsid w:val="009943AB"/>
    <w:rsid w:val="00994DD4"/>
    <w:rsid w:val="009955C0"/>
    <w:rsid w:val="009961A8"/>
    <w:rsid w:val="009967C3"/>
    <w:rsid w:val="00996859"/>
    <w:rsid w:val="00997454"/>
    <w:rsid w:val="00997DD9"/>
    <w:rsid w:val="009A006E"/>
    <w:rsid w:val="009A0132"/>
    <w:rsid w:val="009A0935"/>
    <w:rsid w:val="009A13B5"/>
    <w:rsid w:val="009A187B"/>
    <w:rsid w:val="009A2B44"/>
    <w:rsid w:val="009A46AF"/>
    <w:rsid w:val="009A529D"/>
    <w:rsid w:val="009A5B70"/>
    <w:rsid w:val="009A5F39"/>
    <w:rsid w:val="009A6D43"/>
    <w:rsid w:val="009A780A"/>
    <w:rsid w:val="009B074F"/>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D4D"/>
    <w:rsid w:val="009E7EFF"/>
    <w:rsid w:val="009F02B5"/>
    <w:rsid w:val="009F0A04"/>
    <w:rsid w:val="009F0C09"/>
    <w:rsid w:val="009F166B"/>
    <w:rsid w:val="009F1B8B"/>
    <w:rsid w:val="009F2030"/>
    <w:rsid w:val="009F32FF"/>
    <w:rsid w:val="009F347C"/>
    <w:rsid w:val="009F3FB0"/>
    <w:rsid w:val="009F5D07"/>
    <w:rsid w:val="009F657D"/>
    <w:rsid w:val="009F68AC"/>
    <w:rsid w:val="009F70BE"/>
    <w:rsid w:val="009F7B4F"/>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0D3D"/>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BB5"/>
    <w:rsid w:val="00A34E5F"/>
    <w:rsid w:val="00A3560A"/>
    <w:rsid w:val="00A35874"/>
    <w:rsid w:val="00A35C18"/>
    <w:rsid w:val="00A36032"/>
    <w:rsid w:val="00A3654B"/>
    <w:rsid w:val="00A406EF"/>
    <w:rsid w:val="00A40AC6"/>
    <w:rsid w:val="00A412BA"/>
    <w:rsid w:val="00A418C7"/>
    <w:rsid w:val="00A42583"/>
    <w:rsid w:val="00A42AF8"/>
    <w:rsid w:val="00A43039"/>
    <w:rsid w:val="00A4368D"/>
    <w:rsid w:val="00A43E0A"/>
    <w:rsid w:val="00A43F30"/>
    <w:rsid w:val="00A44A94"/>
    <w:rsid w:val="00A44D6F"/>
    <w:rsid w:val="00A45952"/>
    <w:rsid w:val="00A45C5E"/>
    <w:rsid w:val="00A4715E"/>
    <w:rsid w:val="00A50ABD"/>
    <w:rsid w:val="00A50D35"/>
    <w:rsid w:val="00A51501"/>
    <w:rsid w:val="00A533D4"/>
    <w:rsid w:val="00A5350F"/>
    <w:rsid w:val="00A541C1"/>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A5FA9"/>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AA0"/>
    <w:rsid w:val="00B51C59"/>
    <w:rsid w:val="00B51E03"/>
    <w:rsid w:val="00B525A8"/>
    <w:rsid w:val="00B52646"/>
    <w:rsid w:val="00B52FCE"/>
    <w:rsid w:val="00B5310C"/>
    <w:rsid w:val="00B53F5C"/>
    <w:rsid w:val="00B54C19"/>
    <w:rsid w:val="00B5718B"/>
    <w:rsid w:val="00B57F45"/>
    <w:rsid w:val="00B65E05"/>
    <w:rsid w:val="00B6656B"/>
    <w:rsid w:val="00B66A30"/>
    <w:rsid w:val="00B66B80"/>
    <w:rsid w:val="00B67610"/>
    <w:rsid w:val="00B7087E"/>
    <w:rsid w:val="00B709BA"/>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A9F"/>
    <w:rsid w:val="00BA3BCD"/>
    <w:rsid w:val="00BA4EAC"/>
    <w:rsid w:val="00BA5791"/>
    <w:rsid w:val="00BA5B3A"/>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50C7"/>
    <w:rsid w:val="00C360ED"/>
    <w:rsid w:val="00C37ED7"/>
    <w:rsid w:val="00C40023"/>
    <w:rsid w:val="00C403F2"/>
    <w:rsid w:val="00C4106E"/>
    <w:rsid w:val="00C41827"/>
    <w:rsid w:val="00C42607"/>
    <w:rsid w:val="00C42F52"/>
    <w:rsid w:val="00C4322D"/>
    <w:rsid w:val="00C432F1"/>
    <w:rsid w:val="00C43B8F"/>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0E7"/>
    <w:rsid w:val="00C64DE9"/>
    <w:rsid w:val="00C655CF"/>
    <w:rsid w:val="00C65C99"/>
    <w:rsid w:val="00C66398"/>
    <w:rsid w:val="00C66402"/>
    <w:rsid w:val="00C66982"/>
    <w:rsid w:val="00C669AF"/>
    <w:rsid w:val="00C66B4C"/>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5A47"/>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1383"/>
    <w:rsid w:val="00CD1523"/>
    <w:rsid w:val="00CD156A"/>
    <w:rsid w:val="00CD2391"/>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7162"/>
    <w:rsid w:val="00CE7D7B"/>
    <w:rsid w:val="00CF0787"/>
    <w:rsid w:val="00CF0A1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DC6"/>
    <w:rsid w:val="00D12F44"/>
    <w:rsid w:val="00D134DC"/>
    <w:rsid w:val="00D13984"/>
    <w:rsid w:val="00D13D25"/>
    <w:rsid w:val="00D14305"/>
    <w:rsid w:val="00D14CAE"/>
    <w:rsid w:val="00D16B76"/>
    <w:rsid w:val="00D1734E"/>
    <w:rsid w:val="00D1758D"/>
    <w:rsid w:val="00D17D1E"/>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59F5"/>
    <w:rsid w:val="00DD5C58"/>
    <w:rsid w:val="00DE0178"/>
    <w:rsid w:val="00DE0316"/>
    <w:rsid w:val="00DE0C59"/>
    <w:rsid w:val="00DE2AE0"/>
    <w:rsid w:val="00DE2C05"/>
    <w:rsid w:val="00DE30EA"/>
    <w:rsid w:val="00DE3496"/>
    <w:rsid w:val="00DE5899"/>
    <w:rsid w:val="00DE6128"/>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1BE4"/>
    <w:rsid w:val="00E928DA"/>
    <w:rsid w:val="00E93AF7"/>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4729"/>
    <w:rsid w:val="00F150E1"/>
    <w:rsid w:val="00F15654"/>
    <w:rsid w:val="00F15928"/>
    <w:rsid w:val="00F1649D"/>
    <w:rsid w:val="00F16766"/>
    <w:rsid w:val="00F17A30"/>
    <w:rsid w:val="00F20161"/>
    <w:rsid w:val="00F21E21"/>
    <w:rsid w:val="00F23305"/>
    <w:rsid w:val="00F23991"/>
    <w:rsid w:val="00F23BF5"/>
    <w:rsid w:val="00F241FB"/>
    <w:rsid w:val="00F2559E"/>
    <w:rsid w:val="00F25A5B"/>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DC1"/>
    <w:rsid w:val="00F45F33"/>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E64"/>
    <w:rsid w:val="00F5293A"/>
    <w:rsid w:val="00F52A99"/>
    <w:rsid w:val="00F52D2F"/>
    <w:rsid w:val="00F52D3C"/>
    <w:rsid w:val="00F5321B"/>
    <w:rsid w:val="00F542C6"/>
    <w:rsid w:val="00F54606"/>
    <w:rsid w:val="00F54E4B"/>
    <w:rsid w:val="00F5544C"/>
    <w:rsid w:val="00F5575A"/>
    <w:rsid w:val="00F55914"/>
    <w:rsid w:val="00F55D63"/>
    <w:rsid w:val="00F561C6"/>
    <w:rsid w:val="00F6038E"/>
    <w:rsid w:val="00F611BE"/>
    <w:rsid w:val="00F6220D"/>
    <w:rsid w:val="00F62E3E"/>
    <w:rsid w:val="00F63020"/>
    <w:rsid w:val="00F64863"/>
    <w:rsid w:val="00F65621"/>
    <w:rsid w:val="00F65E29"/>
    <w:rsid w:val="00F6685C"/>
    <w:rsid w:val="00F66F44"/>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52416504">
      <w:bodyDiv w:val="1"/>
      <w:marLeft w:val="0"/>
      <w:marRight w:val="0"/>
      <w:marTop w:val="0"/>
      <w:marBottom w:val="0"/>
      <w:divBdr>
        <w:top w:val="none" w:sz="0" w:space="0" w:color="auto"/>
        <w:left w:val="none" w:sz="0" w:space="0" w:color="auto"/>
        <w:bottom w:val="none" w:sz="0" w:space="0" w:color="auto"/>
        <w:right w:val="none" w:sz="0" w:space="0" w:color="auto"/>
      </w:divBdr>
      <w:divsChild>
        <w:div w:id="543761104">
          <w:marLeft w:val="0"/>
          <w:marRight w:val="-12435"/>
          <w:marTop w:val="0"/>
          <w:marBottom w:val="0"/>
          <w:divBdr>
            <w:top w:val="none" w:sz="0" w:space="0" w:color="auto"/>
            <w:left w:val="none" w:sz="0" w:space="0" w:color="auto"/>
            <w:bottom w:val="none" w:sz="0" w:space="0" w:color="auto"/>
            <w:right w:val="none" w:sz="0" w:space="0" w:color="auto"/>
          </w:divBdr>
        </w:div>
        <w:div w:id="102771544">
          <w:marLeft w:val="0"/>
          <w:marRight w:val="-12435"/>
          <w:marTop w:val="0"/>
          <w:marBottom w:val="0"/>
          <w:divBdr>
            <w:top w:val="none" w:sz="0" w:space="0" w:color="auto"/>
            <w:left w:val="none" w:sz="0" w:space="0" w:color="auto"/>
            <w:bottom w:val="none" w:sz="0" w:space="0" w:color="auto"/>
            <w:right w:val="none" w:sz="0" w:space="0" w:color="auto"/>
          </w:divBdr>
        </w:div>
        <w:div w:id="1419718947">
          <w:marLeft w:val="0"/>
          <w:marRight w:val="-12435"/>
          <w:marTop w:val="0"/>
          <w:marBottom w:val="0"/>
          <w:divBdr>
            <w:top w:val="none" w:sz="0" w:space="0" w:color="auto"/>
            <w:left w:val="none" w:sz="0" w:space="0" w:color="auto"/>
            <w:bottom w:val="none" w:sz="0" w:space="0" w:color="auto"/>
            <w:right w:val="none" w:sz="0" w:space="0" w:color="auto"/>
          </w:divBdr>
        </w:div>
        <w:div w:id="287518776">
          <w:marLeft w:val="0"/>
          <w:marRight w:val="-12435"/>
          <w:marTop w:val="0"/>
          <w:marBottom w:val="0"/>
          <w:divBdr>
            <w:top w:val="none" w:sz="0" w:space="0" w:color="auto"/>
            <w:left w:val="none" w:sz="0" w:space="0" w:color="auto"/>
            <w:bottom w:val="none" w:sz="0" w:space="0" w:color="auto"/>
            <w:right w:val="none" w:sz="0" w:space="0" w:color="auto"/>
          </w:divBdr>
        </w:div>
        <w:div w:id="1842424148">
          <w:marLeft w:val="0"/>
          <w:marRight w:val="-12435"/>
          <w:marTop w:val="0"/>
          <w:marBottom w:val="0"/>
          <w:divBdr>
            <w:top w:val="none" w:sz="0" w:space="0" w:color="auto"/>
            <w:left w:val="none" w:sz="0" w:space="0" w:color="auto"/>
            <w:bottom w:val="none" w:sz="0" w:space="0" w:color="auto"/>
            <w:right w:val="none" w:sz="0" w:space="0" w:color="auto"/>
          </w:divBdr>
        </w:div>
        <w:div w:id="24332580">
          <w:marLeft w:val="0"/>
          <w:marRight w:val="-12435"/>
          <w:marTop w:val="0"/>
          <w:marBottom w:val="0"/>
          <w:divBdr>
            <w:top w:val="none" w:sz="0" w:space="0" w:color="auto"/>
            <w:left w:val="none" w:sz="0" w:space="0" w:color="auto"/>
            <w:bottom w:val="none" w:sz="0" w:space="0" w:color="auto"/>
            <w:right w:val="none" w:sz="0" w:space="0" w:color="auto"/>
          </w:divBdr>
        </w:div>
        <w:div w:id="172693020">
          <w:marLeft w:val="0"/>
          <w:marRight w:val="-12435"/>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A676-3F8A-4432-93C6-DE5A3672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38674</Words>
  <Characters>220442</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11</cp:revision>
  <dcterms:created xsi:type="dcterms:W3CDTF">2020-02-20T17:46:00Z</dcterms:created>
  <dcterms:modified xsi:type="dcterms:W3CDTF">2020-02-20T17:52:00Z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id="SK5btre5"/&gt;&lt;style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