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0913" w14:textId="477ECD80"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Cost-Related Non-adherence and Mortality in Patients with Diabetes and Cardiovascular Disease: A Multi-year Investigation Using the National Health Interview Survey</w:t>
      </w:r>
    </w:p>
    <w:p w14:paraId="669E8529" w14:textId="6A6751AE" w:rsidR="00CF0A17" w:rsidRDefault="00CF0A17" w:rsidP="00CF0A17">
      <w:pPr>
        <w:jc w:val="center"/>
        <w:rPr>
          <w:rFonts w:ascii="Times New Roman" w:hAnsi="Times New Roman" w:cs="Times New Roman"/>
          <w:sz w:val="24"/>
          <w:szCs w:val="24"/>
        </w:rPr>
      </w:pPr>
    </w:p>
    <w:p w14:paraId="18B56D9C" w14:textId="6366F75D"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Sarah Christine Van Alsten</w:t>
      </w:r>
    </w:p>
    <w:p w14:paraId="002C9E1B" w14:textId="41979900" w:rsidR="00CF0A17" w:rsidRDefault="00CF0A17" w:rsidP="00CF0A17">
      <w:pPr>
        <w:jc w:val="center"/>
        <w:rPr>
          <w:rFonts w:ascii="Times New Roman" w:hAnsi="Times New Roman" w:cs="Times New Roman"/>
          <w:sz w:val="24"/>
          <w:szCs w:val="24"/>
        </w:rPr>
      </w:pPr>
    </w:p>
    <w:p w14:paraId="6FD56073" w14:textId="33A167FB" w:rsidR="00C350C7" w:rsidRDefault="00210A91" w:rsidP="00CF0A17">
      <w:pPr>
        <w:jc w:val="center"/>
        <w:rPr>
          <w:rFonts w:ascii="Times New Roman" w:hAnsi="Times New Roman" w:cs="Times New Roman"/>
          <w:sz w:val="24"/>
          <w:szCs w:val="24"/>
        </w:rPr>
      </w:pPr>
      <w:r>
        <w:rPr>
          <w:rFonts w:ascii="Times New Roman" w:hAnsi="Times New Roman" w:cs="Times New Roman"/>
          <w:sz w:val="24"/>
          <w:szCs w:val="24"/>
        </w:rPr>
        <w:t>I, Sarah Van Alsten, have neither given nor received any unauthorized assistance</w:t>
      </w:r>
      <w:r w:rsidR="00C350C7">
        <w:rPr>
          <w:rFonts w:ascii="Times New Roman" w:hAnsi="Times New Roman" w:cs="Times New Roman"/>
          <w:sz w:val="24"/>
          <w:szCs w:val="24"/>
        </w:rPr>
        <w:t xml:space="preserve"> (as detailed in the Brown School student handbook)</w:t>
      </w:r>
      <w:r>
        <w:rPr>
          <w:rFonts w:ascii="Times New Roman" w:hAnsi="Times New Roman" w:cs="Times New Roman"/>
          <w:sz w:val="24"/>
          <w:szCs w:val="24"/>
        </w:rPr>
        <w:t xml:space="preserve"> </w:t>
      </w:r>
      <w:r w:rsidR="00C350C7">
        <w:rPr>
          <w:rFonts w:ascii="Times New Roman" w:hAnsi="Times New Roman" w:cs="Times New Roman"/>
          <w:sz w:val="24"/>
          <w:szCs w:val="24"/>
        </w:rPr>
        <w:t>in the completion of this work. I certify that the work is authentically my own.</w:t>
      </w:r>
    </w:p>
    <w:p w14:paraId="521ECD7E" w14:textId="77777777" w:rsidR="00C350C7" w:rsidRDefault="00C350C7">
      <w:pPr>
        <w:rPr>
          <w:rFonts w:ascii="Times New Roman" w:hAnsi="Times New Roman" w:cs="Times New Roman"/>
          <w:sz w:val="24"/>
          <w:szCs w:val="24"/>
        </w:rPr>
      </w:pPr>
      <w:r>
        <w:rPr>
          <w:rFonts w:ascii="Times New Roman" w:hAnsi="Times New Roman" w:cs="Times New Roman"/>
          <w:sz w:val="24"/>
          <w:szCs w:val="24"/>
        </w:rPr>
        <w:br w:type="page"/>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 AND OBJECTIVES</w:t>
      </w:r>
    </w:p>
    <w:p w14:paraId="38583EA4" w14:textId="1EA252C1"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46CFDBAC"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5FB1CBE9" w14:textId="77777777" w:rsidR="00122C9A" w:rsidRDefault="007677D9" w:rsidP="00122C9A">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w:t>
      </w:r>
      <w:r w:rsidR="006D252E">
        <w:rPr>
          <w:rFonts w:ascii="Times New Roman" w:hAnsi="Times New Roman" w:cs="Times New Roman"/>
          <w:sz w:val="24"/>
          <w:szCs w:val="24"/>
        </w:rPr>
        <w:lastRenderedPageBreak/>
        <w:t xml:space="preserve">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 xml:space="preserve">associated with an increase in U.S. healthcare spending of $1,000 to $8,000 per patient, primarily due to a greater frequency of inpatient hospitalizations and emergency department </w:t>
      </w:r>
      <w:commentRangeStart w:id="0"/>
      <w:r w:rsidR="009D47F9">
        <w:rPr>
          <w:rFonts w:ascii="Times New Roman" w:hAnsi="Times New Roman" w:cs="Times New Roman"/>
          <w:sz w:val="24"/>
          <w:szCs w:val="24"/>
        </w:rPr>
        <w:t>visits</w:t>
      </w:r>
      <w:commentRangeEnd w:id="0"/>
      <w:r w:rsidR="00FE2E89">
        <w:rPr>
          <w:rStyle w:val="CommentReference"/>
        </w:rPr>
        <w:commentReference w:id="0"/>
      </w:r>
      <w:r w:rsidR="009D47F9">
        <w:rPr>
          <w:rFonts w:ascii="Times New Roman" w:hAnsi="Times New Roman" w:cs="Times New Roman"/>
          <w:sz w:val="24"/>
          <w:szCs w:val="24"/>
        </w:rPr>
        <w:t>.</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r w:rsidR="00122C9A">
        <w:rPr>
          <w:rFonts w:ascii="Times New Roman" w:hAnsi="Times New Roman" w:cs="Times New Roman"/>
          <w:sz w:val="24"/>
          <w:szCs w:val="24"/>
        </w:rPr>
        <w:t xml:space="preserve"> </w:t>
      </w:r>
    </w:p>
    <w:p w14:paraId="1EF951FA" w14:textId="37272C68" w:rsidR="00CE0EE3" w:rsidRDefault="00122C9A" w:rsidP="00CD241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Disparities in rates of CRN are also observed by rac</w:t>
      </w:r>
      <w:r w:rsidR="00994490">
        <w:rPr>
          <w:rFonts w:ascii="Times New Roman" w:hAnsi="Times New Roman" w:cs="Times New Roman"/>
          <w:sz w:val="24"/>
          <w:szCs w:val="24"/>
        </w:rPr>
        <w:t>ial and ethnic background</w:t>
      </w:r>
      <w:r>
        <w:rPr>
          <w:rFonts w:ascii="Times New Roman" w:hAnsi="Times New Roman" w:cs="Times New Roman"/>
          <w:sz w:val="24"/>
          <w:szCs w:val="24"/>
        </w:rPr>
        <w:t xml:space="preserve">. </w:t>
      </w:r>
      <w:r w:rsidR="00380619">
        <w:rPr>
          <w:rFonts w:ascii="Times New Roman" w:hAnsi="Times New Roman" w:cs="Times New Roman"/>
          <w:sz w:val="24"/>
          <w:szCs w:val="24"/>
        </w:rPr>
        <w:t xml:space="preserve">Prior to the closing of the Medicare Part D coverage gap, </w:t>
      </w:r>
      <w:r w:rsidR="006D57EC">
        <w:rPr>
          <w:rFonts w:ascii="Times New Roman" w:hAnsi="Times New Roman" w:cs="Times New Roman"/>
          <w:sz w:val="24"/>
          <w:szCs w:val="24"/>
        </w:rPr>
        <w:t>Black</w:t>
      </w:r>
      <w:r w:rsidR="00380619">
        <w:rPr>
          <w:rFonts w:ascii="Times New Roman" w:hAnsi="Times New Roman" w:cs="Times New Roman"/>
          <w:sz w:val="24"/>
          <w:szCs w:val="24"/>
        </w:rPr>
        <w:t xml:space="preserve"> and Hispanic older adults </w:t>
      </w:r>
      <w:r w:rsidR="0060089D">
        <w:rPr>
          <w:rFonts w:ascii="Times New Roman" w:hAnsi="Times New Roman" w:cs="Times New Roman"/>
          <w:sz w:val="24"/>
          <w:szCs w:val="24"/>
        </w:rPr>
        <w:t xml:space="preserve">had </w:t>
      </w:r>
      <w:r w:rsidR="00380619">
        <w:rPr>
          <w:rFonts w:ascii="Times New Roman" w:hAnsi="Times New Roman" w:cs="Times New Roman"/>
          <w:sz w:val="24"/>
          <w:szCs w:val="24"/>
        </w:rPr>
        <w:t xml:space="preserve">30-40% </w:t>
      </w:r>
      <w:r w:rsidR="0060089D">
        <w:rPr>
          <w:rFonts w:ascii="Times New Roman" w:hAnsi="Times New Roman" w:cs="Times New Roman"/>
          <w:sz w:val="24"/>
          <w:szCs w:val="24"/>
        </w:rPr>
        <w:t>higher odds of reporting</w:t>
      </w:r>
      <w:r w:rsidR="00380619">
        <w:rPr>
          <w:rFonts w:ascii="Times New Roman" w:hAnsi="Times New Roman" w:cs="Times New Roman"/>
          <w:sz w:val="24"/>
          <w:szCs w:val="24"/>
        </w:rPr>
        <w:t xml:space="preserve"> at least one form of CRN</w:t>
      </w:r>
      <w:r w:rsidR="006A3A5B">
        <w:rPr>
          <w:rFonts w:ascii="Times New Roman" w:hAnsi="Times New Roman" w:cs="Times New Roman"/>
          <w:sz w:val="24"/>
          <w:szCs w:val="24"/>
        </w:rPr>
        <w:t xml:space="preserve"> than White older adults</w:t>
      </w:r>
      <w:r w:rsidR="00380619">
        <w:rPr>
          <w:rFonts w:ascii="Times New Roman" w:hAnsi="Times New Roman" w:cs="Times New Roman"/>
          <w:sz w:val="24"/>
          <w:szCs w:val="24"/>
        </w:rPr>
        <w:t>, with nearly one out of four</w:t>
      </w:r>
      <w:r w:rsidR="006D57EC">
        <w:rPr>
          <w:rFonts w:ascii="Times New Roman" w:hAnsi="Times New Roman" w:cs="Times New Roman"/>
          <w:sz w:val="24"/>
          <w:szCs w:val="24"/>
        </w:rPr>
        <w:t xml:space="preserve"> Black Medicare enrollees limiting purchases of other basic needs (e.g. groceries and utilities) to be able to afford their prescriptions.</w:t>
      </w:r>
      <w:r w:rsidR="006D57EC">
        <w:rPr>
          <w:rFonts w:ascii="Times New Roman" w:hAnsi="Times New Roman" w:cs="Times New Roman"/>
          <w:sz w:val="24"/>
          <w:szCs w:val="24"/>
        </w:rPr>
        <w:fldChar w:fldCharType="begin"/>
      </w:r>
      <w:r w:rsidR="006D57EC">
        <w:rPr>
          <w:rFonts w:ascii="Times New Roman" w:hAnsi="Times New Roman" w:cs="Times New Roman"/>
          <w:sz w:val="24"/>
          <w:szCs w:val="24"/>
        </w:rPr>
        <w:instrText xml:space="preserve"> ADDIN ZOTERO_ITEM CSL_CITATION {"citationID":"qZbVezWh","properties":{"formattedCitation":"\\super 22\\nosupersub{}","plainCitation":"22","noteIndex":0},"citationItems":[{"id":1438,"uris":["http://zotero.org/users/5917738/items/JJUMG2V9"],"uri":["http://zotero.org/users/5917738/items/JJUMG2V9"],"itemData":{"id":1438,"type":"article-journal","abstract":"BACKGROUND\nNonadherence to prescription drugs results in poorer control of chronic health conditions. Because of significant racial/ethnic disparities in the control of many chronic diseases, differences in the rates of and reasons for medication nonadherence should be studied.\n\nOBJECTIVES\n1) To determine whether rates of and reasons for medication nonadherence vary by race/ethnicity among seniors; and 2) to evaluate whether any association between race/ethnicity and nonadherence is moderated by prescription coverage and income.\n\nDESIGN/SETTING\nCross-sectional national survey, 2003.\n\nPATIENTS\nMedicare beneficiaries ≥65 years of age, who reported their race/ethnicity as white, black, or Hispanic, and who reported taking at least 1 medication (n = 14,829).\n\nMAIN OUTCOME MEASURES\nSelf-reported nonadherence (caused by cost, self-assessed need, or experiences/side effects) during the last 12 months.\n\nRESULTS\nBlacks and Hispanics were more likely than whites to report cost-related nonadherence (35.1%, 36.5%, and 26.7%, respectively, p &lt; .001). There were no racial/ethnic differences in nonadherence caused by experiences or self-assessed need. In analyses controlling for age, gender, number of chronic conditions and medications, education, and presence and type of prescription drug coverage, blacks (odds ratio [OR] 1.38; 95% confidence interval [CI] 1.08–1.78) and Hispanics (1.35; 1.02–1.78) remained more likely to report cost-related nonadherence compared to whites. When income was added to the model, the relationship between cost-related nonadherence and race/ethnicity was no longer statistically significant (p = .12).\n\nCONCLUSIONS\nRacial/ethnic disparities in medication nonadherence exist among seniors, and are related to cost concerns, and not to differences in experiences or self-assessed need. Considering the importance of medication adherence in controlling chronic diseases, affordability of prescriptions should be explicitly addressed to reduce racial/ethnic disparities.","container-title":"Journal of General Internal Medicine","DOI":"10.1007/s11606-007-0385-z","ISSN":"0884-8734","issue":"11","journalAbbreviation":"J Gen Intern Med","note":"PMID: 17882499\nPMCID: PMC2219813","page":"1572-1578","source":"PubMed Central","title":"Race/Ethnicity and Nonadherence to Prescription Medications Among Seniors: Results of a National Study","title-short":"Race/Ethnicity and Nonadherence to Prescription Medications Among Seniors","volume":"22","author":[{"family":"Gellad","given":"Walid F."},{"family":"Haas","given":"Jennifer S."},{"family":"Safran","given":"Dana Gelb"}],"issued":{"date-parts":[["2007",11]]}}}],"schema":"https://github.com/citation-style-language/schema/raw/master/csl-citation.json"} </w:instrText>
      </w:r>
      <w:r w:rsidR="006D57EC">
        <w:rPr>
          <w:rFonts w:ascii="Times New Roman" w:hAnsi="Times New Roman" w:cs="Times New Roman"/>
          <w:sz w:val="24"/>
          <w:szCs w:val="24"/>
        </w:rPr>
        <w:fldChar w:fldCharType="separate"/>
      </w:r>
      <w:r w:rsidR="006D57EC" w:rsidRPr="006D57EC">
        <w:rPr>
          <w:rFonts w:ascii="Times New Roman" w:hAnsi="Times New Roman" w:cs="Times New Roman"/>
          <w:sz w:val="24"/>
          <w:szCs w:val="24"/>
          <w:vertAlign w:val="superscript"/>
        </w:rPr>
        <w:t>22</w:t>
      </w:r>
      <w:r w:rsidR="006D57EC">
        <w:rPr>
          <w:rFonts w:ascii="Times New Roman" w:hAnsi="Times New Roman" w:cs="Times New Roman"/>
          <w:sz w:val="24"/>
          <w:szCs w:val="24"/>
        </w:rPr>
        <w:fldChar w:fldCharType="end"/>
      </w:r>
      <w:r w:rsidR="006D57EC">
        <w:rPr>
          <w:rFonts w:ascii="Times New Roman" w:hAnsi="Times New Roman" w:cs="Times New Roman"/>
          <w:sz w:val="24"/>
          <w:szCs w:val="24"/>
        </w:rPr>
        <w:t xml:space="preserve"> </w:t>
      </w:r>
      <w:r w:rsidR="004D3668">
        <w:rPr>
          <w:rFonts w:ascii="Times New Roman" w:hAnsi="Times New Roman" w:cs="Times New Roman"/>
          <w:sz w:val="24"/>
          <w:szCs w:val="24"/>
        </w:rPr>
        <w:t>Among</w:t>
      </w:r>
      <w:r w:rsidR="00CD2417">
        <w:rPr>
          <w:rFonts w:ascii="Times New Roman" w:hAnsi="Times New Roman" w:cs="Times New Roman"/>
          <w:sz w:val="24"/>
          <w:szCs w:val="24"/>
        </w:rPr>
        <w:t xml:space="preserve"> Black</w:t>
      </w:r>
      <w:r w:rsidR="00612107">
        <w:rPr>
          <w:rFonts w:ascii="Times New Roman" w:hAnsi="Times New Roman" w:cs="Times New Roman"/>
          <w:sz w:val="24"/>
          <w:szCs w:val="24"/>
        </w:rPr>
        <w:t xml:space="preserve"> individuals</w:t>
      </w:r>
      <w:r w:rsidR="00CD2417">
        <w:rPr>
          <w:rFonts w:ascii="Times New Roman" w:hAnsi="Times New Roman" w:cs="Times New Roman"/>
          <w:sz w:val="24"/>
          <w:szCs w:val="24"/>
        </w:rPr>
        <w:t xml:space="preserve"> but not Hispanic</w:t>
      </w:r>
      <w:r w:rsidR="00612107">
        <w:rPr>
          <w:rFonts w:ascii="Times New Roman" w:hAnsi="Times New Roman" w:cs="Times New Roman"/>
          <w:sz w:val="24"/>
          <w:szCs w:val="24"/>
        </w:rPr>
        <w:t xml:space="preserve"> individual</w:t>
      </w:r>
      <w:r w:rsidR="00CD2417">
        <w:rPr>
          <w:rFonts w:ascii="Times New Roman" w:hAnsi="Times New Roman" w:cs="Times New Roman"/>
          <w:sz w:val="24"/>
          <w:szCs w:val="24"/>
        </w:rPr>
        <w:t xml:space="preserve">s, differences persist after adjustment for income, indicating that other factors such as </w:t>
      </w:r>
      <w:r w:rsidR="006623B4">
        <w:rPr>
          <w:rFonts w:ascii="Times New Roman" w:hAnsi="Times New Roman" w:cs="Times New Roman"/>
          <w:sz w:val="24"/>
          <w:szCs w:val="24"/>
        </w:rPr>
        <w:t>household</w:t>
      </w:r>
      <w:r w:rsidR="00CD2417">
        <w:rPr>
          <w:rFonts w:ascii="Times New Roman" w:hAnsi="Times New Roman" w:cs="Times New Roman"/>
          <w:sz w:val="24"/>
          <w:szCs w:val="24"/>
        </w:rPr>
        <w:t xml:space="preserve"> wealth or accessibility of lower deductible prescription coverage plans may contribute to the high rates of CRN </w:t>
      </w:r>
      <w:r w:rsidR="00994490">
        <w:rPr>
          <w:rFonts w:ascii="Times New Roman" w:hAnsi="Times New Roman" w:cs="Times New Roman"/>
          <w:sz w:val="24"/>
          <w:szCs w:val="24"/>
        </w:rPr>
        <w:t>in certain minority groups.</w:t>
      </w:r>
      <w:r w:rsidR="00B30132">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{"citationID":"drNlNbyj","properties":{"formattedCitation":"\\super 23,24\\nosupersub{}","plainCitation":"23,24","noteIndex":0},"citationItems":[{"id":1447,"uris":["http://zotero.org/users/5917738/items/7L6XQJ8K"],"uri":["http://zotero.org/users/5917738/items/7L6XQJ8K"],"itemData":{"id":1447,"type":"article-journal","abstract":"Purpose\nNonadherence to adjuvant hormonal therapy is common and is associated with increased prescription copayment amount and black race. Studies suggest that household wealth may partly explain racial disparities. We investigated the impact of net worth on disparities in adherence and discontinuation.\n\nPatients and Methods\nWe used the OptumInsight insurance claims database to identify women older than age 50 years diagnosed with early breast cancer, from January 1, 2007, to December 31, 2011, who were using hormonal therapy. Nonadherence was defined as a medication possession ratio of ≤ 80% of eligible days over a 2-year period. We evaluated the association of demographic and clinical characteristics, annual household income, household net worth (&lt; $250,000, $250,000 to $750,000, or &gt; $750,000), insurance type, and copayments (&lt; $10, $10 to $20, or &gt; $20) with adherence to hormonal therapy. Logistic regression analyses were conducted by sequentially adding sociodemographic and financial variables to race.\n\nResults\nWe identified 10,302 patients; 2,473 (24%) were nonadherent. In the unadjusted analyses, adherence was negatively associated with black race (odds ratio [OR], 0.76; P &lt; .001), advanced age, comorbidity, and Medicare insurance. Adherence was positively associated with medium (OR, 1.33; P &lt; .001) and high (OR, 1.66; P &lt; .001) compared with low net worth. The negative association of black race with adherence (OR, 0.76) was reduced by adding net worth to the model (OR, 0.84; P &lt; .05). Correcting for other variables had a minimal impact on the association between race and adherence (OR, 0.87; P = .08). The interaction between net worth and race was significant (P &lt; .01).\n\nConclusion\nWe found that net worth partially explains racial disparities in hormonal therapy adherence. These results suggest that economic factors may contribute to disparities in the quality of care.","container-title":"Journal of Clinical Oncology","DOI":"10.1200/JCO.2014.58.3062","ISSN":"0732-183X","issue":"9","journalAbbreviation":"J Clin Oncol","note":"PMID: 25691670\nPMCID: PMC4356713","page":"1053-1059","source":"PubMed Central","title":"Household Net Worth, Racial Disparities, and Hormonal Therapy Adherence Among Women With Early-Stage Breast Cancer","volume":"33","author":[{"family":"Hershman","given":"Dawn L."},{"family":"Tsui","given":"Jennifer"},{"family":"Wright","given":"Jason D."},{"family":"Coromilas","given":"Ellie J."},{"family":"Tsai","given":"Wei Yann"},{"family":"Neugut","given":"Alfred I."}],"issued":{"date-parts":[["2015",3,20]]}}},{"id":1450,"uris":["http://zotero.org/users/5917738/items/P7K9MIRC"],"uri":["http://zotero.org/users/5917738/items/P7K9MIRC"],"itemData":{"id":1450,"type":"article-journal","abstract":"Background:High deductible health plans (HDHP) are associated with high levels of patient cost-sharing and are becoming increasingly used in the United Status as a means of reducing healthcare utilization and spending. Our objective is to determine whether HDHP enrollment is associated with a change in adherence to evidence-based medications to treat cardiovascular risk factors and whether such changes vary based on race/ethnicity or socioeconomic status.Methods and Results:We conducted a retrospective cohort study using an interrupted time series with concurrent control group design among beneficiaries of Aetna—a national commercial insurer. We included 14 866 patients who filled prescriptions for medications to treat hypertension, high cholesterol, or diabetes mellitus between 2009 and 2014 and who switched from a traditional plan into an HDHP and 14 866 controls who did not switch to an HDHP matched based on calendar time, medication class, race/ethnicity, socioeconomic status, and propensity score. We were specifically interested in evaluating 4 prespecified subgroups based on race/ethnicity (white versus nonwhite) and socioeconomic status (higher versus lower). The main outcome was medication adherence as measured by proportion of days covered. The overall cohort had an average age of 53 years, and 44% were women. Baseline adherence was the lowest in the nonwhite patient group. Switching to an HDHP was associated with a decrease in the level of adherence of 5 percentage points across all 4 subgroups (change in level, −5.0%; 95% CI, −5.9% to −4.0%; P&lt;0.0001).Conclusions:HDHP enrollment was associated with a reduction in adherence to medications to treat cardiovascular risk factors. The magnitude of this effect did not vary based on race/ethnicity or socioeconomic status. Because racial/ethnic minorities have lower rates of medication adherence, future studies should evaluate whether HDHP-associated changes in adherence have greater clinical consequences for these patients.","container-title":"Circulation: Cardiovascular Quality and Outcomes","DOI":"10.1161/CIRCOUTCOMES.118.004632","issue":"11","journalAbbreviation":"Circulation: Cardiovascular Quality and Outcomes","note":"publisher: American Heart Association","page":"e004632","source":"ahajournals.org (Atypon)","title":"Impact of High Deductible Health Plans on Cardiovascular Medication Adherence and Health Disparities","volume":"11","author":[{"literal":"Lewey Jennifer"},{"literal":"Gagne Joshua J."},{"literal":"Franklin Jessica"},{"literal":"Lauffenburger Julie C."},{"literal":"Brill Gregory"},{"literal":"Choudhry Niteesh K."}],"issued":{"date-parts":[["2018",11,1]]}}}],"schema":"https://github.com/citation-style-language/schema/raw/master/csl-citation.json"} </w:instrText>
      </w:r>
      <w:r w:rsidR="00B30132">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23,24</w:t>
      </w:r>
      <w:r w:rsidR="00B30132">
        <w:rPr>
          <w:rFonts w:ascii="Times New Roman" w:hAnsi="Times New Roman" w:cs="Times New Roman"/>
          <w:sz w:val="24"/>
          <w:szCs w:val="24"/>
        </w:rPr>
        <w:fldChar w:fldCharType="end"/>
      </w:r>
      <w:r w:rsidR="00CD2417">
        <w:rPr>
          <w:rFonts w:ascii="Times New Roman" w:hAnsi="Times New Roman" w:cs="Times New Roman"/>
          <w:sz w:val="24"/>
          <w:szCs w:val="24"/>
        </w:rPr>
        <w:t xml:space="preserve"> </w:t>
      </w:r>
      <w:r w:rsidR="00994490">
        <w:rPr>
          <w:rFonts w:ascii="Times New Roman" w:hAnsi="Times New Roman" w:cs="Times New Roman"/>
          <w:sz w:val="24"/>
          <w:szCs w:val="24"/>
        </w:rPr>
        <w:t>C</w:t>
      </w:r>
      <w:r w:rsidR="00730B00">
        <w:rPr>
          <w:rFonts w:ascii="Times New Roman" w:hAnsi="Times New Roman" w:cs="Times New Roman"/>
          <w:sz w:val="24"/>
          <w:szCs w:val="24"/>
        </w:rPr>
        <w:t xml:space="preserve">hanges to the Medicare Part D prescription benefit have had mixed effects, reducing disparities in </w:t>
      </w:r>
      <w:r w:rsidR="00F26001">
        <w:rPr>
          <w:rFonts w:ascii="Times New Roman" w:hAnsi="Times New Roman" w:cs="Times New Roman"/>
          <w:sz w:val="24"/>
          <w:szCs w:val="24"/>
        </w:rPr>
        <w:t>total prescription expenditures</w:t>
      </w:r>
      <w:r w:rsidR="00730B00">
        <w:rPr>
          <w:rFonts w:ascii="Times New Roman" w:hAnsi="Times New Roman" w:cs="Times New Roman"/>
          <w:sz w:val="24"/>
          <w:szCs w:val="24"/>
        </w:rPr>
        <w:t xml:space="preserve"> for Hispanic enrollees but increasing disparities between Blacks and Whites</w:t>
      </w:r>
      <w:r w:rsidR="00F26001">
        <w:rPr>
          <w:rFonts w:ascii="Times New Roman" w:hAnsi="Times New Roman" w:cs="Times New Roman"/>
          <w:sz w:val="24"/>
          <w:szCs w:val="24"/>
        </w:rPr>
        <w:t>.</w:t>
      </w:r>
      <w:r w:rsidR="00730B00">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{"citationID":"S8kVZBtD","properties":{"formattedCitation":"\\super 25\\nosupersub{}","plainCitation":"25","noteIndex":0},"citationItems":[{"id":1211,"uris":["http://zotero.org/users/5917738/items/AUJNUYBM"],"uri":["http://zotero.org/users/5917738/items/AUJNUYBM"],"itemData":{"id":1211,"type":"article-journal","abstract":"Objective To evaluate whether Medicare Part D has reduced racial/ethnic disparities in prescription drug utilization and spending. Data Nationally representative data on white, African American, and Hispanic Medicare seniors from the 2002–2009 Medical Expenditure Panel Survey are analyzed. Five measures are examined: filling any prescriptions during the year, the number of prescriptions filled, total annual prescription spending, annual out-of-pocket prescription spending, and average copay level. Study Design We apply the Institute of Medicine's definition of a racial/ethnic disparity and adopt a difference-in-difference-in-differences (DDD) estimator using a multivariate regression framework. The treatment group consists of Medicare seniors, the comparison group, adults without Medicare aged 55–63 years. Principal Findings Difference-in-difference-in-differences estimates suggest that for African Americans Part D increased the disparity in annual spending on prescription drugs by $258 (p = .011), yet had no effect on other measures of prescription drug disparities. For Hispanics, DDD estimates suggest that the program reduced the disparities in annual number of prescriptions filled, annual total and out-of-pocket spending on prescription drugs by 2.9 (p = .077), $282 (p = .019) and $143 (p &lt; .001), respectively. Conclusion Medicare Part D had mixed effects. Although it reduced Hispanic/white disparities related to prescription drugs among seniors, it increased the African American/white disparity in total annual spending on prescription drugs.","container-title":"Health Services Research","DOI":"10.1111/1475-6773.12099","ISSN":"1475-6773","issue":"2","language":"en","page":"502-525","source":"Wiley Online Library","title":"Has Medicare Part D Reduced Racial/Ethnic Disparities in Prescription Drug Use and Spending?","volume":"49","author":[{"family":"Mahmoudi","given":"Elham"},{"family":"Jensen","given":"Gail A."}],"issued":{"date-parts":[["2014"]]}}}],"schema":"https://github.com/citation-style-language/schema/raw/master/csl-citation.json"} </w:instrText>
      </w:r>
      <w:r w:rsidR="00730B00">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25</w:t>
      </w:r>
      <w:r w:rsidR="00730B00">
        <w:rPr>
          <w:rFonts w:ascii="Times New Roman" w:hAnsi="Times New Roman" w:cs="Times New Roman"/>
          <w:sz w:val="24"/>
          <w:szCs w:val="24"/>
        </w:rPr>
        <w:fldChar w:fldCharType="end"/>
      </w:r>
      <w:r w:rsidR="00B65F67">
        <w:rPr>
          <w:rFonts w:ascii="Times New Roman" w:hAnsi="Times New Roman" w:cs="Times New Roman"/>
          <w:sz w:val="24"/>
          <w:szCs w:val="24"/>
        </w:rPr>
        <w:t xml:space="preserve"> </w:t>
      </w:r>
      <w:r w:rsidR="009751DD">
        <w:rPr>
          <w:rFonts w:ascii="Times New Roman" w:hAnsi="Times New Roman" w:cs="Times New Roman"/>
          <w:sz w:val="24"/>
          <w:szCs w:val="24"/>
        </w:rPr>
        <w:t xml:space="preserve"> </w:t>
      </w:r>
      <w:r w:rsidR="00F26001">
        <w:rPr>
          <w:rFonts w:ascii="Times New Roman" w:hAnsi="Times New Roman" w:cs="Times New Roman"/>
          <w:sz w:val="24"/>
          <w:szCs w:val="24"/>
        </w:rPr>
        <w:t>Altogether, this indicates that</w:t>
      </w:r>
      <w:r w:rsidR="00EB442D">
        <w:rPr>
          <w:rFonts w:ascii="Times New Roman" w:hAnsi="Times New Roman" w:cs="Times New Roman"/>
          <w:sz w:val="24"/>
          <w:szCs w:val="24"/>
        </w:rPr>
        <w:t xml:space="preserve"> </w:t>
      </w:r>
      <w:r w:rsidR="00F55EDD">
        <w:rPr>
          <w:rFonts w:ascii="Times New Roman" w:hAnsi="Times New Roman" w:cs="Times New Roman"/>
          <w:sz w:val="24"/>
          <w:szCs w:val="24"/>
        </w:rPr>
        <w:t>although policy changes have</w:t>
      </w:r>
      <w:r w:rsidR="001F0AB2">
        <w:rPr>
          <w:rFonts w:ascii="Times New Roman" w:hAnsi="Times New Roman" w:cs="Times New Roman"/>
          <w:sz w:val="24"/>
          <w:szCs w:val="24"/>
        </w:rPr>
        <w:t xml:space="preserve"> helped increase medical accessibility for some</w:t>
      </w:r>
      <w:r w:rsidR="00F26001">
        <w:rPr>
          <w:rFonts w:ascii="Times New Roman" w:hAnsi="Times New Roman" w:cs="Times New Roman"/>
          <w:sz w:val="24"/>
          <w:szCs w:val="24"/>
        </w:rPr>
        <w:t xml:space="preserve"> marginalized groups</w:t>
      </w:r>
      <w:r w:rsidR="001F0AB2">
        <w:rPr>
          <w:rFonts w:ascii="Times New Roman" w:hAnsi="Times New Roman" w:cs="Times New Roman"/>
          <w:sz w:val="24"/>
          <w:szCs w:val="24"/>
        </w:rPr>
        <w:t xml:space="preserve">, </w:t>
      </w:r>
      <w:r w:rsidR="00CE6E79">
        <w:rPr>
          <w:rFonts w:ascii="Times New Roman" w:hAnsi="Times New Roman" w:cs="Times New Roman"/>
          <w:sz w:val="24"/>
          <w:szCs w:val="24"/>
        </w:rPr>
        <w:t xml:space="preserve">others </w:t>
      </w:r>
      <w:r w:rsidR="004370D4">
        <w:rPr>
          <w:rFonts w:ascii="Times New Roman" w:hAnsi="Times New Roman" w:cs="Times New Roman"/>
          <w:sz w:val="24"/>
          <w:szCs w:val="24"/>
        </w:rPr>
        <w:t xml:space="preserve">still </w:t>
      </w:r>
      <w:r w:rsidR="00F26001">
        <w:rPr>
          <w:rFonts w:ascii="Times New Roman" w:hAnsi="Times New Roman" w:cs="Times New Roman"/>
          <w:sz w:val="24"/>
          <w:szCs w:val="24"/>
        </w:rPr>
        <w:t xml:space="preserve">have greater difficulty </w:t>
      </w:r>
      <w:r w:rsidR="002766D7">
        <w:rPr>
          <w:rFonts w:ascii="Times New Roman" w:hAnsi="Times New Roman" w:cs="Times New Roman"/>
          <w:sz w:val="24"/>
          <w:szCs w:val="24"/>
        </w:rPr>
        <w:t>affording essential medications and</w:t>
      </w:r>
      <w:r w:rsidR="009F48C4">
        <w:rPr>
          <w:rFonts w:ascii="Times New Roman" w:hAnsi="Times New Roman" w:cs="Times New Roman"/>
          <w:sz w:val="24"/>
          <w:szCs w:val="24"/>
        </w:rPr>
        <w:t xml:space="preserve">, by extension, </w:t>
      </w:r>
      <w:r w:rsidR="00AB7FB0">
        <w:rPr>
          <w:rFonts w:ascii="Times New Roman" w:hAnsi="Times New Roman" w:cs="Times New Roman"/>
          <w:sz w:val="24"/>
          <w:szCs w:val="24"/>
        </w:rPr>
        <w:t xml:space="preserve">being able to </w:t>
      </w:r>
      <w:r w:rsidR="00EB442D">
        <w:rPr>
          <w:rFonts w:ascii="Times New Roman" w:hAnsi="Times New Roman" w:cs="Times New Roman"/>
          <w:sz w:val="24"/>
          <w:szCs w:val="24"/>
        </w:rPr>
        <w:t>follow clinical recommendations for management of chronic illness.</w:t>
      </w:r>
      <w:r w:rsidR="004370D4">
        <w:rPr>
          <w:rFonts w:ascii="Times New Roman" w:hAnsi="Times New Roman" w:cs="Times New Roman"/>
          <w:sz w:val="24"/>
          <w:szCs w:val="24"/>
        </w:rPr>
        <w:t xml:space="preserve"> </w:t>
      </w:r>
    </w:p>
    <w:p w14:paraId="17970A0C" w14:textId="73EB1772"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prevalence of CRN among patients with chronic conditions is</w:t>
      </w:r>
      <w:r w:rsidR="005D6F21">
        <w:rPr>
          <w:rFonts w:ascii="Times New Roman" w:hAnsi="Times New Roman" w:cs="Times New Roman"/>
          <w:sz w:val="24"/>
          <w:szCs w:val="24"/>
        </w:rPr>
        <w:t xml:space="preserve"> also</w:t>
      </w:r>
      <w:r w:rsidR="00C11E5D">
        <w:rPr>
          <w:rFonts w:ascii="Times New Roman" w:hAnsi="Times New Roman" w:cs="Times New Roman"/>
          <w:sz w:val="24"/>
          <w:szCs w:val="24"/>
        </w:rPr>
        <w:t xml:space="preserve">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{"citationID":"lbBlJzNg","properties":{"formattedCitation":"\\super 26\\nosupersub{}","plainCitation":"26","noteIndex":0},"citationItems":[{"id":678,"uris":["http://zotero.org/users/5917738/items/NFRSXZTV"],"uri":["http://zotero.org/users/5917738/items/NFRSXZTV"],"itemData":{"id":678,"type":"article-journal","abstract":"To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26</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{"citationID":"P5fUpEZL","properties":{"formattedCitation":"\\super 26\\nosupersub{}","plainCitation":"26","noteIndex":0},"citationItems":[{"id":678,"uris":["http://zotero.org/users/5917738/items/NFRSXZTV"],"uri":["http://zotero.org/users/5917738/items/NFRSXZTV"],"itemData":{"id":678,"type":"article-journal","abstract":"To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26</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w:t>
      </w:r>
      <w:r w:rsidR="00760456">
        <w:rPr>
          <w:rFonts w:ascii="Times New Roman" w:hAnsi="Times New Roman" w:cs="Times New Roman"/>
          <w:sz w:val="24"/>
          <w:szCs w:val="24"/>
        </w:rPr>
        <w:lastRenderedPageBreak/>
        <w:t>glucose testing equipment to manage costs.</w:t>
      </w:r>
      <w:r w:rsidR="00760456">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{"citationID":"TB9UqZDp","properties":{"formattedCitation":"\\super 27(p1)\\nosupersub{}","plainCitation":"27(p1)","noteIndex":0},"citationItems":[{"id":619,"uris":["http://zotero.org/users/5917738/items/5HKMVCT4"],"uri":["http://zotero.org/users/5917738/items/5HKMVCT4"],"itemData":{"id":619,"type":"report","page":"1-16","title":"Costs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27(p1)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Herkert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{"citationID":"guqbvyJ7","properties":{"formattedCitation":"\\super 27,28\\nosupersub{}","plainCitation":"27,28","noteIndex":0},"citationItems":[{"id":619,"uris":["http://zotero.org/users/5917738/items/5HKMVCT4"],"uri":["http://zotero.org/users/5917738/items/5HKMVCT4"],"itemData":{"id":619,"type":"report","page":"1-16","title":"Costs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27,28</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{"citationID":"ExrBAMSS","properties":{"formattedCitation":"\\super 29,30\\nosupersub{}","plainCitation":"29,30","noteIndex":0},"citationItems":[{"id":654,"uris":["http://zotero.org/users/5917738/items/UM8BXSBM"],"uri":["http://zotero.org/users/5917738/items/UM8BXSBM"],"itemData":{"id":654,"type":"article-journal","abstract":"Nonadherence,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29,30</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67ECF976"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{"citationID":"AdoaqJoS","properties":{"formattedCitation":"\\super 28,31,32\\nosupersub{}","plainCitation":"28,31,32","noteIndex":0},"citationItems":[{"id":648,"uris":["http://zotero.org/users/5917738/items/ZZ5J5UA5"],"uri":["http://zotero.org/users/5917738/items/ZZ5J5UA5"],"itemData":{"id":648,"type":"article-journal","abstract":"This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28,31,32</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{"citationID":"i6tN3vU0","properties":{"formattedCitation":"\\super 33\\uc0\\u8211{}35\\nosupersub{}","plainCitation":"33–35","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33–35</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C91EBF">
      <w:pPr>
        <w:keepNext/>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METHODS</w:t>
      </w:r>
    </w:p>
    <w:p w14:paraId="59451C4B" w14:textId="3D93F811" w:rsidR="00D76862" w:rsidRPr="0057583C" w:rsidRDefault="0057583C" w:rsidP="00C91EBF">
      <w:pPr>
        <w:keepNext/>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76AAB269" w:rsidR="00F6685C" w:rsidRDefault="00BA6971" w:rsidP="00C91EBF">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{"citationID":"3Qxc7v40","properties":{"formattedCitation":"\\super 36\\nosupersub{}","plainCitation":"36","noteIndex":0},"citationItems":[{"id":1085,"uris":["http://zotero.org/users/5917738/items/UP9T3ETA"],"uri":["http://zotero.org/users/5917738/items/UP9T3ETA"],"itemData":{"id":1085,"type":"article","title":"IPUMS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36</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{"citationID":"oCEe7cxU","properties":{"formattedCitation":"\\super 37\\nosupersub{}","plainCitation":"37","noteIndex":0},"citationItems":[{"id":724,"uris":["http://zotero.org/users/5917738/items/ETTWAPBV"],"uri":["http://zotero.org/users/5917738/items/ETTWAPBV"],"itemData":{"id":724,"type":"webpage","language":"en-us","title":"NHIS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37</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as in-depth healthcare utilization and insurance information, cancer screening, and mental health.</w:t>
      </w:r>
      <w:r w:rsidR="00C32984">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{"citationID":"5WSinQQn","properties":{"formattedCitation":"\\super 37\\nosupersub{}","plainCitation":"37","noteIndex":0},"citationItems":[{"id":724,"uris":["http://zotero.org/users/5917738/items/ETTWAPBV"],"uri":["http://zotero.org/users/5917738/items/ETTWAPBV"],"itemData":{"id":724,"type":"webpage","language":"en-us","title":"NHIS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37</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2C5E6F">
        <w:rPr>
          <w:rFonts w:ascii="Times New Roman" w:hAnsi="Times New Roman" w:cs="Times New Roman"/>
          <w:sz w:val="24"/>
          <w:szCs w:val="24"/>
        </w:rPr>
        <w:t xml:space="preserve">I </w:t>
      </w:r>
      <w:r w:rsidR="005B0E84">
        <w:rPr>
          <w:rFonts w:ascii="Times New Roman" w:hAnsi="Times New Roman" w:cs="Times New Roman"/>
          <w:sz w:val="24"/>
          <w:szCs w:val="24"/>
        </w:rPr>
        <w:t>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602E1D8E"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2C5E6F">
        <w:rPr>
          <w:rFonts w:ascii="Times New Roman" w:hAnsi="Times New Roman" w:cs="Times New Roman"/>
          <w:sz w:val="24"/>
          <w:szCs w:val="24"/>
        </w:rPr>
        <w:t xml:space="preserve">I </w:t>
      </w:r>
      <w:r w:rsidR="00CD466F">
        <w:rPr>
          <w:rFonts w:ascii="Times New Roman" w:hAnsi="Times New Roman" w:cs="Times New Roman"/>
          <w:sz w:val="24"/>
          <w:szCs w:val="24"/>
        </w:rPr>
        <w:t>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w:t>
      </w:r>
      <w:r w:rsidR="00C668DE">
        <w:rPr>
          <w:rFonts w:ascii="Times New Roman" w:hAnsi="Times New Roman" w:cs="Times New Roman"/>
          <w:sz w:val="24"/>
          <w:szCs w:val="24"/>
        </w:rPr>
        <w:t>the</w:t>
      </w:r>
      <w:commentRangeStart w:id="1"/>
      <w:r w:rsidR="00CD466F">
        <w:rPr>
          <w:rFonts w:ascii="Times New Roman" w:hAnsi="Times New Roman" w:cs="Times New Roman"/>
          <w:sz w:val="24"/>
          <w:szCs w:val="24"/>
        </w:rPr>
        <w:t xml:space="preserve"> </w:t>
      </w:r>
      <w:commentRangeEnd w:id="1"/>
      <w:r w:rsidR="00FE2E89">
        <w:rPr>
          <w:rStyle w:val="CommentReference"/>
        </w:rPr>
        <w:commentReference w:id="1"/>
      </w:r>
      <w:r w:rsidR="00CD466F">
        <w:rPr>
          <w:rFonts w:ascii="Times New Roman" w:hAnsi="Times New Roman" w:cs="Times New Roman"/>
          <w:sz w:val="24"/>
          <w:szCs w:val="24"/>
        </w:rPr>
        <w:t>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C86D52">
        <w:rPr>
          <w:rFonts w:ascii="Times New Roman" w:hAnsi="Times New Roman" w:cs="Times New Roman"/>
          <w:sz w:val="24"/>
          <w:szCs w:val="24"/>
        </w:rPr>
        <w:t xml:space="preserve">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w:t>
      </w:r>
      <w:r w:rsidR="00E97358">
        <w:rPr>
          <w:rFonts w:ascii="Times New Roman" w:hAnsi="Times New Roman" w:cs="Times New Roman"/>
          <w:sz w:val="24"/>
          <w:szCs w:val="24"/>
        </w:rPr>
        <w:lastRenderedPageBreak/>
        <w:t>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t>
      </w:r>
      <w:r w:rsidR="002C5E6F">
        <w:rPr>
          <w:rFonts w:ascii="Times New Roman" w:hAnsi="Times New Roman" w:cs="Times New Roman"/>
          <w:iCs/>
          <w:sz w:val="24"/>
          <w:szCs w:val="24"/>
        </w:rPr>
        <w:t xml:space="preserve">I </w:t>
      </w:r>
      <w:r w:rsidR="0035422C">
        <w:rPr>
          <w:rFonts w:ascii="Times New Roman" w:hAnsi="Times New Roman" w:cs="Times New Roman"/>
          <w:iCs/>
          <w:sz w:val="24"/>
          <w:szCs w:val="24"/>
        </w:rPr>
        <w:t xml:space="preserve">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08F6279A"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C668DE">
        <w:rPr>
          <w:rFonts w:ascii="Times New Roman" w:hAnsi="Times New Roman" w:cs="Times New Roman"/>
          <w:sz w:val="24"/>
          <w:szCs w:val="24"/>
        </w:rPr>
        <w:t>The</w:t>
      </w:r>
      <w:commentRangeStart w:id="2"/>
      <w:r w:rsidR="00D96AA6">
        <w:rPr>
          <w:rFonts w:ascii="Times New Roman" w:hAnsi="Times New Roman" w:cs="Times New Roman"/>
          <w:sz w:val="24"/>
          <w:szCs w:val="24"/>
        </w:rPr>
        <w:t xml:space="preserve"> </w:t>
      </w:r>
      <w:commentRangeEnd w:id="2"/>
      <w:r w:rsidR="00FE2E89">
        <w:rPr>
          <w:rStyle w:val="CommentReference"/>
        </w:rPr>
        <w:commentReference w:id="2"/>
      </w:r>
      <w:r w:rsidR="00D96AA6">
        <w:rPr>
          <w:rFonts w:ascii="Times New Roman" w:hAnsi="Times New Roman" w:cs="Times New Roman"/>
          <w:sz w:val="24"/>
          <w:szCs w:val="24"/>
        </w:rPr>
        <w:t>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4746C7">
        <w:rPr>
          <w:rFonts w:ascii="Times New Roman" w:hAnsi="Times New Roman" w:cs="Times New Roman"/>
          <w:sz w:val="24"/>
          <w:szCs w:val="24"/>
        </w:rPr>
        <w:t xml:space="preserve">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2C5E6F">
        <w:rPr>
          <w:rFonts w:ascii="Times New Roman" w:hAnsi="Times New Roman" w:cs="Times New Roman"/>
          <w:sz w:val="24"/>
          <w:szCs w:val="24"/>
        </w:rPr>
        <w:t xml:space="preserve">I </w:t>
      </w:r>
      <w:r w:rsidR="004746C7">
        <w:rPr>
          <w:rFonts w:ascii="Times New Roman" w:hAnsi="Times New Roman" w:cs="Times New Roman"/>
          <w:sz w:val="24"/>
          <w:szCs w:val="24"/>
        </w:rPr>
        <w:t xml:space="preserve">operationalized </w:t>
      </w:r>
      <w:r w:rsidR="00B94BC8">
        <w:rPr>
          <w:rFonts w:ascii="Times New Roman" w:hAnsi="Times New Roman" w:cs="Times New Roman"/>
          <w:sz w:val="24"/>
          <w:szCs w:val="24"/>
        </w:rPr>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{"citationID":"wKbqO4Ul","properties":{"formattedCitation":"\\super 38\\nosupersub{}","plainCitation":"38","noteIndex":0},"citationItems":[{"id":657,"uris":["http://zotero.org/users/5917738/items/JT7KHDR2"],"uri":["http://zotero.org/users/5917738/items/JT7KHDR2"],"itemData":{"id":657,"type":"article-journal","abstract":"Background\nCost-related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38</w:t>
      </w:r>
      <w:r w:rsidR="0044496B">
        <w:rPr>
          <w:rFonts w:ascii="Times New Roman" w:hAnsi="Times New Roman" w:cs="Times New Roman"/>
          <w:sz w:val="24"/>
          <w:szCs w:val="24"/>
        </w:rPr>
        <w:fldChar w:fldCharType="end"/>
      </w:r>
      <w:r w:rsidR="00616E89">
        <w:rPr>
          <w:rFonts w:ascii="Times New Roman" w:hAnsi="Times New Roman" w:cs="Times New Roman"/>
          <w:sz w:val="24"/>
          <w:szCs w:val="24"/>
        </w:rPr>
        <w:t xml:space="preserve"> </w:t>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E54B737"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2C5E6F">
        <w:rPr>
          <w:rFonts w:ascii="Times New Roman" w:hAnsi="Times New Roman" w:cs="Times New Roman"/>
          <w:iCs/>
          <w:sz w:val="24"/>
          <w:szCs w:val="24"/>
        </w:rPr>
        <w:t xml:space="preserve">I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071762">
        <w:rPr>
          <w:rFonts w:ascii="Times New Roman" w:hAnsi="Times New Roman" w:cs="Times New Roman"/>
          <w:iCs/>
          <w:sz w:val="24"/>
          <w:szCs w:val="24"/>
        </w:rPr>
        <w:t xml:space="preserve">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35AAE">
        <w:rPr>
          <w:rFonts w:ascii="Times New Roman" w:hAnsi="Times New Roman" w:cs="Times New Roman"/>
          <w:iCs/>
          <w:sz w:val="24"/>
          <w:szCs w:val="24"/>
        </w:rPr>
        <w:t>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r w:rsidR="00D43399" w:rsidRPr="00D43399">
        <w:rPr>
          <w:rFonts w:ascii="Times New Roman" w:hAnsi="Times New Roman" w:cs="Times New Roman"/>
          <w:sz w:val="24"/>
          <w:szCs w:val="24"/>
        </w:rPr>
        <w:t xml:space="preserve"> </w:t>
      </w:r>
      <w:r w:rsidR="00D43399">
        <w:rPr>
          <w:rFonts w:ascii="Times New Roman" w:hAnsi="Times New Roman" w:cs="Times New Roman"/>
          <w:sz w:val="24"/>
          <w:szCs w:val="24"/>
        </w:rPr>
        <w:t>Figure 1 shows a conceptual model of the factors which contribute to CRN, and the proposed association between CRN and mortality.</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t>All-cause mortality</w:t>
      </w:r>
    </w:p>
    <w:p w14:paraId="047E8166" w14:textId="4DC09045"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2C5E6F">
        <w:rPr>
          <w:rFonts w:ascii="Times New Roman" w:hAnsi="Times New Roman" w:cs="Times New Roman"/>
          <w:sz w:val="24"/>
          <w:szCs w:val="24"/>
        </w:rPr>
        <w:t xml:space="preserve">I </w:t>
      </w:r>
      <w:r w:rsidR="00865160">
        <w:rPr>
          <w:rFonts w:ascii="Times New Roman" w:hAnsi="Times New Roman" w:cs="Times New Roman"/>
          <w:sz w:val="24"/>
          <w:szCs w:val="24"/>
        </w:rPr>
        <w:t xml:space="preserve">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715EF7D"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13021A">
        <w:rPr>
          <w:rFonts w:ascii="Times New Roman" w:hAnsi="Times New Roman" w:cs="Times New Roman"/>
          <w:iCs/>
          <w:sz w:val="24"/>
          <w:szCs w:val="24"/>
        </w:rPr>
        <w:t>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lastRenderedPageBreak/>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D50821">
        <w:rPr>
          <w:rFonts w:ascii="Times New Roman" w:hAnsi="Times New Roman" w:cs="Times New Roman"/>
          <w:iCs/>
          <w:sz w:val="24"/>
          <w:szCs w:val="24"/>
        </w:rPr>
        <w:t>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FA6C4F">
        <w:rPr>
          <w:rFonts w:ascii="Times New Roman" w:hAnsi="Times New Roman" w:cs="Times New Roman"/>
          <w:iCs/>
          <w:sz w:val="24"/>
          <w:szCs w:val="24"/>
        </w:rPr>
        <w:t>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C45620">
        <w:rPr>
          <w:rFonts w:ascii="Times New Roman" w:hAnsi="Times New Roman" w:cs="Times New Roman"/>
          <w:iCs/>
          <w:sz w:val="24"/>
          <w:szCs w:val="24"/>
        </w:rPr>
        <w:t xml:space="preserve">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AE44F4">
        <w:rPr>
          <w:rFonts w:ascii="Times New Roman" w:hAnsi="Times New Roman" w:cs="Times New Roman"/>
          <w:iCs/>
          <w:sz w:val="24"/>
          <w:szCs w:val="24"/>
        </w:rPr>
        <w:t>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5532220F" w14:textId="54B20A27"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2C5E6F">
        <w:rPr>
          <w:rFonts w:ascii="Times New Roman" w:hAnsi="Times New Roman" w:cs="Times New Roman"/>
          <w:sz w:val="24"/>
          <w:szCs w:val="24"/>
        </w:rPr>
        <w:t xml:space="preserve">I </w:t>
      </w:r>
      <w:r w:rsidR="00921E04">
        <w:rPr>
          <w:rFonts w:ascii="Times New Roman" w:hAnsi="Times New Roman" w:cs="Times New Roman"/>
          <w:sz w:val="24"/>
          <w:szCs w:val="24"/>
        </w:rPr>
        <w:t>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021062">
        <w:rPr>
          <w:rFonts w:ascii="Times New Roman" w:hAnsi="Times New Roman" w:cs="Times New Roman"/>
          <w:sz w:val="24"/>
          <w:szCs w:val="24"/>
        </w:rPr>
        <w:t>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w:t>
      </w:r>
      <w:r w:rsidR="002B15DB">
        <w:rPr>
          <w:rFonts w:ascii="Times New Roman" w:hAnsi="Times New Roman" w:cs="Times New Roman"/>
          <w:sz w:val="24"/>
          <w:szCs w:val="24"/>
        </w:rPr>
        <w:t xml:space="preserve">my </w:t>
      </w:r>
      <w:commentRangeStart w:id="3"/>
      <w:commentRangeEnd w:id="3"/>
      <w:r w:rsidR="00FE2E89">
        <w:rPr>
          <w:rStyle w:val="CommentReference"/>
        </w:rPr>
        <w:commentReference w:id="3"/>
      </w:r>
      <w:r w:rsidR="00021062">
        <w:rPr>
          <w:rFonts w:ascii="Times New Roman" w:hAnsi="Times New Roman" w:cs="Times New Roman"/>
          <w:sz w:val="24"/>
          <w:szCs w:val="24"/>
        </w:rPr>
        <w:t>operationalization of CVD,</w:t>
      </w:r>
      <w:r w:rsidR="009A13B5">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944B5B">
        <w:rPr>
          <w:rFonts w:ascii="Times New Roman" w:hAnsi="Times New Roman" w:cs="Times New Roman"/>
          <w:sz w:val="24"/>
          <w:szCs w:val="24"/>
        </w:rPr>
        <w:t xml:space="preserve">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lastRenderedPageBreak/>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52DB7F7B"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2C5E6F">
        <w:rPr>
          <w:rFonts w:ascii="Times New Roman" w:hAnsi="Times New Roman" w:cs="Times New Roman"/>
          <w:sz w:val="24"/>
          <w:szCs w:val="24"/>
        </w:rPr>
        <w:t xml:space="preserve">I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bookmarkStart w:id="4" w:name="_Hlk33084389"/>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bookmarkEnd w:id="4"/>
      <w:r w:rsidR="009D5E0B">
        <w:rPr>
          <w:rFonts w:ascii="Times New Roman" w:hAnsi="Times New Roman" w:cs="Times New Roman"/>
          <w:sz w:val="24"/>
          <w:szCs w:val="24"/>
        </w:rPr>
        <w:t xml:space="preserve">. </w:t>
      </w:r>
      <w:commentRangeStart w:id="5"/>
      <w:r w:rsidR="002C5E6F">
        <w:rPr>
          <w:rFonts w:ascii="Times New Roman" w:hAnsi="Times New Roman" w:cs="Times New Roman"/>
          <w:sz w:val="24"/>
          <w:szCs w:val="24"/>
        </w:rPr>
        <w:t xml:space="preserve">I </w:t>
      </w:r>
      <w:r w:rsidR="00147862">
        <w:rPr>
          <w:rFonts w:ascii="Times New Roman" w:hAnsi="Times New Roman" w:cs="Times New Roman"/>
          <w:sz w:val="24"/>
          <w:szCs w:val="24"/>
        </w:rPr>
        <w:t xml:space="preserve">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w:t>
      </w:r>
      <w:r w:rsidR="00FC1349">
        <w:rPr>
          <w:rFonts w:ascii="Times New Roman" w:hAnsi="Times New Roman" w:cs="Times New Roman"/>
          <w:sz w:val="24"/>
          <w:szCs w:val="24"/>
        </w:rPr>
        <w:t>ry</w:t>
      </w:r>
      <w:r w:rsidR="00F12BAC">
        <w:rPr>
          <w:rFonts w:ascii="Times New Roman" w:hAnsi="Times New Roman" w:cs="Times New Roman"/>
          <w:sz w:val="24"/>
          <w:szCs w:val="24"/>
        </w:rPr>
        <w:t xml:space="preserve"> Figure </w:t>
      </w:r>
      <w:r w:rsidR="00F6038E">
        <w:rPr>
          <w:rFonts w:ascii="Times New Roman" w:hAnsi="Times New Roman" w:cs="Times New Roman"/>
          <w:sz w:val="24"/>
          <w:szCs w:val="24"/>
        </w:rPr>
        <w:t>1</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{"citationID":"qYz50rch","properties":{"formattedCitation":"\\super 39\\uc0\\u8211{}41\\nosupersub{}","plainCitation":"39–41","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39–41</w:t>
      </w:r>
      <w:r w:rsidR="00F12BAC">
        <w:rPr>
          <w:rFonts w:ascii="Times New Roman" w:hAnsi="Times New Roman" w:cs="Times New Roman"/>
          <w:sz w:val="24"/>
          <w:szCs w:val="24"/>
        </w:rPr>
        <w:fldChar w:fldCharType="end"/>
      </w:r>
      <w:commentRangeEnd w:id="5"/>
      <w:r w:rsidR="00FE2E89">
        <w:rPr>
          <w:rStyle w:val="CommentReference"/>
        </w:rPr>
        <w:commentReference w:id="5"/>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2C5E6F">
        <w:rPr>
          <w:rFonts w:ascii="Times New Roman" w:hAnsi="Times New Roman" w:cs="Times New Roman"/>
          <w:sz w:val="24"/>
          <w:szCs w:val="24"/>
        </w:rPr>
        <w:t xml:space="preserve">I </w:t>
      </w:r>
      <w:r w:rsidR="00E928DA">
        <w:rPr>
          <w:rFonts w:ascii="Times New Roman" w:hAnsi="Times New Roman" w:cs="Times New Roman"/>
          <w:sz w:val="24"/>
          <w:szCs w:val="24"/>
        </w:rPr>
        <w:t>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w:t>
      </w:r>
      <w:r w:rsidR="00037FD9">
        <w:rPr>
          <w:rFonts w:ascii="Times New Roman" w:hAnsi="Times New Roman" w:cs="Times New Roman"/>
          <w:sz w:val="24"/>
          <w:szCs w:val="24"/>
        </w:rPr>
        <w:t>Supplementary</w:t>
      </w:r>
      <w:r w:rsidR="00C47F25">
        <w:rPr>
          <w:rFonts w:ascii="Times New Roman" w:hAnsi="Times New Roman" w:cs="Times New Roman"/>
          <w:sz w:val="24"/>
          <w:szCs w:val="24"/>
        </w:rPr>
        <w:t xml:space="preserve"> Figure </w:t>
      </w:r>
      <w:r w:rsidR="00FF6EDA">
        <w:rPr>
          <w:rFonts w:ascii="Times New Roman" w:hAnsi="Times New Roman" w:cs="Times New Roman"/>
          <w:sz w:val="24"/>
          <w:szCs w:val="24"/>
        </w:rPr>
        <w:t>2</w:t>
      </w:r>
      <w:r w:rsidR="00C47F25">
        <w:rPr>
          <w:rFonts w:ascii="Times New Roman" w:hAnsi="Times New Roman" w:cs="Times New Roman"/>
          <w:sz w:val="24"/>
          <w:szCs w:val="24"/>
        </w:rPr>
        <w:t>)</w:t>
      </w:r>
      <w:r w:rsidR="001675CF">
        <w:rPr>
          <w:rFonts w:ascii="Times New Roman" w:hAnsi="Times New Roman" w:cs="Times New Roman"/>
          <w:sz w:val="24"/>
          <w:szCs w:val="24"/>
        </w:rPr>
        <w:t>.</w:t>
      </w:r>
      <w:r w:rsidR="00A7635D">
        <w:rPr>
          <w:rFonts w:ascii="Times New Roman" w:hAnsi="Times New Roman" w:cs="Times New Roman"/>
          <w:sz w:val="24"/>
          <w:szCs w:val="24"/>
        </w:rPr>
        <w:t xml:space="preserve"> Unless otherwise noted, hazard estimates for CRN represent the total, rather than the direct</w:t>
      </w:r>
      <w:r w:rsidR="00E502D0">
        <w:rPr>
          <w:rFonts w:ascii="Times New Roman" w:hAnsi="Times New Roman" w:cs="Times New Roman"/>
          <w:sz w:val="24"/>
          <w:szCs w:val="24"/>
        </w:rPr>
        <w:t>,</w:t>
      </w:r>
      <w:r w:rsidR="00A7635D">
        <w:rPr>
          <w:rFonts w:ascii="Times New Roman" w:hAnsi="Times New Roman" w:cs="Times New Roman"/>
          <w:sz w:val="24"/>
          <w:szCs w:val="24"/>
        </w:rPr>
        <w:t xml:space="preserve"> effect of CRN on mortality</w:t>
      </w:r>
      <w:r w:rsidR="00807D6E">
        <w:rPr>
          <w:rFonts w:ascii="Times New Roman" w:hAnsi="Times New Roman" w:cs="Times New Roman"/>
          <w:sz w:val="24"/>
          <w:szCs w:val="24"/>
        </w:rPr>
        <w:t xml:space="preserve">, and </w:t>
      </w:r>
      <w:r w:rsidR="002C5E6F">
        <w:rPr>
          <w:rFonts w:ascii="Times New Roman" w:hAnsi="Times New Roman" w:cs="Times New Roman"/>
          <w:sz w:val="24"/>
          <w:szCs w:val="24"/>
        </w:rPr>
        <w:t xml:space="preserve">I </w:t>
      </w:r>
      <w:r w:rsidR="00C0308E">
        <w:rPr>
          <w:rFonts w:ascii="Times New Roman" w:hAnsi="Times New Roman" w:cs="Times New Roman"/>
          <w:sz w:val="24"/>
          <w:szCs w:val="24"/>
        </w:rPr>
        <w:t>present coefficients for</w:t>
      </w:r>
      <w:r w:rsidR="00DD1BB5">
        <w:rPr>
          <w:rFonts w:ascii="Times New Roman" w:hAnsi="Times New Roman" w:cs="Times New Roman"/>
          <w:sz w:val="24"/>
          <w:szCs w:val="24"/>
        </w:rPr>
        <w:t xml:space="preserve"> confounders </w:t>
      </w:r>
      <w:r w:rsidR="000D149D">
        <w:rPr>
          <w:rFonts w:ascii="Times New Roman" w:hAnsi="Times New Roman" w:cs="Times New Roman"/>
          <w:sz w:val="24"/>
          <w:szCs w:val="24"/>
        </w:rPr>
        <w:t>as</w:t>
      </w:r>
      <w:r w:rsidR="00DD1BB5">
        <w:rPr>
          <w:rFonts w:ascii="Times New Roman" w:hAnsi="Times New Roman" w:cs="Times New Roman"/>
          <w:sz w:val="24"/>
          <w:szCs w:val="24"/>
        </w:rPr>
        <w:t xml:space="preserve"> supplementary </w:t>
      </w:r>
      <w:r w:rsidR="00852BFC">
        <w:rPr>
          <w:rFonts w:ascii="Times New Roman" w:hAnsi="Times New Roman" w:cs="Times New Roman"/>
          <w:sz w:val="24"/>
          <w:szCs w:val="24"/>
        </w:rPr>
        <w:t xml:space="preserve">data </w:t>
      </w:r>
      <w:r w:rsidR="00E502D0">
        <w:rPr>
          <w:rFonts w:ascii="Times New Roman" w:hAnsi="Times New Roman" w:cs="Times New Roman"/>
          <w:sz w:val="24"/>
          <w:szCs w:val="24"/>
        </w:rPr>
        <w:t>because these estimates can</w:t>
      </w:r>
      <w:r w:rsidR="00F62E3E">
        <w:rPr>
          <w:rFonts w:ascii="Times New Roman" w:hAnsi="Times New Roman" w:cs="Times New Roman"/>
          <w:sz w:val="24"/>
          <w:szCs w:val="24"/>
        </w:rPr>
        <w:t xml:space="preserve">not </w:t>
      </w:r>
      <w:r w:rsidR="00191146">
        <w:rPr>
          <w:rFonts w:ascii="Times New Roman" w:hAnsi="Times New Roman" w:cs="Times New Roman"/>
          <w:sz w:val="24"/>
          <w:szCs w:val="24"/>
        </w:rPr>
        <w:t>typically be</w:t>
      </w:r>
      <w:r w:rsidR="00F62E3E">
        <w:rPr>
          <w:rFonts w:ascii="Times New Roman" w:hAnsi="Times New Roman" w:cs="Times New Roman"/>
          <w:sz w:val="24"/>
          <w:szCs w:val="24"/>
        </w:rPr>
        <w:t xml:space="preserve"> interpreted as</w:t>
      </w:r>
      <w:r w:rsidR="001675CF">
        <w:rPr>
          <w:rFonts w:ascii="Times New Roman" w:hAnsi="Times New Roman" w:cs="Times New Roman"/>
          <w:sz w:val="24"/>
          <w:szCs w:val="24"/>
        </w:rPr>
        <w:t xml:space="preserve"> </w:t>
      </w:r>
      <w:r w:rsidR="00191146">
        <w:rPr>
          <w:rFonts w:ascii="Times New Roman" w:hAnsi="Times New Roman" w:cs="Times New Roman"/>
          <w:sz w:val="24"/>
          <w:szCs w:val="24"/>
        </w:rPr>
        <w:t xml:space="preserve">either </w:t>
      </w:r>
      <w:r w:rsidR="00907C34">
        <w:rPr>
          <w:rFonts w:ascii="Times New Roman" w:hAnsi="Times New Roman" w:cs="Times New Roman"/>
          <w:sz w:val="24"/>
          <w:szCs w:val="24"/>
        </w:rPr>
        <w:t xml:space="preserve">the </w:t>
      </w:r>
      <w:r w:rsidR="00191146">
        <w:rPr>
          <w:rFonts w:ascii="Times New Roman" w:hAnsi="Times New Roman" w:cs="Times New Roman"/>
          <w:sz w:val="24"/>
          <w:szCs w:val="24"/>
        </w:rPr>
        <w:t>direct or total effects</w:t>
      </w:r>
      <w:r w:rsidR="00091370">
        <w:rPr>
          <w:rFonts w:ascii="Times New Roman" w:hAnsi="Times New Roman" w:cs="Times New Roman"/>
          <w:sz w:val="24"/>
          <w:szCs w:val="24"/>
        </w:rPr>
        <w:t xml:space="preserve"> of covariate</w:t>
      </w:r>
      <w:r w:rsidR="00907C34">
        <w:rPr>
          <w:rFonts w:ascii="Times New Roman" w:hAnsi="Times New Roman" w:cs="Times New Roman"/>
          <w:sz w:val="24"/>
          <w:szCs w:val="24"/>
        </w:rPr>
        <w:t>s</w:t>
      </w:r>
      <w:r w:rsidR="00091370">
        <w:rPr>
          <w:rFonts w:ascii="Times New Roman" w:hAnsi="Times New Roman" w:cs="Times New Roman"/>
          <w:sz w:val="24"/>
          <w:szCs w:val="24"/>
        </w:rPr>
        <w:t xml:space="preserve"> on mortality.</w:t>
      </w:r>
      <w:r w:rsidR="000F73D6">
        <w:rPr>
          <w:rFonts w:ascii="Times New Roman" w:hAnsi="Times New Roman" w:cs="Times New Roman"/>
          <w:sz w:val="24"/>
          <w:szCs w:val="24"/>
        </w:rPr>
        <w:fldChar w:fldCharType="begin"/>
      </w:r>
      <w:r w:rsidR="00B30132">
        <w:rPr>
          <w:rFonts w:ascii="Times New Roman" w:hAnsi="Times New Roman" w:cs="Times New Roman"/>
          <w:sz w:val="24"/>
          <w:szCs w:val="24"/>
        </w:rPr>
        <w:instrText xml:space="preserve"> ADDIN ZOTERO_ITEM CSL_CITATION {"citationID":"gcUSUdrF","properties":{"formattedCitation":"\\super 42\\nosupersub{}","plainCitation":"42","noteIndex":0},"citationItems":[{"id":1133,"uris":["http://zotero.org/users/5917738/items/I4BPN39W"],"uri":["http://zotero.org/users/5917738/items/I4BPN39W"],"itemData":{"id":1133,"type":"article-journal","abstract":"It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covariates.","container-title":"American Journal of Epidemiology","DOI":"10.1093/aje/kws412","ISSN":"0002-9262","issue":"4","journalAbbreviation":"Am J Epidemiol","note":"PMID: 23371353\nPMCID: PMC3626058","page":"292-298","source":"PubMed Central","title":"The Table 2 Fallacy: Presenting and Interpreting Confounder and Modifier Coefficients","title-short":"The Table 2 Fallacy","volume":"177","author":[{"family":"Westreich","given":"Daniel"},{"family":"Greenland","given":"Sander"}],"issued":{"date-parts":[["2013",2,15]]}}}],"schema":"https://github.com/citation-style-language/schema/raw/master/csl-citation.json"} </w:instrText>
      </w:r>
      <w:r w:rsidR="000F73D6">
        <w:rPr>
          <w:rFonts w:ascii="Times New Roman" w:hAnsi="Times New Roman" w:cs="Times New Roman"/>
          <w:sz w:val="24"/>
          <w:szCs w:val="24"/>
        </w:rPr>
        <w:fldChar w:fldCharType="separate"/>
      </w:r>
      <w:r w:rsidR="00B30132" w:rsidRPr="00B30132">
        <w:rPr>
          <w:rFonts w:ascii="Times New Roman" w:hAnsi="Times New Roman" w:cs="Times New Roman"/>
          <w:sz w:val="24"/>
          <w:szCs w:val="24"/>
          <w:vertAlign w:val="superscript"/>
        </w:rPr>
        <w:t>42</w:t>
      </w:r>
      <w:r w:rsidR="000F73D6">
        <w:rPr>
          <w:rFonts w:ascii="Times New Roman" w:hAnsi="Times New Roman" w:cs="Times New Roman"/>
          <w:sz w:val="24"/>
          <w:szCs w:val="24"/>
        </w:rPr>
        <w:fldChar w:fldCharType="end"/>
      </w:r>
      <w:r w:rsidR="00BD2FE6">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63EC280A" w:rsidR="00005EE7" w:rsidRDefault="03C04D5D" w:rsidP="00692954">
      <w:pPr>
        <w:spacing w:line="480" w:lineRule="auto"/>
        <w:ind w:firstLine="720"/>
        <w:rPr>
          <w:rFonts w:ascii="Times New Roman" w:hAnsi="Times New Roman" w:cs="Times New Roman"/>
          <w:sz w:val="24"/>
          <w:szCs w:val="24"/>
        </w:rPr>
      </w:pPr>
      <w:r w:rsidRPr="03C04D5D">
        <w:rPr>
          <w:rFonts w:ascii="Times New Roman" w:hAnsi="Times New Roman" w:cs="Times New Roman"/>
          <w:sz w:val="24"/>
          <w:szCs w:val="24"/>
        </w:rPr>
        <w:t>Additionally, I conducted a sensitivity analysis by stratifying at year of interview (≤ 2010, &gt; 2010) to determine if the change in measurement of CRN in 2010 substantially impacted findings. I evaluated models for presence of influential observations and multicollinearity using standardized dfbeta values, and variance inflation factors, respectively, tested for proportional hazards using scaled Schoenfeld residuals,</w:t>
      </w:r>
      <w:r w:rsidR="00B949B8" w:rsidRPr="03C04D5D">
        <w:rPr>
          <w:rFonts w:ascii="Times New Roman" w:hAnsi="Times New Roman" w:cs="Times New Roman"/>
          <w:sz w:val="24"/>
          <w:szCs w:val="24"/>
        </w:rPr>
        <w:fldChar w:fldCharType="begin"/>
      </w:r>
      <w:r w:rsidR="00B949B8" w:rsidRPr="03C04D5D">
        <w:rPr>
          <w:rFonts w:ascii="Times New Roman" w:hAnsi="Times New Roman" w:cs="Times New Roman"/>
          <w:sz w:val="24"/>
          <w:szCs w:val="24"/>
        </w:rPr>
        <w:instrText xml:space="preserve"> ADDIN ZOTERO_ITEM CSL_CITATION {"citationID":"pPdix7h0","properties":{"formattedCitation":"\\super 43\\nosupersub{}","plainCitation":"43","noteIndex":0},"citationItems":[{"id":1087,"uris":["http://zotero.org/users/5917738/items/C9P954VX"],"uri":["http://zotero.org/users/5917738/items/C9P954VX"],"itemData":{"id":1087,"type":"article-journal","abstract":"Nonproportional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B949B8" w:rsidRPr="03C04D5D">
        <w:rPr>
          <w:rFonts w:ascii="Times New Roman" w:hAnsi="Times New Roman" w:cs="Times New Roman"/>
          <w:sz w:val="24"/>
          <w:szCs w:val="24"/>
        </w:rPr>
        <w:fldChar w:fldCharType="separate"/>
      </w:r>
      <w:r w:rsidRPr="03C04D5D">
        <w:rPr>
          <w:rFonts w:ascii="Times New Roman" w:hAnsi="Times New Roman" w:cs="Times New Roman"/>
          <w:sz w:val="24"/>
          <w:szCs w:val="24"/>
          <w:vertAlign w:val="superscript"/>
        </w:rPr>
        <w:t>43</w:t>
      </w:r>
      <w:r w:rsidR="00B949B8" w:rsidRPr="03C04D5D">
        <w:rPr>
          <w:rFonts w:ascii="Times New Roman" w:hAnsi="Times New Roman" w:cs="Times New Roman"/>
          <w:sz w:val="24"/>
          <w:szCs w:val="24"/>
        </w:rPr>
        <w:fldChar w:fldCharType="end"/>
      </w:r>
      <w:r w:rsidRPr="03C04D5D">
        <w:rPr>
          <w:rFonts w:ascii="Times New Roman" w:hAnsi="Times New Roman" w:cs="Times New Roman"/>
          <w:sz w:val="24"/>
          <w:szCs w:val="24"/>
        </w:rPr>
        <w:t xml:space="preserve"> and assessed log-linearity of by plotting Martingale </w:t>
      </w:r>
      <w:r w:rsidRPr="03C04D5D">
        <w:rPr>
          <w:rFonts w:ascii="Times New Roman" w:hAnsi="Times New Roman" w:cs="Times New Roman"/>
          <w:sz w:val="24"/>
          <w:szCs w:val="24"/>
        </w:rPr>
        <w:lastRenderedPageBreak/>
        <w:t>residuals against continuous predictors (i.e. age). In instances where models did not meet assumptions, I performed further sensitivity analyses to assess the robustness of results against violations: for influential observations, I deleted suspected influential cases and then refit models, for log-linearity, I inspected plots for points at which the log-hazard deviated from linearity and refit models using natural splines at inflection points. All analyses were conducted in R, version 3.6.1,</w:t>
      </w:r>
      <w:r w:rsidR="00B949B8" w:rsidRPr="03C04D5D">
        <w:rPr>
          <w:rFonts w:ascii="Times New Roman" w:hAnsi="Times New Roman" w:cs="Times New Roman"/>
          <w:sz w:val="24"/>
          <w:szCs w:val="24"/>
        </w:rPr>
        <w:fldChar w:fldCharType="begin"/>
      </w:r>
      <w:r w:rsidR="00B949B8" w:rsidRPr="03C04D5D">
        <w:rPr>
          <w:rFonts w:ascii="Times New Roman" w:hAnsi="Times New Roman" w:cs="Times New Roman"/>
          <w:sz w:val="24"/>
          <w:szCs w:val="24"/>
        </w:rPr>
        <w:instrText xml:space="preserve"> ADDIN ZOTERO_ITEM CSL_CITATION {"citationID":"BmLeulYb","properties":{"formattedCitation":"\\super 44\\nosupersub{}","plainCitation":"44","noteIndex":0},"citationItems":[{"id":1021,"uris":["http://zotero.org/users/5917738/items/C9W2X5AH"],"uri":["http://zotero.org/users/5917738/items/C9W2X5AH"],"itemData":{"id":1021,"type":"book","event-place":"Vienna,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B949B8" w:rsidRPr="03C04D5D">
        <w:rPr>
          <w:rFonts w:ascii="Times New Roman" w:hAnsi="Times New Roman" w:cs="Times New Roman"/>
          <w:sz w:val="24"/>
          <w:szCs w:val="24"/>
        </w:rPr>
        <w:fldChar w:fldCharType="separate"/>
      </w:r>
      <w:r w:rsidRPr="03C04D5D">
        <w:rPr>
          <w:rFonts w:ascii="Times New Roman" w:hAnsi="Times New Roman" w:cs="Times New Roman"/>
          <w:sz w:val="24"/>
          <w:szCs w:val="24"/>
          <w:vertAlign w:val="superscript"/>
        </w:rPr>
        <w:t>44</w:t>
      </w:r>
      <w:r w:rsidR="00B949B8" w:rsidRPr="03C04D5D">
        <w:rPr>
          <w:rFonts w:ascii="Times New Roman" w:hAnsi="Times New Roman" w:cs="Times New Roman"/>
          <w:sz w:val="24"/>
          <w:szCs w:val="24"/>
        </w:rPr>
        <w:fldChar w:fldCharType="end"/>
      </w:r>
      <w:r w:rsidRPr="03C04D5D">
        <w:rPr>
          <w:rFonts w:ascii="Times New Roman" w:hAnsi="Times New Roman" w:cs="Times New Roman"/>
          <w:sz w:val="24"/>
          <w:szCs w:val="24"/>
        </w:rPr>
        <w:t xml:space="preserve"> and RStudio, version</w:t>
      </w:r>
      <w:r>
        <w:t xml:space="preserve"> </w:t>
      </w:r>
      <w:r w:rsidRPr="03C04D5D">
        <w:rPr>
          <w:rFonts w:ascii="Times New Roman" w:hAnsi="Times New Roman" w:cs="Times New Roman"/>
          <w:sz w:val="24"/>
          <w:szCs w:val="24"/>
        </w:rPr>
        <w:t>1.2.5019.</w:t>
      </w:r>
      <w:r w:rsidR="00B949B8" w:rsidRPr="03C04D5D">
        <w:rPr>
          <w:rFonts w:ascii="Times New Roman" w:hAnsi="Times New Roman" w:cs="Times New Roman"/>
          <w:sz w:val="24"/>
          <w:szCs w:val="24"/>
        </w:rPr>
        <w:fldChar w:fldCharType="begin"/>
      </w:r>
      <w:r w:rsidR="00B949B8" w:rsidRPr="03C04D5D">
        <w:rPr>
          <w:rFonts w:ascii="Times New Roman" w:hAnsi="Times New Roman" w:cs="Times New Roman"/>
          <w:sz w:val="24"/>
          <w:szCs w:val="24"/>
        </w:rPr>
        <w:instrText xml:space="preserve"> ADDIN ZOTERO_ITEM CSL_CITATION {"citationID":"x8vs1aOB","properties":{"formattedCitation":"\\super 45\\nosupersub{}","plainCitation":"45","noteIndex":0},"citationItems":[{"id":1126,"uris":["http://zotero.org/users/5917738/items/LK3WKERN"],"uri":["http://zotero.org/users/5917738/items/LK3WKERN"],"itemData":{"id":1126,"type":"book","event-place":"Boston,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B949B8" w:rsidRPr="03C04D5D">
        <w:rPr>
          <w:rFonts w:ascii="Times New Roman" w:hAnsi="Times New Roman" w:cs="Times New Roman"/>
          <w:sz w:val="24"/>
          <w:szCs w:val="24"/>
        </w:rPr>
        <w:fldChar w:fldCharType="separate"/>
      </w:r>
      <w:r w:rsidRPr="03C04D5D">
        <w:rPr>
          <w:rFonts w:ascii="Times New Roman" w:hAnsi="Times New Roman" w:cs="Times New Roman"/>
          <w:sz w:val="24"/>
          <w:szCs w:val="24"/>
          <w:vertAlign w:val="superscript"/>
        </w:rPr>
        <w:t>45</w:t>
      </w:r>
      <w:r w:rsidR="00B949B8" w:rsidRPr="03C04D5D">
        <w:rPr>
          <w:rFonts w:ascii="Times New Roman" w:hAnsi="Times New Roman" w:cs="Times New Roman"/>
          <w:sz w:val="24"/>
          <w:szCs w:val="24"/>
        </w:rPr>
        <w:fldChar w:fldCharType="end"/>
      </w:r>
      <w:r w:rsidRPr="03C04D5D">
        <w:rPr>
          <w:rFonts w:ascii="Times New Roman" w:hAnsi="Times New Roman" w:cs="Times New Roman"/>
          <w:sz w:val="24"/>
          <w:szCs w:val="24"/>
        </w:rPr>
        <w:t xml:space="preserve"> Cox models were performed using the </w:t>
      </w:r>
      <w:r w:rsidRPr="03C04D5D">
        <w:rPr>
          <w:rFonts w:ascii="Times New Roman" w:hAnsi="Times New Roman" w:cs="Times New Roman"/>
          <w:i/>
          <w:iCs/>
          <w:sz w:val="24"/>
          <w:szCs w:val="24"/>
        </w:rPr>
        <w:t xml:space="preserve">survival </w:t>
      </w:r>
      <w:r w:rsidRPr="03C04D5D">
        <w:rPr>
          <w:rFonts w:ascii="Times New Roman" w:hAnsi="Times New Roman" w:cs="Times New Roman"/>
          <w:sz w:val="24"/>
          <w:szCs w:val="24"/>
        </w:rPr>
        <w:t>package,</w:t>
      </w:r>
      <w:r w:rsidR="00B949B8" w:rsidRPr="03C04D5D">
        <w:rPr>
          <w:rFonts w:ascii="Times New Roman" w:hAnsi="Times New Roman" w:cs="Times New Roman"/>
          <w:sz w:val="24"/>
          <w:szCs w:val="24"/>
        </w:rPr>
        <w:fldChar w:fldCharType="begin"/>
      </w:r>
      <w:r w:rsidR="00B949B8" w:rsidRPr="03C04D5D">
        <w:rPr>
          <w:rFonts w:ascii="Times New Roman" w:hAnsi="Times New Roman" w:cs="Times New Roman"/>
          <w:sz w:val="24"/>
          <w:szCs w:val="24"/>
        </w:rPr>
        <w:instrText xml:space="preserve"> ADDIN ZOTERO_ITEM CSL_CITATION {"citationID":"mn8CbsHj","properties":{"formattedCitation":"\\super 46\\nosupersub{}","plainCitation":"46","noteIndex":0},"citationItems":[{"id":1127,"uris":["http://zotero.org/users/5917738/items/VYABRGI3"],"uri":["http://zotero.org/users/5917738/items/VYABRGI3"],"itemData":{"id":1127,"type":"article-journal","title":"survival: Survival analysis. R package version 2.38-3","author":[{"family":"Therneau","given":"T"},{"family":"Lumley","given":"T"}],"issued":{"date-parts":[["2015"]]}}}],"schema":"https://github.com/citation-style-language/schema/raw/master/csl-citation.json"} </w:instrText>
      </w:r>
      <w:r w:rsidR="00B949B8" w:rsidRPr="03C04D5D">
        <w:rPr>
          <w:rFonts w:ascii="Times New Roman" w:hAnsi="Times New Roman" w:cs="Times New Roman"/>
          <w:sz w:val="24"/>
          <w:szCs w:val="24"/>
        </w:rPr>
        <w:fldChar w:fldCharType="separate"/>
      </w:r>
      <w:r w:rsidRPr="03C04D5D">
        <w:rPr>
          <w:rFonts w:ascii="Times New Roman" w:hAnsi="Times New Roman" w:cs="Times New Roman"/>
          <w:sz w:val="24"/>
          <w:szCs w:val="24"/>
          <w:vertAlign w:val="superscript"/>
        </w:rPr>
        <w:t>46</w:t>
      </w:r>
      <w:r w:rsidR="00B949B8" w:rsidRPr="03C04D5D">
        <w:rPr>
          <w:rFonts w:ascii="Times New Roman" w:hAnsi="Times New Roman" w:cs="Times New Roman"/>
          <w:sz w:val="24"/>
          <w:szCs w:val="24"/>
        </w:rPr>
        <w:fldChar w:fldCharType="end"/>
      </w:r>
      <w:r w:rsidRPr="03C04D5D">
        <w:rPr>
          <w:rFonts w:ascii="Times New Roman" w:hAnsi="Times New Roman" w:cs="Times New Roman"/>
          <w:sz w:val="24"/>
          <w:szCs w:val="24"/>
        </w:rPr>
        <w:t xml:space="preserve"> and, to account for the complex sampling methodology of the NHIS, all regressions and descriptive statistics were adjusted for survey design using the </w:t>
      </w:r>
      <w:r w:rsidRPr="03C04D5D">
        <w:rPr>
          <w:rFonts w:ascii="Times New Roman" w:hAnsi="Times New Roman" w:cs="Times New Roman"/>
          <w:i/>
          <w:iCs/>
          <w:sz w:val="24"/>
          <w:szCs w:val="24"/>
        </w:rPr>
        <w:t>survey</w:t>
      </w:r>
      <w:r w:rsidRPr="03C04D5D">
        <w:rPr>
          <w:rFonts w:ascii="Times New Roman" w:hAnsi="Times New Roman" w:cs="Times New Roman"/>
          <w:sz w:val="24"/>
          <w:szCs w:val="24"/>
        </w:rPr>
        <w:t xml:space="preserve"> package.</w:t>
      </w:r>
      <w:r w:rsidR="00B949B8" w:rsidRPr="03C04D5D">
        <w:rPr>
          <w:rFonts w:ascii="Times New Roman" w:hAnsi="Times New Roman" w:cs="Times New Roman"/>
          <w:sz w:val="24"/>
          <w:szCs w:val="24"/>
        </w:rPr>
        <w:fldChar w:fldCharType="begin"/>
      </w:r>
      <w:r w:rsidR="00B949B8" w:rsidRPr="03C04D5D">
        <w:rPr>
          <w:rFonts w:ascii="Times New Roman" w:hAnsi="Times New Roman" w:cs="Times New Roman"/>
          <w:sz w:val="24"/>
          <w:szCs w:val="24"/>
        </w:rPr>
        <w:instrText xml:space="preserve"> ADDIN ZOTERO_ITEM CSL_CITATION {"citationID":"gc8Bzq7D","properties":{"formattedCitation":"\\super 47\\nosupersub{}","plainCitation":"47","noteIndex":0},"citationItems":[{"id":1018,"uris":["http://zotero.org/users/5917738/items/WRL4YBWR"],"uri":["http://zotero.org/users/5917738/items/WRL4YBWR"],"itemData":{"id":1018,"type":"article-journal","container-title":"Journal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B949B8" w:rsidRPr="03C04D5D">
        <w:rPr>
          <w:rFonts w:ascii="Times New Roman" w:hAnsi="Times New Roman" w:cs="Times New Roman"/>
          <w:sz w:val="24"/>
          <w:szCs w:val="24"/>
        </w:rPr>
        <w:fldChar w:fldCharType="separate"/>
      </w:r>
      <w:r w:rsidRPr="03C04D5D">
        <w:rPr>
          <w:rFonts w:ascii="Times New Roman" w:hAnsi="Times New Roman" w:cs="Times New Roman"/>
          <w:sz w:val="24"/>
          <w:szCs w:val="24"/>
          <w:vertAlign w:val="superscript"/>
        </w:rPr>
        <w:t>47</w:t>
      </w:r>
      <w:r w:rsidR="00B949B8" w:rsidRPr="03C04D5D">
        <w:rPr>
          <w:rFonts w:ascii="Times New Roman" w:hAnsi="Times New Roman" w:cs="Times New Roman"/>
          <w:sz w:val="24"/>
          <w:szCs w:val="24"/>
        </w:rPr>
        <w:fldChar w:fldCharType="end"/>
      </w:r>
      <w:r w:rsidRPr="03C04D5D">
        <w:rPr>
          <w:rFonts w:ascii="Times New Roman" w:hAnsi="Times New Roman" w:cs="Times New Roman"/>
          <w:sz w:val="24"/>
          <w:szCs w:val="24"/>
        </w:rPr>
        <w:t xml:space="preserve"> </w:t>
      </w:r>
      <w:ins w:id="6" w:author="Sarah Van Alsten" w:date="2020-03-03T14:38:00Z">
        <w:r w:rsidRPr="03C04D5D">
          <w:rPr>
            <w:rFonts w:ascii="Times New Roman" w:hAnsi="Times New Roman" w:cs="Times New Roman"/>
            <w:sz w:val="24"/>
            <w:szCs w:val="24"/>
          </w:rPr>
          <w:t>All c</w:t>
        </w:r>
      </w:ins>
      <w:ins w:id="7" w:author="Sarah Van Alsten" w:date="2020-03-03T14:37:00Z">
        <w:r w:rsidRPr="03C04D5D">
          <w:rPr>
            <w:rFonts w:ascii="Times New Roman" w:hAnsi="Times New Roman" w:cs="Times New Roman"/>
            <w:sz w:val="24"/>
            <w:szCs w:val="24"/>
          </w:rPr>
          <w:t xml:space="preserve">ode </w:t>
        </w:r>
      </w:ins>
      <w:ins w:id="8" w:author="Sarah Van Alsten" w:date="2020-03-03T14:38:00Z">
        <w:r w:rsidRPr="03C04D5D">
          <w:rPr>
            <w:rFonts w:ascii="Times New Roman" w:hAnsi="Times New Roman" w:cs="Times New Roman"/>
            <w:sz w:val="24"/>
            <w:szCs w:val="24"/>
          </w:rPr>
          <w:t xml:space="preserve">used to conduct </w:t>
        </w:r>
      </w:ins>
      <w:ins w:id="9" w:author="Sarah Van Alsten" w:date="2020-03-03T14:37:00Z">
        <w:r w:rsidRPr="03C04D5D">
          <w:rPr>
            <w:rFonts w:ascii="Times New Roman" w:hAnsi="Times New Roman" w:cs="Times New Roman"/>
            <w:sz w:val="24"/>
            <w:szCs w:val="24"/>
          </w:rPr>
          <w:t>analyses is available</w:t>
        </w:r>
      </w:ins>
      <w:ins w:id="10" w:author="Sarah Van Alsten" w:date="2020-03-03T14:38:00Z">
        <w:r w:rsidRPr="03C04D5D">
          <w:rPr>
            <w:rFonts w:ascii="Times New Roman" w:hAnsi="Times New Roman" w:cs="Times New Roman"/>
            <w:sz w:val="24"/>
            <w:szCs w:val="24"/>
          </w:rPr>
          <w:t xml:space="preserve"> </w:t>
        </w:r>
      </w:ins>
      <w:ins w:id="11" w:author="Sarah Van Alsten" w:date="2020-03-03T14:40:00Z">
        <w:r w:rsidRPr="03C04D5D">
          <w:rPr>
            <w:rFonts w:ascii="Times New Roman" w:hAnsi="Times New Roman" w:cs="Times New Roman"/>
            <w:sz w:val="24"/>
            <w:szCs w:val="24"/>
          </w:rPr>
          <w:t xml:space="preserve">at </w:t>
        </w:r>
      </w:ins>
      <w:ins w:id="12" w:author="Van Alsten, Sarah" w:date="2020-03-03T14:40:00Z">
        <w:r w:rsidR="00B949B8" w:rsidRPr="03C04D5D">
          <w:rPr>
            <w:rFonts w:ascii="Times New Roman" w:hAnsi="Times New Roman" w:cs="Times New Roman"/>
            <w:sz w:val="24"/>
            <w:szCs w:val="24"/>
          </w:rPr>
          <w:fldChar w:fldCharType="begin"/>
        </w:r>
      </w:ins>
      <w:ins w:id="13" w:author="Sarah Van Alsten" w:date="2020-03-03T14:40:00Z">
        <w:r w:rsidR="00B949B8" w:rsidRPr="03C04D5D">
          <w:rPr>
            <w:rFonts w:ascii="Times New Roman" w:hAnsi="Times New Roman" w:cs="Times New Roman"/>
            <w:sz w:val="24"/>
            <w:szCs w:val="24"/>
          </w:rPr>
          <w:instrText xml:space="preserve"> HYPERLINK "</w:instrText>
        </w:r>
      </w:ins>
      <w:ins w:id="14" w:author="Sarah Van Alsten" w:date="2020-03-03T14:39:00Z">
        <w:r w:rsidR="00B949B8" w:rsidRPr="03C04D5D">
          <w:rPr>
            <w:rFonts w:ascii="Times New Roman" w:hAnsi="Times New Roman" w:cs="Times New Roman"/>
            <w:sz w:val="24"/>
            <w:szCs w:val="24"/>
          </w:rPr>
          <w:instrText>https://github.com/sarahVanAlsten/nhis2019</w:instrText>
        </w:r>
      </w:ins>
      <w:ins w:id="15" w:author="Sarah Van Alsten" w:date="2020-03-03T14:40:00Z">
        <w:r w:rsidR="00B949B8" w:rsidRPr="03C04D5D">
          <w:rPr>
            <w:rFonts w:ascii="Times New Roman" w:hAnsi="Times New Roman" w:cs="Times New Roman"/>
            <w:sz w:val="24"/>
            <w:szCs w:val="24"/>
          </w:rPr>
          <w:instrText xml:space="preserve">" </w:instrText>
        </w:r>
      </w:ins>
      <w:ins w:id="16" w:author="Van Alsten, Sarah" w:date="2020-03-03T14:40:00Z">
        <w:r w:rsidR="00B949B8" w:rsidRPr="03C04D5D">
          <w:rPr>
            <w:rFonts w:ascii="Times New Roman" w:hAnsi="Times New Roman" w:cs="Times New Roman"/>
            <w:sz w:val="24"/>
            <w:szCs w:val="24"/>
          </w:rPr>
          <w:fldChar w:fldCharType="separate"/>
        </w:r>
      </w:ins>
      <w:ins w:id="17" w:author="Sarah Van Alsten" w:date="2020-03-03T14:39:00Z">
        <w:r w:rsidRPr="03C04D5D">
          <w:rPr>
            <w:rStyle w:val="Hyperlink"/>
            <w:rFonts w:ascii="Times New Roman" w:hAnsi="Times New Roman" w:cs="Times New Roman"/>
            <w:sz w:val="24"/>
            <w:szCs w:val="24"/>
            <w:rPrChange w:id="18" w:author="Sarah Van Alsten" w:date="2020-03-03T14:40:00Z">
              <w:rPr>
                <w:rStyle w:val="Hyperlink"/>
              </w:rPr>
            </w:rPrChange>
          </w:rPr>
          <w:t>https://github.com/sarahVanAlsten/nhis2019</w:t>
        </w:r>
      </w:ins>
      <w:ins w:id="19" w:author="Van Alsten, Sarah" w:date="2020-03-03T14:40:00Z">
        <w:r w:rsidR="00B949B8" w:rsidRPr="03C04D5D">
          <w:rPr>
            <w:rFonts w:ascii="Times New Roman" w:hAnsi="Times New Roman" w:cs="Times New Roman"/>
            <w:sz w:val="24"/>
            <w:szCs w:val="24"/>
          </w:rPr>
          <w:fldChar w:fldCharType="end"/>
        </w:r>
      </w:ins>
      <w:ins w:id="20" w:author="Sarah Van Alsten" w:date="2020-03-03T14:40:00Z">
        <w:r w:rsidRPr="03C04D5D">
          <w:rPr>
            <w:rFonts w:ascii="Times New Roman" w:hAnsi="Times New Roman" w:cs="Times New Roman"/>
            <w:sz w:val="24"/>
            <w:szCs w:val="24"/>
          </w:rPr>
          <w:t>, however</w:t>
        </w:r>
      </w:ins>
      <w:ins w:id="21" w:author="Van Alsten, Sarah" w:date="2020-03-03T15:44:00Z">
        <w:r w:rsidR="00D15C7D">
          <w:rPr>
            <w:rFonts w:ascii="Times New Roman" w:hAnsi="Times New Roman" w:cs="Times New Roman"/>
            <w:sz w:val="24"/>
            <w:szCs w:val="24"/>
          </w:rPr>
          <w:t>.</w:t>
        </w:r>
      </w:ins>
      <w:bookmarkStart w:id="22" w:name="_GoBack"/>
      <w:bookmarkEnd w:id="22"/>
      <w:ins w:id="23" w:author="Sarah Van Alsten" w:date="2020-03-03T14:40:00Z">
        <w:del w:id="24" w:author="Van Alsten, Sarah" w:date="2020-03-03T15:44:00Z">
          <w:r w:rsidRPr="03C04D5D" w:rsidDel="00D15C7D">
            <w:rPr>
              <w:rFonts w:ascii="Times New Roman" w:hAnsi="Times New Roman" w:cs="Times New Roman"/>
              <w:sz w:val="24"/>
              <w:szCs w:val="24"/>
            </w:rPr>
            <w:delText xml:space="preserve">, note that </w:delText>
          </w:r>
        </w:del>
      </w:ins>
      <w:ins w:id="25" w:author="Sarah Van Alsten" w:date="2020-03-03T14:41:00Z">
        <w:del w:id="26" w:author="Van Alsten, Sarah" w:date="2020-03-03T15:44:00Z">
          <w:r w:rsidRPr="03C04D5D" w:rsidDel="00D15C7D">
            <w:rPr>
              <w:rFonts w:ascii="Times New Roman" w:hAnsi="Times New Roman" w:cs="Times New Roman"/>
              <w:sz w:val="24"/>
              <w:szCs w:val="24"/>
            </w:rPr>
            <w:delText xml:space="preserve">due to the size of the dataset </w:delText>
          </w:r>
        </w:del>
      </w:ins>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20008FF9" w:rsidR="001A7793" w:rsidRPr="00D803DC" w:rsidRDefault="001905AA" w:rsidP="00D803DC">
      <w:pPr>
        <w:spacing w:line="480" w:lineRule="auto"/>
        <w:rPr>
          <w:rFonts w:ascii="Times New Roman" w:hAnsi="Times New Roman" w:cs="Times New Roman"/>
          <w:iCs/>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w:t>
      </w:r>
      <w:r w:rsidR="003F6FAD">
        <w:rPr>
          <w:rFonts w:ascii="Times New Roman" w:hAnsi="Times New Roman" w:cs="Times New Roman"/>
          <w:sz w:val="24"/>
          <w:szCs w:val="24"/>
        </w:rPr>
        <w:t xml:space="preserve"> hypertension,</w:t>
      </w:r>
      <w:r w:rsidR="00145C27">
        <w:rPr>
          <w:rFonts w:ascii="Times New Roman" w:hAnsi="Times New Roman" w:cs="Times New Roman"/>
          <w:sz w:val="24"/>
          <w:szCs w:val="24"/>
        </w:rPr>
        <w:t xml:space="preserve">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w:t>
      </w:r>
      <w:r w:rsidR="003E6512">
        <w:rPr>
          <w:rFonts w:ascii="Times New Roman" w:hAnsi="Times New Roman" w:cs="Times New Roman"/>
          <w:sz w:val="24"/>
          <w:szCs w:val="24"/>
        </w:rPr>
        <w:t>Twenty</w:t>
      </w:r>
      <w:r w:rsidR="00453446">
        <w:rPr>
          <w:rFonts w:ascii="Times New Roman" w:hAnsi="Times New Roman" w:cs="Times New Roman"/>
          <w:sz w:val="24"/>
          <w:szCs w:val="24"/>
        </w:rPr>
        <w:t xml:space="preserv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w:t>
      </w:r>
      <w:r w:rsidR="003E6512">
        <w:rPr>
          <w:rFonts w:ascii="Times New Roman" w:hAnsi="Times New Roman" w:cs="Times New Roman"/>
          <w:sz w:val="24"/>
          <w:szCs w:val="24"/>
        </w:rPr>
        <w:t>19.1</w:t>
      </w:r>
      <w:r w:rsidR="00585B8A">
        <w:rPr>
          <w:rFonts w:ascii="Times New Roman" w:hAnsi="Times New Roman" w:cs="Times New Roman"/>
          <w:sz w:val="24"/>
          <w:szCs w:val="24"/>
        </w:rPr>
        <w:t>%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3E6512">
        <w:rPr>
          <w:rFonts w:ascii="Times New Roman" w:hAnsi="Times New Roman" w:cs="Times New Roman"/>
          <w:sz w:val="24"/>
          <w:szCs w:val="24"/>
        </w:rPr>
        <w:t>17.2</w:t>
      </w:r>
      <w:r w:rsidR="00B84F41">
        <w:rPr>
          <w:rFonts w:ascii="Times New Roman" w:hAnsi="Times New Roman" w:cs="Times New Roman"/>
          <w:sz w:val="24"/>
          <w:szCs w:val="24"/>
        </w:rPr>
        <w:t xml:space="preserve">% of 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w:t>
      </w:r>
      <w:r w:rsidR="0096276A">
        <w:rPr>
          <w:rFonts w:ascii="Times New Roman" w:hAnsi="Times New Roman" w:cs="Times New Roman"/>
          <w:sz w:val="24"/>
          <w:szCs w:val="24"/>
        </w:rPr>
        <w:t xml:space="preserve"> Among participants </w:t>
      </w:r>
      <w:r w:rsidR="00B51AA0">
        <w:rPr>
          <w:rFonts w:ascii="Times New Roman" w:hAnsi="Times New Roman" w:cs="Times New Roman"/>
          <w:sz w:val="24"/>
          <w:szCs w:val="24"/>
        </w:rPr>
        <w:t>with</w:t>
      </w:r>
      <w:r w:rsidR="00024C1B">
        <w:rPr>
          <w:rFonts w:ascii="Times New Roman" w:hAnsi="Times New Roman" w:cs="Times New Roman"/>
          <w:sz w:val="24"/>
          <w:szCs w:val="24"/>
        </w:rPr>
        <w:t xml:space="preserve"> information on specific</w:t>
      </w:r>
      <w:r w:rsidR="00B51AA0">
        <w:rPr>
          <w:rFonts w:ascii="Times New Roman" w:hAnsi="Times New Roman" w:cs="Times New Roman"/>
          <w:sz w:val="24"/>
          <w:szCs w:val="24"/>
        </w:rPr>
        <w:t xml:space="preserve"> forms of</w:t>
      </w:r>
      <w:r w:rsidR="00024C1B">
        <w:rPr>
          <w:rFonts w:ascii="Times New Roman" w:hAnsi="Times New Roman" w:cs="Times New Roman"/>
          <w:sz w:val="24"/>
          <w:szCs w:val="24"/>
        </w:rPr>
        <w:t xml:space="preserve"> CRN</w:t>
      </w:r>
      <w:r w:rsidR="00EA296C">
        <w:rPr>
          <w:rFonts w:ascii="Times New Roman" w:hAnsi="Times New Roman" w:cs="Times New Roman"/>
          <w:sz w:val="24"/>
          <w:szCs w:val="24"/>
        </w:rPr>
        <w:t>, 37.8% reported</w:t>
      </w:r>
      <w:r w:rsidR="00AA56BE">
        <w:rPr>
          <w:rFonts w:ascii="Times New Roman" w:hAnsi="Times New Roman" w:cs="Times New Roman"/>
          <w:sz w:val="24"/>
          <w:szCs w:val="24"/>
        </w:rPr>
        <w:t xml:space="preserve"> all </w:t>
      </w:r>
      <w:r w:rsidR="00B51AA0">
        <w:rPr>
          <w:rFonts w:ascii="Times New Roman" w:hAnsi="Times New Roman" w:cs="Times New Roman"/>
          <w:sz w:val="24"/>
          <w:szCs w:val="24"/>
        </w:rPr>
        <w:t>three CRN behaviors (</w:t>
      </w:r>
      <w:r w:rsidR="00203638">
        <w:rPr>
          <w:rFonts w:ascii="Times New Roman" w:hAnsi="Times New Roman" w:cs="Times New Roman"/>
          <w:sz w:val="24"/>
          <w:szCs w:val="24"/>
        </w:rPr>
        <w:t>delaying, taking less, and skipping med</w:t>
      </w:r>
      <w:r w:rsidR="00B51AA0">
        <w:rPr>
          <w:rFonts w:ascii="Times New Roman" w:hAnsi="Times New Roman" w:cs="Times New Roman"/>
          <w:sz w:val="24"/>
          <w:szCs w:val="24"/>
        </w:rPr>
        <w:t>ication), and 15.3% reported two CRN behaviors.</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17323C">
        <w:rPr>
          <w:rFonts w:ascii="Times New Roman" w:hAnsi="Times New Roman" w:cs="Times New Roman"/>
          <w:sz w:val="24"/>
          <w:szCs w:val="24"/>
        </w:rPr>
        <w:t xml:space="preserve"> </w:t>
      </w:r>
      <w:r w:rsidR="0017323C">
        <w:rPr>
          <w:rFonts w:ascii="Times New Roman" w:hAnsi="Times New Roman" w:cs="Times New Roman"/>
          <w:sz w:val="24"/>
          <w:szCs w:val="24"/>
        </w:rPr>
        <w:lastRenderedPageBreak/>
        <w:t xml:space="preserve">Although </w:t>
      </w:r>
      <w:r w:rsidR="006450C4">
        <w:rPr>
          <w:rFonts w:ascii="Times New Roman" w:hAnsi="Times New Roman" w:cs="Times New Roman"/>
          <w:sz w:val="24"/>
          <w:szCs w:val="24"/>
        </w:rPr>
        <w:t xml:space="preserve">participants with CRN were less likely to be insured than </w:t>
      </w:r>
      <w:r w:rsidR="00411369">
        <w:rPr>
          <w:rFonts w:ascii="Times New Roman" w:hAnsi="Times New Roman" w:cs="Times New Roman"/>
          <w:sz w:val="24"/>
          <w:szCs w:val="24"/>
        </w:rPr>
        <w:t>those without CRN, the</w:t>
      </w:r>
      <w:r w:rsidR="00F94C19">
        <w:rPr>
          <w:rFonts w:ascii="Times New Roman" w:hAnsi="Times New Roman" w:cs="Times New Roman"/>
          <w:sz w:val="24"/>
          <w:szCs w:val="24"/>
        </w:rPr>
        <w:t xml:space="preserve"> most common form of insurance among those with CRN was private insurance</w:t>
      </w:r>
      <w:r w:rsidR="00953B4A">
        <w:rPr>
          <w:rFonts w:ascii="Times New Roman" w:hAnsi="Times New Roman" w:cs="Times New Roman"/>
          <w:sz w:val="24"/>
          <w:szCs w:val="24"/>
        </w:rPr>
        <w:t xml:space="preserve"> (Table 1)</w:t>
      </w:r>
      <w:r w:rsidR="0028160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64BDA">
        <w:rPr>
          <w:rFonts w:ascii="Times New Roman" w:hAnsi="Times New Roman" w:cs="Times New Roman"/>
          <w:sz w:val="24"/>
          <w:szCs w:val="24"/>
        </w:rPr>
        <w:t xml:space="preserve"> such that a</w:t>
      </w:r>
      <w:r w:rsidR="0005487A">
        <w:rPr>
          <w:rFonts w:ascii="Times New Roman" w:hAnsi="Times New Roman" w:cs="Times New Roman"/>
          <w:sz w:val="24"/>
          <w:szCs w:val="24"/>
        </w:rPr>
        <w:t xml:space="preserve">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compared to 27% and 46% of those without 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267CC580"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w:t>
      </w:r>
      <w:r w:rsidR="002057F5">
        <w:rPr>
          <w:rFonts w:ascii="Times New Roman" w:hAnsi="Times New Roman" w:cs="Times New Roman"/>
          <w:i/>
          <w:iCs/>
          <w:sz w:val="24"/>
          <w:szCs w:val="24"/>
        </w:rPr>
        <w:t>es</w:t>
      </w:r>
    </w:p>
    <w:p w14:paraId="7FFD1295" w14:textId="68E2D967"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FD4406">
        <w:rPr>
          <w:rFonts w:ascii="Times New Roman" w:hAnsi="Times New Roman" w:cs="Times New Roman"/>
          <w:sz w:val="24"/>
          <w:szCs w:val="24"/>
        </w:rPr>
        <w:t>291</w:t>
      </w:r>
      <w:r w:rsidR="00ED67B1">
        <w:rPr>
          <w:rFonts w:ascii="Times New Roman" w:hAnsi="Times New Roman" w:cs="Times New Roman"/>
          <w:sz w:val="24"/>
          <w:szCs w:val="24"/>
        </w:rPr>
        <w:t xml:space="preserve"> weeks (IQR = 1</w:t>
      </w:r>
      <w:r w:rsidR="00FD4406">
        <w:rPr>
          <w:rFonts w:ascii="Times New Roman" w:hAnsi="Times New Roman" w:cs="Times New Roman"/>
          <w:sz w:val="24"/>
          <w:szCs w:val="24"/>
        </w:rPr>
        <w:t>56</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w:t>
      </w:r>
      <w:r w:rsidR="00FD4406">
        <w:rPr>
          <w:rFonts w:ascii="Times New Roman" w:hAnsi="Times New Roman" w:cs="Times New Roman"/>
          <w:sz w:val="24"/>
          <w:szCs w:val="24"/>
        </w:rPr>
        <w:t>4</w:t>
      </w:r>
      <w:r w:rsidR="00C65C99">
        <w:rPr>
          <w:rFonts w:ascii="Times New Roman" w:hAnsi="Times New Roman" w:cs="Times New Roman"/>
          <w:sz w:val="24"/>
          <w:szCs w:val="24"/>
        </w:rPr>
        <w:t>)</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r w:rsidR="0010310E">
        <w:rPr>
          <w:rFonts w:ascii="Times New Roman" w:hAnsi="Times New Roman" w:cs="Times New Roman"/>
          <w:sz w:val="24"/>
          <w:szCs w:val="24"/>
        </w:rPr>
        <w:t xml:space="preserve"> </w:t>
      </w:r>
      <w:r w:rsidR="00C14CF9">
        <w:rPr>
          <w:rFonts w:ascii="Times New Roman" w:hAnsi="Times New Roman" w:cs="Times New Roman"/>
          <w:sz w:val="24"/>
          <w:szCs w:val="24"/>
        </w:rPr>
        <w:t xml:space="preserve">After stratifying by </w:t>
      </w:r>
      <w:r w:rsidR="00C54E91">
        <w:rPr>
          <w:rFonts w:ascii="Times New Roman" w:hAnsi="Times New Roman" w:cs="Times New Roman"/>
          <w:sz w:val="24"/>
          <w:szCs w:val="24"/>
        </w:rPr>
        <w:t>interview year,</w:t>
      </w:r>
      <w:r w:rsidR="005C6338">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5C6338">
        <w:rPr>
          <w:rFonts w:ascii="Times New Roman" w:hAnsi="Times New Roman" w:cs="Times New Roman"/>
          <w:sz w:val="24"/>
          <w:szCs w:val="24"/>
        </w:rPr>
        <w:t>found that</w:t>
      </w:r>
      <w:r w:rsidR="004A3767">
        <w:rPr>
          <w:rFonts w:ascii="Times New Roman" w:hAnsi="Times New Roman" w:cs="Times New Roman"/>
          <w:sz w:val="24"/>
          <w:szCs w:val="24"/>
        </w:rPr>
        <w:t xml:space="preserve"> </w:t>
      </w:r>
      <w:r w:rsidR="00661E33">
        <w:rPr>
          <w:rFonts w:ascii="Times New Roman" w:hAnsi="Times New Roman" w:cs="Times New Roman"/>
          <w:sz w:val="24"/>
          <w:szCs w:val="24"/>
        </w:rPr>
        <w:t>among individuals with diabetes,</w:t>
      </w:r>
      <w:r w:rsidR="006E290A">
        <w:rPr>
          <w:rFonts w:ascii="Times New Roman" w:hAnsi="Times New Roman" w:cs="Times New Roman"/>
          <w:sz w:val="24"/>
          <w:szCs w:val="24"/>
        </w:rPr>
        <w:t xml:space="preserve"> </w:t>
      </w:r>
      <w:r w:rsidR="00E729A3">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8D2709">
        <w:rPr>
          <w:rFonts w:ascii="Times New Roman" w:hAnsi="Times New Roman" w:cs="Times New Roman"/>
          <w:sz w:val="24"/>
          <w:szCs w:val="24"/>
        </w:rPr>
        <w:t xml:space="preserve"> A complete list of </w:t>
      </w:r>
      <w:r w:rsidR="00C07F1A">
        <w:rPr>
          <w:rFonts w:ascii="Times New Roman" w:hAnsi="Times New Roman" w:cs="Times New Roman"/>
          <w:sz w:val="24"/>
          <w:szCs w:val="24"/>
        </w:rPr>
        <w:t>hazard ratios</w:t>
      </w:r>
      <w:r w:rsidR="005574BC">
        <w:rPr>
          <w:rFonts w:ascii="Times New Roman" w:hAnsi="Times New Roman" w:cs="Times New Roman"/>
          <w:sz w:val="24"/>
          <w:szCs w:val="24"/>
        </w:rPr>
        <w:t xml:space="preserve"> for confounders is show in </w:t>
      </w:r>
      <w:r w:rsidR="00DF3111">
        <w:rPr>
          <w:rFonts w:ascii="Times New Roman" w:hAnsi="Times New Roman" w:cs="Times New Roman"/>
          <w:sz w:val="24"/>
          <w:szCs w:val="24"/>
        </w:rPr>
        <w:t>Supplementary Table 1.</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lastRenderedPageBreak/>
        <w:t>Cardiovascular Disease</w:t>
      </w:r>
    </w:p>
    <w:p w14:paraId="0387F8E9" w14:textId="73FA6469"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w:t>
      </w:r>
      <w:r w:rsidR="00B22643">
        <w:rPr>
          <w:rFonts w:ascii="Times New Roman" w:hAnsi="Times New Roman" w:cs="Times New Roman"/>
          <w:sz w:val="24"/>
          <w:szCs w:val="24"/>
        </w:rPr>
        <w:t>04</w:t>
      </w:r>
      <w:r w:rsidR="00FE2E89">
        <w:rPr>
          <w:rFonts w:ascii="Times New Roman" w:hAnsi="Times New Roman" w:cs="Times New Roman"/>
          <w:sz w:val="24"/>
          <w:szCs w:val="24"/>
        </w:rPr>
        <w:t xml:space="preserve"> weeks</w:t>
      </w:r>
      <w:r w:rsidR="00A50D35">
        <w:rPr>
          <w:rFonts w:ascii="Times New Roman" w:hAnsi="Times New Roman" w:cs="Times New Roman"/>
          <w:sz w:val="24"/>
          <w:szCs w:val="24"/>
        </w:rPr>
        <w:t xml:space="preserve"> (IQR = </w:t>
      </w:r>
      <w:r w:rsidR="00F511CD">
        <w:rPr>
          <w:rFonts w:ascii="Times New Roman" w:hAnsi="Times New Roman" w:cs="Times New Roman"/>
          <w:sz w:val="24"/>
          <w:szCs w:val="24"/>
        </w:rPr>
        <w:t>1</w:t>
      </w:r>
      <w:r w:rsidR="00B22643">
        <w:rPr>
          <w:rFonts w:ascii="Times New Roman" w:hAnsi="Times New Roman" w:cs="Times New Roman"/>
          <w:sz w:val="24"/>
          <w:szCs w:val="24"/>
        </w:rPr>
        <w:t>60</w:t>
      </w:r>
      <w:r w:rsidR="00F511CD">
        <w:rPr>
          <w:rFonts w:ascii="Times New Roman" w:hAnsi="Times New Roman" w:cs="Times New Roman"/>
          <w:sz w:val="24"/>
          <w:szCs w:val="24"/>
        </w:rPr>
        <w:t xml:space="preserve"> – 53</w:t>
      </w:r>
      <w:r w:rsidR="00B22643">
        <w:rPr>
          <w:rFonts w:ascii="Times New Roman" w:hAnsi="Times New Roman" w:cs="Times New Roman"/>
          <w:sz w:val="24"/>
          <w:szCs w:val="24"/>
        </w:rPr>
        <w:t>4</w:t>
      </w:r>
      <w:r w:rsidR="00F511CD">
        <w:rPr>
          <w:rFonts w:ascii="Times New Roman" w:hAnsi="Times New Roman" w:cs="Times New Roman"/>
          <w:sz w:val="24"/>
          <w:szCs w:val="24"/>
        </w:rPr>
        <w:t>)</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r w:rsidR="00521E1C">
        <w:rPr>
          <w:rFonts w:ascii="Times New Roman" w:hAnsi="Times New Roman" w:cs="Times New Roman"/>
          <w:sz w:val="24"/>
          <w:szCs w:val="24"/>
        </w:rPr>
        <w:t>Supplementary Table 2 displays the</w:t>
      </w:r>
      <w:r w:rsidR="00892C74">
        <w:rPr>
          <w:rFonts w:ascii="Times New Roman" w:hAnsi="Times New Roman" w:cs="Times New Roman"/>
          <w:sz w:val="24"/>
          <w:szCs w:val="24"/>
        </w:rPr>
        <w:t xml:space="preserve"> estimated </w:t>
      </w:r>
      <w:r w:rsidR="00C07F1A">
        <w:rPr>
          <w:rFonts w:ascii="Times New Roman" w:hAnsi="Times New Roman" w:cs="Times New Roman"/>
          <w:sz w:val="24"/>
          <w:szCs w:val="24"/>
        </w:rPr>
        <w:t>hazard ratios</w:t>
      </w:r>
      <w:r w:rsidR="00892C74">
        <w:rPr>
          <w:rFonts w:ascii="Times New Roman" w:hAnsi="Times New Roman" w:cs="Times New Roman"/>
          <w:sz w:val="24"/>
          <w:szCs w:val="24"/>
        </w:rPr>
        <w:t xml:space="preserve"> for all confounders</w:t>
      </w:r>
      <w:r w:rsidR="0030202F">
        <w:rPr>
          <w:rFonts w:ascii="Times New Roman" w:hAnsi="Times New Roman" w:cs="Times New Roman"/>
          <w:sz w:val="24"/>
          <w:szCs w:val="24"/>
        </w:rPr>
        <w:t>.</w:t>
      </w:r>
    </w:p>
    <w:p w14:paraId="62114A65" w14:textId="568E9D6A" w:rsid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245BA7E3" w14:textId="545AE70E" w:rsidR="00AE1990" w:rsidRPr="00AE1990" w:rsidRDefault="0008764E"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 total of 28,755 (19.5%) individuals classified as having CVD under the expanded definition died during the follow-up period</w:t>
      </w:r>
      <w:r w:rsidR="00BE5A5D">
        <w:rPr>
          <w:rFonts w:ascii="Times New Roman" w:hAnsi="Times New Roman" w:cs="Times New Roman"/>
          <w:iCs/>
          <w:sz w:val="24"/>
          <w:szCs w:val="24"/>
        </w:rPr>
        <w:t xml:space="preserve">, </w:t>
      </w:r>
      <w:r w:rsidR="00A65F27">
        <w:rPr>
          <w:rFonts w:ascii="Times New Roman" w:hAnsi="Times New Roman" w:cs="Times New Roman"/>
          <w:iCs/>
          <w:sz w:val="24"/>
          <w:szCs w:val="24"/>
        </w:rPr>
        <w:t>2,698 (</w:t>
      </w:r>
      <w:r w:rsidR="00C9184D">
        <w:rPr>
          <w:rFonts w:ascii="Times New Roman" w:hAnsi="Times New Roman" w:cs="Times New Roman"/>
          <w:iCs/>
          <w:sz w:val="24"/>
          <w:szCs w:val="24"/>
        </w:rPr>
        <w:t>9.4</w:t>
      </w:r>
      <w:r w:rsidR="00BE5A5D">
        <w:rPr>
          <w:rFonts w:ascii="Times New Roman" w:hAnsi="Times New Roman" w:cs="Times New Roman"/>
          <w:iCs/>
          <w:sz w:val="24"/>
          <w:szCs w:val="24"/>
        </w:rPr>
        <w:t>%</w:t>
      </w:r>
      <w:r w:rsidR="00A65F27">
        <w:rPr>
          <w:rFonts w:ascii="Times New Roman" w:hAnsi="Times New Roman" w:cs="Times New Roman"/>
          <w:iCs/>
          <w:sz w:val="24"/>
          <w:szCs w:val="24"/>
        </w:rPr>
        <w:t>)</w:t>
      </w:r>
      <w:r w:rsidR="00BE5A5D">
        <w:rPr>
          <w:rFonts w:ascii="Times New Roman" w:hAnsi="Times New Roman" w:cs="Times New Roman"/>
          <w:iCs/>
          <w:sz w:val="24"/>
          <w:szCs w:val="24"/>
        </w:rPr>
        <w:t xml:space="preserve"> of whom report</w:t>
      </w:r>
      <w:r w:rsidR="001D6ABA">
        <w:rPr>
          <w:rFonts w:ascii="Times New Roman" w:hAnsi="Times New Roman" w:cs="Times New Roman"/>
          <w:iCs/>
          <w:sz w:val="24"/>
          <w:szCs w:val="24"/>
        </w:rPr>
        <w:t>ed</w:t>
      </w:r>
      <w:r w:rsidR="00BE5A5D">
        <w:rPr>
          <w:rFonts w:ascii="Times New Roman" w:hAnsi="Times New Roman" w:cs="Times New Roman"/>
          <w:iCs/>
          <w:sz w:val="24"/>
          <w:szCs w:val="24"/>
        </w:rPr>
        <w:t xml:space="preserve"> CRN.</w:t>
      </w:r>
      <w:r w:rsidR="00844251">
        <w:rPr>
          <w:rFonts w:ascii="Times New Roman" w:hAnsi="Times New Roman" w:cs="Times New Roman"/>
          <w:iCs/>
          <w:sz w:val="24"/>
          <w:szCs w:val="24"/>
        </w:rPr>
        <w:t xml:space="preserve"> </w:t>
      </w:r>
      <w:r w:rsidR="00CC0163">
        <w:rPr>
          <w:rFonts w:ascii="Times New Roman" w:hAnsi="Times New Roman" w:cs="Times New Roman"/>
          <w:iCs/>
          <w:sz w:val="24"/>
          <w:szCs w:val="24"/>
        </w:rPr>
        <w:t>In unadjusted models, i</w:t>
      </w:r>
      <w:r w:rsidR="009E46D0">
        <w:rPr>
          <w:rFonts w:ascii="Times New Roman" w:hAnsi="Times New Roman" w:cs="Times New Roman"/>
          <w:iCs/>
          <w:sz w:val="24"/>
          <w:szCs w:val="24"/>
        </w:rPr>
        <w:t xml:space="preserve">ndividuals with CVD or hypertension </w:t>
      </w:r>
      <w:r w:rsidR="00657FDF">
        <w:rPr>
          <w:rFonts w:ascii="Times New Roman" w:hAnsi="Times New Roman" w:cs="Times New Roman"/>
          <w:iCs/>
          <w:sz w:val="24"/>
          <w:szCs w:val="24"/>
        </w:rPr>
        <w:t>who experienced CRN had significantly lower hazard of death than individuals who did not experience CRN</w:t>
      </w:r>
      <w:r w:rsidR="008A43E4">
        <w:rPr>
          <w:rFonts w:ascii="Times New Roman" w:hAnsi="Times New Roman" w:cs="Times New Roman"/>
          <w:iCs/>
          <w:sz w:val="24"/>
          <w:szCs w:val="24"/>
        </w:rPr>
        <w:t xml:space="preserve"> (HR = 0.771, 95% CI = </w:t>
      </w:r>
      <w:r w:rsidR="00366C5C">
        <w:rPr>
          <w:rFonts w:ascii="Times New Roman" w:hAnsi="Times New Roman" w:cs="Times New Roman"/>
          <w:iCs/>
          <w:sz w:val="24"/>
          <w:szCs w:val="24"/>
        </w:rPr>
        <w:t>0.732 – 0.813).</w:t>
      </w:r>
      <w:r w:rsidR="00950306">
        <w:rPr>
          <w:rFonts w:ascii="Times New Roman" w:hAnsi="Times New Roman" w:cs="Times New Roman"/>
          <w:iCs/>
          <w:sz w:val="24"/>
          <w:szCs w:val="24"/>
        </w:rPr>
        <w:t xml:space="preserve"> After adjustment for confounders, the hazard of death was </w:t>
      </w:r>
      <w:r w:rsidR="00E945B0">
        <w:rPr>
          <w:rFonts w:ascii="Times New Roman" w:hAnsi="Times New Roman" w:cs="Times New Roman"/>
          <w:iCs/>
          <w:sz w:val="24"/>
          <w:szCs w:val="24"/>
        </w:rPr>
        <w:t>23.0% higher</w:t>
      </w:r>
      <w:r w:rsidR="00D964A8">
        <w:rPr>
          <w:rFonts w:ascii="Times New Roman" w:hAnsi="Times New Roman" w:cs="Times New Roman"/>
          <w:iCs/>
          <w:sz w:val="24"/>
          <w:szCs w:val="24"/>
        </w:rPr>
        <w:t xml:space="preserve"> among </w:t>
      </w:r>
      <w:r w:rsidR="007B7E05">
        <w:rPr>
          <w:rFonts w:ascii="Times New Roman" w:hAnsi="Times New Roman" w:cs="Times New Roman"/>
          <w:iCs/>
          <w:sz w:val="24"/>
          <w:szCs w:val="24"/>
        </w:rPr>
        <w:t>individuals with CVD or hypertension who reported CRN</w:t>
      </w:r>
      <w:r w:rsidR="007E059A">
        <w:rPr>
          <w:rFonts w:ascii="Times New Roman" w:hAnsi="Times New Roman" w:cs="Times New Roman"/>
          <w:iCs/>
          <w:sz w:val="24"/>
          <w:szCs w:val="24"/>
        </w:rPr>
        <w:t xml:space="preserve"> relative to those who did not</w:t>
      </w:r>
      <w:r w:rsidR="007B7E05">
        <w:rPr>
          <w:rFonts w:ascii="Times New Roman" w:hAnsi="Times New Roman" w:cs="Times New Roman"/>
          <w:iCs/>
          <w:sz w:val="24"/>
          <w:szCs w:val="24"/>
        </w:rPr>
        <w:t xml:space="preserve"> report CRN (95% CI = 1</w:t>
      </w:r>
      <w:r w:rsidR="00763566">
        <w:rPr>
          <w:rFonts w:ascii="Times New Roman" w:hAnsi="Times New Roman" w:cs="Times New Roman"/>
          <w:iCs/>
          <w:sz w:val="24"/>
          <w:szCs w:val="24"/>
        </w:rPr>
        <w:t>.163 – 1.300</w:t>
      </w:r>
      <w:r w:rsidR="0078461C">
        <w:rPr>
          <w:rFonts w:ascii="Times New Roman" w:hAnsi="Times New Roman" w:cs="Times New Roman"/>
          <w:iCs/>
          <w:sz w:val="24"/>
          <w:szCs w:val="24"/>
        </w:rPr>
        <w:t>; Table 2</w:t>
      </w:r>
      <w:r w:rsidR="007B7E05">
        <w:rPr>
          <w:rFonts w:ascii="Times New Roman" w:hAnsi="Times New Roman" w:cs="Times New Roman"/>
          <w:iCs/>
          <w:sz w:val="24"/>
          <w:szCs w:val="24"/>
        </w:rPr>
        <w:t>)</w:t>
      </w:r>
      <w:r w:rsidR="00C4106E">
        <w:rPr>
          <w:rFonts w:ascii="Times New Roman" w:hAnsi="Times New Roman" w:cs="Times New Roman"/>
          <w:iCs/>
          <w:sz w:val="24"/>
          <w:szCs w:val="24"/>
        </w:rPr>
        <w:t>.</w:t>
      </w:r>
      <w:r w:rsidR="008D4328">
        <w:rPr>
          <w:rFonts w:ascii="Times New Roman" w:hAnsi="Times New Roman" w:cs="Times New Roman"/>
          <w:iCs/>
          <w:sz w:val="24"/>
          <w:szCs w:val="24"/>
        </w:rPr>
        <w:t xml:space="preserve"> </w:t>
      </w:r>
      <w:r w:rsidR="008F382F">
        <w:rPr>
          <w:rFonts w:ascii="Times New Roman" w:hAnsi="Times New Roman" w:cs="Times New Roman"/>
          <w:iCs/>
          <w:sz w:val="24"/>
          <w:szCs w:val="24"/>
        </w:rPr>
        <w:t>The unadjusted association</w:t>
      </w:r>
      <w:r w:rsidR="00806CF0">
        <w:rPr>
          <w:rFonts w:ascii="Times New Roman" w:hAnsi="Times New Roman" w:cs="Times New Roman"/>
          <w:iCs/>
          <w:sz w:val="24"/>
          <w:szCs w:val="24"/>
        </w:rPr>
        <w:t xml:space="preserve"> between CRN and all-cause mortality was </w:t>
      </w:r>
      <w:r w:rsidR="00217C57">
        <w:rPr>
          <w:rFonts w:ascii="Times New Roman" w:hAnsi="Times New Roman" w:cs="Times New Roman"/>
          <w:iCs/>
          <w:sz w:val="24"/>
          <w:szCs w:val="24"/>
        </w:rPr>
        <w:t xml:space="preserve">higher </w:t>
      </w:r>
      <w:r w:rsidR="002B3F22">
        <w:rPr>
          <w:rFonts w:ascii="Times New Roman" w:hAnsi="Times New Roman" w:cs="Times New Roman"/>
          <w:iCs/>
          <w:sz w:val="24"/>
          <w:szCs w:val="24"/>
        </w:rPr>
        <w:t xml:space="preserve">among those interviewed in and after 2011 </w:t>
      </w:r>
      <w:r w:rsidR="008D4328">
        <w:rPr>
          <w:rFonts w:ascii="Times New Roman" w:hAnsi="Times New Roman" w:cs="Times New Roman"/>
          <w:iCs/>
          <w:sz w:val="24"/>
          <w:szCs w:val="24"/>
        </w:rPr>
        <w:t>(</w:t>
      </w:r>
      <w:r w:rsidR="00D843D9">
        <w:rPr>
          <w:rFonts w:ascii="Times New Roman" w:hAnsi="Times New Roman" w:cs="Times New Roman"/>
          <w:i/>
          <w:iCs/>
          <w:sz w:val="24"/>
          <w:szCs w:val="24"/>
        </w:rPr>
        <w:t>p</w:t>
      </w:r>
      <w:r w:rsidR="00D843D9">
        <w:rPr>
          <w:rFonts w:ascii="Times New Roman" w:hAnsi="Times New Roman" w:cs="Times New Roman"/>
          <w:sz w:val="24"/>
          <w:szCs w:val="24"/>
          <w:vertAlign w:val="subscript"/>
        </w:rPr>
        <w:t>interaction</w:t>
      </w:r>
      <w:r w:rsidR="00D843D9">
        <w:rPr>
          <w:rFonts w:ascii="Times New Roman" w:hAnsi="Times New Roman" w:cs="Times New Roman"/>
          <w:sz w:val="24"/>
          <w:szCs w:val="24"/>
        </w:rPr>
        <w:t xml:space="preserve"> &lt; 0.001</w:t>
      </w:r>
      <w:r w:rsidR="008D4328">
        <w:rPr>
          <w:rFonts w:ascii="Times New Roman" w:hAnsi="Times New Roman" w:cs="Times New Roman"/>
          <w:iCs/>
          <w:sz w:val="24"/>
          <w:szCs w:val="24"/>
        </w:rPr>
        <w:t>)</w:t>
      </w:r>
      <w:r w:rsidR="00242C37">
        <w:rPr>
          <w:rFonts w:ascii="Times New Roman" w:hAnsi="Times New Roman" w:cs="Times New Roman"/>
          <w:iCs/>
          <w:sz w:val="24"/>
          <w:szCs w:val="24"/>
        </w:rPr>
        <w:t xml:space="preserve">, while the adjusted association </w:t>
      </w:r>
      <w:r w:rsidR="000D32E8">
        <w:rPr>
          <w:rFonts w:ascii="Times New Roman" w:hAnsi="Times New Roman" w:cs="Times New Roman"/>
          <w:iCs/>
          <w:sz w:val="24"/>
          <w:szCs w:val="24"/>
        </w:rPr>
        <w:t xml:space="preserve">was </w:t>
      </w:r>
      <w:r w:rsidR="00217C57">
        <w:rPr>
          <w:rFonts w:ascii="Times New Roman" w:hAnsi="Times New Roman" w:cs="Times New Roman"/>
          <w:iCs/>
          <w:sz w:val="24"/>
          <w:szCs w:val="24"/>
        </w:rPr>
        <w:t>lower</w:t>
      </w:r>
      <w:r w:rsidR="0009419B">
        <w:rPr>
          <w:rFonts w:ascii="Times New Roman" w:hAnsi="Times New Roman" w:cs="Times New Roman"/>
          <w:iCs/>
          <w:sz w:val="24"/>
          <w:szCs w:val="24"/>
        </w:rPr>
        <w:t xml:space="preserve"> </w:t>
      </w:r>
      <w:r w:rsidR="00E565C7">
        <w:rPr>
          <w:rFonts w:ascii="Times New Roman" w:hAnsi="Times New Roman" w:cs="Times New Roman"/>
          <w:iCs/>
          <w:sz w:val="24"/>
          <w:szCs w:val="24"/>
        </w:rPr>
        <w:t>(</w:t>
      </w:r>
      <w:r w:rsidR="00E565C7">
        <w:rPr>
          <w:rFonts w:ascii="Times New Roman" w:hAnsi="Times New Roman" w:cs="Times New Roman"/>
          <w:i/>
          <w:iCs/>
          <w:sz w:val="24"/>
          <w:szCs w:val="24"/>
        </w:rPr>
        <w:t>p</w:t>
      </w:r>
      <w:r w:rsidR="00E565C7">
        <w:rPr>
          <w:rFonts w:ascii="Times New Roman" w:hAnsi="Times New Roman" w:cs="Times New Roman"/>
          <w:sz w:val="24"/>
          <w:szCs w:val="24"/>
          <w:vertAlign w:val="subscript"/>
        </w:rPr>
        <w:t>interaction</w:t>
      </w:r>
      <w:r w:rsidR="00521B6A">
        <w:rPr>
          <w:rFonts w:ascii="Times New Roman" w:hAnsi="Times New Roman" w:cs="Times New Roman"/>
          <w:sz w:val="24"/>
          <w:szCs w:val="24"/>
        </w:rPr>
        <w:t xml:space="preserve"> =</w:t>
      </w:r>
      <w:r w:rsidR="00E565C7">
        <w:rPr>
          <w:rFonts w:ascii="Times New Roman" w:hAnsi="Times New Roman" w:cs="Times New Roman"/>
          <w:sz w:val="24"/>
          <w:szCs w:val="24"/>
        </w:rPr>
        <w:t xml:space="preserve"> </w:t>
      </w:r>
      <w:r w:rsidR="00942309">
        <w:rPr>
          <w:rFonts w:ascii="Times New Roman" w:hAnsi="Times New Roman" w:cs="Times New Roman"/>
          <w:sz w:val="24"/>
          <w:szCs w:val="24"/>
        </w:rPr>
        <w:t>0.0</w:t>
      </w:r>
      <w:r w:rsidR="005745B9">
        <w:rPr>
          <w:rFonts w:ascii="Times New Roman" w:hAnsi="Times New Roman" w:cs="Times New Roman"/>
          <w:sz w:val="24"/>
          <w:szCs w:val="24"/>
        </w:rPr>
        <w:t>40</w:t>
      </w:r>
      <w:r w:rsidR="00E565C7">
        <w:rPr>
          <w:rFonts w:ascii="Times New Roman" w:hAnsi="Times New Roman" w:cs="Times New Roman"/>
          <w:iCs/>
          <w:sz w:val="24"/>
          <w:szCs w:val="24"/>
        </w:rPr>
        <w:t>).</w:t>
      </w:r>
      <w:r w:rsidR="00431F16">
        <w:rPr>
          <w:rFonts w:ascii="Times New Roman" w:hAnsi="Times New Roman" w:cs="Times New Roman"/>
          <w:iCs/>
          <w:sz w:val="24"/>
          <w:szCs w:val="24"/>
        </w:rPr>
        <w:t xml:space="preserve"> </w:t>
      </w:r>
      <w:r w:rsidR="00F23991">
        <w:rPr>
          <w:rFonts w:ascii="Times New Roman" w:hAnsi="Times New Roman" w:cs="Times New Roman"/>
          <w:iCs/>
          <w:sz w:val="24"/>
          <w:szCs w:val="24"/>
        </w:rPr>
        <w:t>The hazard ratios for confounders</w:t>
      </w:r>
      <w:r w:rsidR="00C739B6">
        <w:rPr>
          <w:rFonts w:ascii="Times New Roman" w:hAnsi="Times New Roman" w:cs="Times New Roman"/>
          <w:iCs/>
          <w:sz w:val="24"/>
          <w:szCs w:val="24"/>
        </w:rPr>
        <w:t xml:space="preserve"> are listed in Supplementary Table 3.</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lastRenderedPageBreak/>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7C773BFB"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However, after 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mortality did not differ between those interviewed prior to versus in and after 2011</w:t>
      </w:r>
      <w:r w:rsidR="00015170">
        <w:rPr>
          <w:rFonts w:ascii="Times New Roman" w:hAnsi="Times New Roman" w:cs="Times New Roman"/>
          <w:iCs/>
          <w:sz w:val="24"/>
          <w:szCs w:val="24"/>
        </w:rPr>
        <w:t xml:space="preserve"> in either unadjusted (</w:t>
      </w:r>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 xml:space="preserve">interaction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r w:rsidR="001D6EFD">
        <w:rPr>
          <w:rFonts w:ascii="Times New Roman" w:hAnsi="Times New Roman" w:cs="Times New Roman"/>
          <w:iCs/>
          <w:sz w:val="24"/>
          <w:szCs w:val="24"/>
        </w:rPr>
        <w:t xml:space="preserve"> Supplementary Table 4 shows the hazard ratios for </w:t>
      </w:r>
      <w:r w:rsidR="00884F49">
        <w:rPr>
          <w:rFonts w:ascii="Times New Roman" w:hAnsi="Times New Roman" w:cs="Times New Roman"/>
          <w:iCs/>
          <w:sz w:val="24"/>
          <w:szCs w:val="24"/>
        </w:rPr>
        <w:t>confounding variables.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630E9570"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 who reported CRN had a 1</w:t>
      </w:r>
      <w:r w:rsidR="00181489">
        <w:rPr>
          <w:rFonts w:ascii="Times New Roman" w:hAnsi="Times New Roman" w:cs="Times New Roman"/>
          <w:iCs/>
          <w:sz w:val="24"/>
          <w:szCs w:val="24"/>
        </w:rPr>
        <w:t>2.3</w:t>
      </w:r>
      <w:r w:rsidR="00087ECB">
        <w:rPr>
          <w:rFonts w:ascii="Times New Roman" w:hAnsi="Times New Roman" w:cs="Times New Roman"/>
          <w:iCs/>
          <w:sz w:val="24"/>
          <w:szCs w:val="24"/>
        </w:rPr>
        <w:t>% higher hazard of disease-specific mortality relative to individuals who did not report CRN</w:t>
      </w:r>
      <w:r w:rsidR="00907D34">
        <w:rPr>
          <w:rFonts w:ascii="Times New Roman" w:hAnsi="Times New Roman" w:cs="Times New Roman"/>
          <w:iCs/>
          <w:sz w:val="24"/>
          <w:szCs w:val="24"/>
        </w:rPr>
        <w:t>, although this association was not significant</w:t>
      </w:r>
      <w:r w:rsidR="00B2683F">
        <w:rPr>
          <w:rFonts w:ascii="Times New Roman" w:hAnsi="Times New Roman" w:cs="Times New Roman"/>
          <w:iCs/>
          <w:sz w:val="24"/>
          <w:szCs w:val="24"/>
        </w:rPr>
        <w:t xml:space="preserve"> (95%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 xml:space="preserve">When </w:t>
      </w:r>
      <w:r w:rsidR="002C5E6F">
        <w:rPr>
          <w:rFonts w:ascii="Times New Roman" w:hAnsi="Times New Roman" w:cs="Times New Roman"/>
          <w:iCs/>
          <w:sz w:val="24"/>
          <w:szCs w:val="24"/>
        </w:rPr>
        <w:t xml:space="preserve">I </w:t>
      </w:r>
      <w:r w:rsidR="009655F8">
        <w:rPr>
          <w:rFonts w:ascii="Times New Roman" w:hAnsi="Times New Roman" w:cs="Times New Roman"/>
          <w:iCs/>
          <w:sz w:val="24"/>
          <w:szCs w:val="24"/>
        </w:rPr>
        <w:t>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a significantly lower unadjusted hazard of 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9655F8">
        <w:rPr>
          <w:rFonts w:ascii="Times New Roman" w:hAnsi="Times New Roman" w:cs="Times New Roman"/>
          <w:iCs/>
          <w:sz w:val="24"/>
          <w:szCs w:val="24"/>
        </w:rPr>
        <w:t>)</w:t>
      </w:r>
      <w:r w:rsidR="004C1948">
        <w:rPr>
          <w:rFonts w:ascii="Times New Roman" w:hAnsi="Times New Roman" w:cs="Times New Roman"/>
          <w:iCs/>
          <w:sz w:val="24"/>
          <w:szCs w:val="24"/>
        </w:rPr>
        <w:t xml:space="preserve">. The adjusted hazard of disease-specific mortality was not significantly different between the two </w:t>
      </w:r>
      <w:r w:rsidR="004C1948">
        <w:rPr>
          <w:rFonts w:ascii="Times New Roman" w:hAnsi="Times New Roman" w:cs="Times New Roman"/>
          <w:iCs/>
          <w:sz w:val="24"/>
          <w:szCs w:val="24"/>
        </w:rPr>
        <w:lastRenderedPageBreak/>
        <w:t>strata (</w:t>
      </w:r>
      <w:r w:rsidR="004C1948">
        <w:rPr>
          <w:rFonts w:ascii="Times New Roman" w:hAnsi="Times New Roman" w:cs="Times New Roman"/>
          <w:i/>
          <w:sz w:val="24"/>
          <w:szCs w:val="24"/>
        </w:rPr>
        <w:t>p</w:t>
      </w:r>
      <w:r w:rsidR="004C1948">
        <w:rPr>
          <w:rFonts w:ascii="Times New Roman" w:hAnsi="Times New Roman" w:cs="Times New Roman"/>
          <w:iCs/>
          <w:sz w:val="24"/>
          <w:szCs w:val="24"/>
          <w:vertAlign w:val="subscript"/>
        </w:rPr>
        <w:t>interaction</w:t>
      </w:r>
      <w:r w:rsidR="004C1948">
        <w:rPr>
          <w:rFonts w:ascii="Times New Roman" w:hAnsi="Times New Roman" w:cs="Times New Roman"/>
          <w:i/>
          <w:sz w:val="24"/>
          <w:szCs w:val="24"/>
        </w:rPr>
        <w:t xml:space="preserve"> =</w:t>
      </w:r>
      <w:r w:rsidR="00EC2134">
        <w:rPr>
          <w:rFonts w:ascii="Times New Roman" w:hAnsi="Times New Roman" w:cs="Times New Roman"/>
          <w:i/>
          <w:sz w:val="24"/>
          <w:szCs w:val="24"/>
        </w:rPr>
        <w:t xml:space="preserve"> </w:t>
      </w:r>
      <w:r w:rsidR="00EC2134">
        <w:rPr>
          <w:rFonts w:ascii="Times New Roman" w:hAnsi="Times New Roman" w:cs="Times New Roman"/>
          <w:iCs/>
          <w:sz w:val="24"/>
          <w:szCs w:val="24"/>
        </w:rPr>
        <w:t>0.139).</w:t>
      </w:r>
      <w:r w:rsidR="006B7838">
        <w:rPr>
          <w:rFonts w:ascii="Times New Roman" w:hAnsi="Times New Roman" w:cs="Times New Roman"/>
          <w:iCs/>
          <w:sz w:val="24"/>
          <w:szCs w:val="24"/>
        </w:rPr>
        <w:t xml:space="preserve"> Hazard ratios for associated confounders are displayed in Supplementary Table 5.</w:t>
      </w:r>
    </w:p>
    <w:p w14:paraId="417EBEB1" w14:textId="6C6B1322"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Hypertension</w:t>
      </w:r>
    </w:p>
    <w:p w14:paraId="62C9F4EA" w14:textId="598CA4C8" w:rsidR="00A01BC1" w:rsidRDefault="0034511C" w:rsidP="00624DD0">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291136">
        <w:rPr>
          <w:rFonts w:ascii="Times New Roman" w:hAnsi="Times New Roman" w:cs="Times New Roman"/>
          <w:iCs/>
          <w:sz w:val="24"/>
          <w:szCs w:val="24"/>
        </w:rPr>
        <w:t xml:space="preserve">Under the expanded definition of CVD including hypertension, </w:t>
      </w:r>
      <w:r w:rsidR="003865EF">
        <w:rPr>
          <w:rFonts w:ascii="Times New Roman" w:hAnsi="Times New Roman" w:cs="Times New Roman"/>
          <w:iCs/>
          <w:sz w:val="24"/>
          <w:szCs w:val="24"/>
        </w:rPr>
        <w:t>10,321 (7.44%) of individuals with CVD died of disease-specific causes.</w:t>
      </w:r>
      <w:r w:rsidR="008A6BDC">
        <w:rPr>
          <w:rFonts w:ascii="Times New Roman" w:hAnsi="Times New Roman" w:cs="Times New Roman"/>
          <w:iCs/>
          <w:sz w:val="24"/>
          <w:szCs w:val="24"/>
        </w:rPr>
        <w:t xml:space="preserve"> Nine-hundred and twenty-seven (</w:t>
      </w:r>
      <w:r w:rsidR="005F77FB">
        <w:rPr>
          <w:rFonts w:ascii="Times New Roman" w:hAnsi="Times New Roman" w:cs="Times New Roman"/>
          <w:iCs/>
          <w:sz w:val="24"/>
          <w:szCs w:val="24"/>
        </w:rPr>
        <w:t>9.0%</w:t>
      </w:r>
      <w:r w:rsidR="008A6BDC">
        <w:rPr>
          <w:rFonts w:ascii="Times New Roman" w:hAnsi="Times New Roman" w:cs="Times New Roman"/>
          <w:iCs/>
          <w:sz w:val="24"/>
          <w:szCs w:val="24"/>
        </w:rPr>
        <w:t>) of these individuals reported CRN.</w:t>
      </w:r>
      <w:r w:rsidR="003C3644">
        <w:rPr>
          <w:rFonts w:ascii="Times New Roman" w:hAnsi="Times New Roman" w:cs="Times New Roman"/>
          <w:iCs/>
          <w:sz w:val="24"/>
          <w:szCs w:val="24"/>
        </w:rPr>
        <w:t xml:space="preserve"> Before adjustment for confounders, CRN was associated with a 27.2% lower hazard of disease-specific mortality in those with CVD or hypertension</w:t>
      </w:r>
      <w:r w:rsidR="00AF5640">
        <w:rPr>
          <w:rFonts w:ascii="Times New Roman" w:hAnsi="Times New Roman" w:cs="Times New Roman"/>
          <w:iCs/>
          <w:sz w:val="24"/>
          <w:szCs w:val="24"/>
        </w:rPr>
        <w:t xml:space="preserve"> (95% CI = </w:t>
      </w:r>
      <w:r w:rsidR="0097596A">
        <w:rPr>
          <w:rFonts w:ascii="Times New Roman" w:hAnsi="Times New Roman" w:cs="Times New Roman"/>
          <w:iCs/>
          <w:sz w:val="24"/>
          <w:szCs w:val="24"/>
        </w:rPr>
        <w:t>0.669 – 0.792</w:t>
      </w:r>
      <w:r w:rsidR="006C47A2">
        <w:rPr>
          <w:rFonts w:ascii="Times New Roman" w:hAnsi="Times New Roman" w:cs="Times New Roman"/>
          <w:iCs/>
          <w:sz w:val="24"/>
          <w:szCs w:val="24"/>
        </w:rPr>
        <w:t>)</w:t>
      </w:r>
      <w:r w:rsidR="0097596A">
        <w:rPr>
          <w:rFonts w:ascii="Times New Roman" w:hAnsi="Times New Roman" w:cs="Times New Roman"/>
          <w:iCs/>
          <w:sz w:val="24"/>
          <w:szCs w:val="24"/>
        </w:rPr>
        <w:t>.</w:t>
      </w:r>
      <w:r w:rsidR="00BE2922">
        <w:rPr>
          <w:rFonts w:ascii="Times New Roman" w:hAnsi="Times New Roman" w:cs="Times New Roman"/>
          <w:iCs/>
          <w:sz w:val="24"/>
          <w:szCs w:val="24"/>
        </w:rPr>
        <w:t xml:space="preserve"> The direction of association</w:t>
      </w:r>
      <w:r w:rsidR="00FD3D3F">
        <w:rPr>
          <w:rFonts w:ascii="Times New Roman" w:hAnsi="Times New Roman" w:cs="Times New Roman"/>
          <w:iCs/>
          <w:sz w:val="24"/>
          <w:szCs w:val="24"/>
        </w:rPr>
        <w:t xml:space="preserve"> was reversed in the adjusted model</w:t>
      </w:r>
      <w:r w:rsidR="006C47A2">
        <w:rPr>
          <w:rFonts w:ascii="Times New Roman" w:hAnsi="Times New Roman" w:cs="Times New Roman"/>
          <w:iCs/>
          <w:sz w:val="24"/>
          <w:szCs w:val="24"/>
        </w:rPr>
        <w:t xml:space="preserve"> (Table 2).</w:t>
      </w:r>
      <w:r w:rsidR="0054390E">
        <w:rPr>
          <w:rFonts w:ascii="Times New Roman" w:hAnsi="Times New Roman" w:cs="Times New Roman"/>
          <w:iCs/>
          <w:sz w:val="24"/>
          <w:szCs w:val="24"/>
        </w:rPr>
        <w:t xml:space="preserve"> Although</w:t>
      </w:r>
      <w:r w:rsidR="00C30B76">
        <w:rPr>
          <w:rFonts w:ascii="Times New Roman" w:hAnsi="Times New Roman" w:cs="Times New Roman"/>
          <w:iCs/>
          <w:sz w:val="24"/>
          <w:szCs w:val="24"/>
        </w:rPr>
        <w:t xml:space="preserve"> the </w:t>
      </w:r>
      <w:r w:rsidR="00E7234B">
        <w:rPr>
          <w:rFonts w:ascii="Times New Roman" w:hAnsi="Times New Roman" w:cs="Times New Roman"/>
          <w:iCs/>
          <w:sz w:val="24"/>
          <w:szCs w:val="24"/>
        </w:rPr>
        <w:t xml:space="preserve">unadjusted </w:t>
      </w:r>
      <w:r w:rsidR="00C30B76">
        <w:rPr>
          <w:rFonts w:ascii="Times New Roman" w:hAnsi="Times New Roman" w:cs="Times New Roman"/>
          <w:iCs/>
          <w:sz w:val="24"/>
          <w:szCs w:val="24"/>
        </w:rPr>
        <w:t xml:space="preserve">hazard of disease-specific mortality for CRN was lower </w:t>
      </w:r>
      <w:r w:rsidR="006E6005">
        <w:rPr>
          <w:rFonts w:ascii="Times New Roman" w:hAnsi="Times New Roman" w:cs="Times New Roman"/>
          <w:iCs/>
          <w:sz w:val="24"/>
          <w:szCs w:val="24"/>
        </w:rPr>
        <w:t>in earlier waves of interviews compared to later waves (</w:t>
      </w:r>
      <w:r w:rsidR="000D429F">
        <w:rPr>
          <w:rFonts w:ascii="Times New Roman" w:hAnsi="Times New Roman" w:cs="Times New Roman"/>
          <w:i/>
          <w:sz w:val="24"/>
          <w:szCs w:val="24"/>
        </w:rPr>
        <w:t>p</w:t>
      </w:r>
      <w:r w:rsidR="000D429F">
        <w:rPr>
          <w:rFonts w:ascii="Times New Roman" w:hAnsi="Times New Roman" w:cs="Times New Roman"/>
          <w:iCs/>
          <w:sz w:val="24"/>
          <w:szCs w:val="24"/>
          <w:vertAlign w:val="subscript"/>
        </w:rPr>
        <w:t>interaction</w:t>
      </w:r>
      <w:r w:rsidR="000D429F">
        <w:rPr>
          <w:rFonts w:ascii="Times New Roman" w:hAnsi="Times New Roman" w:cs="Times New Roman"/>
          <w:i/>
          <w:sz w:val="24"/>
          <w:szCs w:val="24"/>
        </w:rPr>
        <w:t xml:space="preserve"> = </w:t>
      </w:r>
      <w:r w:rsidR="000D429F">
        <w:rPr>
          <w:rFonts w:ascii="Times New Roman" w:hAnsi="Times New Roman" w:cs="Times New Roman"/>
          <w:iCs/>
          <w:sz w:val="24"/>
          <w:szCs w:val="24"/>
        </w:rPr>
        <w:t xml:space="preserve">0.031), </w:t>
      </w:r>
      <w:r w:rsidR="00E7234B">
        <w:rPr>
          <w:rFonts w:ascii="Times New Roman" w:hAnsi="Times New Roman" w:cs="Times New Roman"/>
          <w:iCs/>
          <w:sz w:val="24"/>
          <w:szCs w:val="24"/>
        </w:rPr>
        <w:t>the adjusted haz</w:t>
      </w:r>
      <w:r w:rsidR="0084197D">
        <w:rPr>
          <w:rFonts w:ascii="Times New Roman" w:hAnsi="Times New Roman" w:cs="Times New Roman"/>
          <w:iCs/>
          <w:sz w:val="24"/>
          <w:szCs w:val="24"/>
        </w:rPr>
        <w:t xml:space="preserve">ard did not differ significantly by </w:t>
      </w:r>
      <w:r w:rsidR="00285174">
        <w:rPr>
          <w:rFonts w:ascii="Times New Roman" w:hAnsi="Times New Roman" w:cs="Times New Roman"/>
          <w:iCs/>
          <w:sz w:val="24"/>
          <w:szCs w:val="24"/>
        </w:rPr>
        <w:t>wave (</w:t>
      </w:r>
      <w:r w:rsidR="00285174">
        <w:rPr>
          <w:rFonts w:ascii="Times New Roman" w:hAnsi="Times New Roman" w:cs="Times New Roman"/>
          <w:i/>
          <w:sz w:val="24"/>
          <w:szCs w:val="24"/>
        </w:rPr>
        <w:t>p</w:t>
      </w:r>
      <w:r w:rsidR="00285174">
        <w:rPr>
          <w:rFonts w:ascii="Times New Roman" w:hAnsi="Times New Roman" w:cs="Times New Roman"/>
          <w:iCs/>
          <w:sz w:val="24"/>
          <w:szCs w:val="24"/>
          <w:vertAlign w:val="subscript"/>
        </w:rPr>
        <w:t>interaction</w:t>
      </w:r>
      <w:r w:rsidR="00285174">
        <w:rPr>
          <w:rFonts w:ascii="Times New Roman" w:hAnsi="Times New Roman" w:cs="Times New Roman"/>
          <w:i/>
          <w:sz w:val="24"/>
          <w:szCs w:val="24"/>
        </w:rPr>
        <w:t xml:space="preserve"> = </w:t>
      </w:r>
      <w:r w:rsidR="00285174">
        <w:rPr>
          <w:rFonts w:ascii="Times New Roman" w:hAnsi="Times New Roman" w:cs="Times New Roman"/>
          <w:iCs/>
          <w:sz w:val="24"/>
          <w:szCs w:val="24"/>
        </w:rPr>
        <w:t>0.220)</w:t>
      </w:r>
      <w:r w:rsidR="003E6023">
        <w:rPr>
          <w:rFonts w:ascii="Times New Roman" w:hAnsi="Times New Roman" w:cs="Times New Roman"/>
          <w:iCs/>
          <w:sz w:val="24"/>
          <w:szCs w:val="24"/>
        </w:rPr>
        <w:t xml:space="preserve">. In both strata, CRN among individuals with CVD </w:t>
      </w:r>
      <w:r w:rsidR="00ED72C7">
        <w:rPr>
          <w:rFonts w:ascii="Times New Roman" w:hAnsi="Times New Roman" w:cs="Times New Roman"/>
          <w:iCs/>
          <w:sz w:val="24"/>
          <w:szCs w:val="24"/>
        </w:rPr>
        <w:t>and</w:t>
      </w:r>
      <w:r w:rsidR="003E6023">
        <w:rPr>
          <w:rFonts w:ascii="Times New Roman" w:hAnsi="Times New Roman" w:cs="Times New Roman"/>
          <w:iCs/>
          <w:sz w:val="24"/>
          <w:szCs w:val="24"/>
        </w:rPr>
        <w:t xml:space="preserve"> hypertension was associated with </w:t>
      </w:r>
      <w:r w:rsidR="00971ACC">
        <w:rPr>
          <w:rFonts w:ascii="Times New Roman" w:hAnsi="Times New Roman" w:cs="Times New Roman"/>
          <w:iCs/>
          <w:sz w:val="24"/>
          <w:szCs w:val="24"/>
        </w:rPr>
        <w:t xml:space="preserve">an </w:t>
      </w:r>
      <w:r w:rsidR="003E6023">
        <w:rPr>
          <w:rFonts w:ascii="Times New Roman" w:hAnsi="Times New Roman" w:cs="Times New Roman"/>
          <w:iCs/>
          <w:sz w:val="24"/>
          <w:szCs w:val="24"/>
        </w:rPr>
        <w:t>approximately 30% higher</w:t>
      </w:r>
      <w:r w:rsidR="00971ACC">
        <w:rPr>
          <w:rFonts w:ascii="Times New Roman" w:hAnsi="Times New Roman" w:cs="Times New Roman"/>
          <w:iCs/>
          <w:sz w:val="24"/>
          <w:szCs w:val="24"/>
        </w:rPr>
        <w:t xml:space="preserve"> hazard of disease specific mortality</w:t>
      </w:r>
      <w:r w:rsidR="00101C61">
        <w:rPr>
          <w:rFonts w:ascii="Times New Roman" w:hAnsi="Times New Roman" w:cs="Times New Roman"/>
          <w:iCs/>
          <w:sz w:val="24"/>
          <w:szCs w:val="24"/>
        </w:rPr>
        <w:t xml:space="preserve"> (Table 2, both </w:t>
      </w:r>
      <w:r w:rsidR="00101C61">
        <w:rPr>
          <w:rFonts w:ascii="Times New Roman" w:hAnsi="Times New Roman" w:cs="Times New Roman"/>
          <w:i/>
          <w:sz w:val="24"/>
          <w:szCs w:val="24"/>
        </w:rPr>
        <w:t>p</w:t>
      </w:r>
      <w:r w:rsidR="00101C61">
        <w:rPr>
          <w:rFonts w:ascii="Times New Roman" w:hAnsi="Times New Roman" w:cs="Times New Roman"/>
          <w:iCs/>
          <w:sz w:val="24"/>
          <w:szCs w:val="24"/>
        </w:rPr>
        <w:t xml:space="preserve"> &lt; 0.001).</w:t>
      </w:r>
      <w:r w:rsidR="002C0174">
        <w:rPr>
          <w:rFonts w:ascii="Times New Roman" w:hAnsi="Times New Roman" w:cs="Times New Roman"/>
          <w:iCs/>
          <w:sz w:val="24"/>
          <w:szCs w:val="24"/>
        </w:rPr>
        <w:t xml:space="preserve"> Supplementary Table </w:t>
      </w:r>
      <w:r w:rsidR="000F4848">
        <w:rPr>
          <w:rFonts w:ascii="Times New Roman" w:hAnsi="Times New Roman" w:cs="Times New Roman"/>
          <w:iCs/>
          <w:sz w:val="24"/>
          <w:szCs w:val="24"/>
        </w:rPr>
        <w:t>6</w:t>
      </w:r>
      <w:r w:rsidR="002C0174">
        <w:rPr>
          <w:rFonts w:ascii="Times New Roman" w:hAnsi="Times New Roman" w:cs="Times New Roman"/>
          <w:iCs/>
          <w:sz w:val="24"/>
          <w:szCs w:val="24"/>
        </w:rPr>
        <w:t xml:space="preserve"> shows </w:t>
      </w:r>
      <w:r w:rsidR="004325D0">
        <w:rPr>
          <w:rFonts w:ascii="Times New Roman" w:hAnsi="Times New Roman" w:cs="Times New Roman"/>
          <w:iCs/>
          <w:sz w:val="24"/>
          <w:szCs w:val="24"/>
        </w:rPr>
        <w:t xml:space="preserve">hazard ratios for all included confounders in </w:t>
      </w:r>
      <w:r w:rsidR="000F4848">
        <w:rPr>
          <w:rFonts w:ascii="Times New Roman" w:hAnsi="Times New Roman" w:cs="Times New Roman"/>
          <w:iCs/>
          <w:sz w:val="24"/>
          <w:szCs w:val="24"/>
        </w:rPr>
        <w:t>the disease-specific mortality models</w:t>
      </w:r>
      <w:r w:rsidR="00311FA7">
        <w:rPr>
          <w:rFonts w:ascii="Times New Roman" w:hAnsi="Times New Roman" w:cs="Times New Roman"/>
          <w:iCs/>
          <w:sz w:val="24"/>
          <w:szCs w:val="24"/>
        </w:rPr>
        <w:t xml:space="preserve"> for cardiovascular disease, including hypertension.</w:t>
      </w:r>
    </w:p>
    <w:p w14:paraId="73B33746" w14:textId="73D4A82A" w:rsidR="00960A76" w:rsidRDefault="00960A76" w:rsidP="00894758">
      <w:pPr>
        <w:keepNext/>
        <w:spacing w:line="480" w:lineRule="auto"/>
        <w:rPr>
          <w:rFonts w:ascii="Times New Roman" w:hAnsi="Times New Roman" w:cs="Times New Roman"/>
          <w:b/>
          <w:bCs/>
          <w:iCs/>
          <w:sz w:val="24"/>
          <w:szCs w:val="24"/>
        </w:rPr>
      </w:pPr>
      <w:r>
        <w:rPr>
          <w:rFonts w:ascii="Times New Roman" w:hAnsi="Times New Roman" w:cs="Times New Roman"/>
          <w:b/>
          <w:bCs/>
          <w:iCs/>
          <w:sz w:val="24"/>
          <w:szCs w:val="24"/>
        </w:rPr>
        <w:t>Model Assumptions</w:t>
      </w:r>
    </w:p>
    <w:p w14:paraId="40444599" w14:textId="27D7FB9E" w:rsidR="00960A76" w:rsidRDefault="00171154" w:rsidP="00894758">
      <w:pPr>
        <w:keepNext/>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2C5E6F">
        <w:rPr>
          <w:rFonts w:ascii="Times New Roman" w:hAnsi="Times New Roman" w:cs="Times New Roman"/>
          <w:iCs/>
          <w:sz w:val="24"/>
          <w:szCs w:val="24"/>
        </w:rPr>
        <w:t xml:space="preserve">I </w:t>
      </w:r>
      <w:r w:rsidR="000C7C3F">
        <w:rPr>
          <w:rFonts w:ascii="Times New Roman" w:hAnsi="Times New Roman" w:cs="Times New Roman"/>
          <w:iCs/>
          <w:sz w:val="24"/>
          <w:szCs w:val="24"/>
        </w:rPr>
        <w:t>identified</w:t>
      </w:r>
      <w:r>
        <w:rPr>
          <w:rFonts w:ascii="Times New Roman" w:hAnsi="Times New Roman" w:cs="Times New Roman"/>
          <w:iCs/>
          <w:sz w:val="24"/>
          <w:szCs w:val="24"/>
        </w:rPr>
        <w:t xml:space="preserve"> </w:t>
      </w:r>
      <w:r w:rsidR="00915DD4">
        <w:rPr>
          <w:rFonts w:ascii="Times New Roman" w:hAnsi="Times New Roman" w:cs="Times New Roman"/>
          <w:iCs/>
          <w:sz w:val="24"/>
          <w:szCs w:val="24"/>
        </w:rPr>
        <w:t>12</w:t>
      </w:r>
      <w:r w:rsidR="002975D9">
        <w:rPr>
          <w:rFonts w:ascii="Times New Roman" w:hAnsi="Times New Roman" w:cs="Times New Roman"/>
          <w:iCs/>
          <w:sz w:val="24"/>
          <w:szCs w:val="24"/>
        </w:rPr>
        <w:t>1, 94, and</w:t>
      </w:r>
      <w:r w:rsidR="005038AA">
        <w:rPr>
          <w:rFonts w:ascii="Times New Roman" w:hAnsi="Times New Roman" w:cs="Times New Roman"/>
          <w:iCs/>
          <w:sz w:val="24"/>
          <w:szCs w:val="24"/>
        </w:rPr>
        <w:t xml:space="preserve"> 160</w:t>
      </w:r>
      <w:r w:rsidR="000F1647">
        <w:rPr>
          <w:rFonts w:ascii="Times New Roman" w:hAnsi="Times New Roman" w:cs="Times New Roman"/>
          <w:iCs/>
          <w:sz w:val="24"/>
          <w:szCs w:val="24"/>
        </w:rPr>
        <w:t xml:space="preserve"> </w:t>
      </w:r>
      <w:r w:rsidR="005D63AD">
        <w:rPr>
          <w:rFonts w:ascii="Times New Roman" w:hAnsi="Times New Roman" w:cs="Times New Roman"/>
          <w:iCs/>
          <w:sz w:val="24"/>
          <w:szCs w:val="24"/>
        </w:rPr>
        <w:t>potentially influential</w:t>
      </w:r>
      <w:r w:rsidR="008B41D3">
        <w:rPr>
          <w:rFonts w:ascii="Times New Roman" w:hAnsi="Times New Roman" w:cs="Times New Roman"/>
          <w:iCs/>
          <w:sz w:val="24"/>
          <w:szCs w:val="24"/>
        </w:rPr>
        <w:t xml:space="preserve"> cases</w:t>
      </w:r>
      <w:r w:rsidR="00915DD4">
        <w:rPr>
          <w:rFonts w:ascii="Times New Roman" w:hAnsi="Times New Roman" w:cs="Times New Roman"/>
          <w:iCs/>
          <w:sz w:val="24"/>
          <w:szCs w:val="24"/>
        </w:rPr>
        <w:t xml:space="preserve"> in </w:t>
      </w:r>
      <w:r w:rsidR="009D1B21">
        <w:rPr>
          <w:rFonts w:ascii="Times New Roman" w:hAnsi="Times New Roman" w:cs="Times New Roman"/>
          <w:iCs/>
          <w:sz w:val="24"/>
          <w:szCs w:val="24"/>
        </w:rPr>
        <w:t xml:space="preserve">disease-specific </w:t>
      </w:r>
      <w:r w:rsidR="00915DD4">
        <w:rPr>
          <w:rFonts w:ascii="Times New Roman" w:hAnsi="Times New Roman" w:cs="Times New Roman"/>
          <w:iCs/>
          <w:sz w:val="24"/>
          <w:szCs w:val="24"/>
        </w:rPr>
        <w:t>diabetes</w:t>
      </w:r>
      <w:r w:rsidR="000F1647">
        <w:rPr>
          <w:rFonts w:ascii="Times New Roman" w:hAnsi="Times New Roman" w:cs="Times New Roman"/>
          <w:iCs/>
          <w:sz w:val="24"/>
          <w:szCs w:val="24"/>
        </w:rPr>
        <w:t>, CVD, and CVD or hypertensio</w:t>
      </w:r>
      <w:r w:rsidR="004E55DF">
        <w:rPr>
          <w:rFonts w:ascii="Times New Roman" w:hAnsi="Times New Roman" w:cs="Times New Roman"/>
          <w:iCs/>
          <w:sz w:val="24"/>
          <w:szCs w:val="24"/>
        </w:rPr>
        <w:t>n</w:t>
      </w:r>
      <w:r w:rsidR="00DE3496">
        <w:rPr>
          <w:rFonts w:ascii="Times New Roman" w:hAnsi="Times New Roman" w:cs="Times New Roman"/>
          <w:iCs/>
          <w:sz w:val="24"/>
          <w:szCs w:val="24"/>
        </w:rPr>
        <w:t xml:space="preserve"> models</w:t>
      </w:r>
      <w:r w:rsidR="004E55DF">
        <w:rPr>
          <w:rFonts w:ascii="Times New Roman" w:hAnsi="Times New Roman" w:cs="Times New Roman"/>
          <w:iCs/>
          <w:sz w:val="24"/>
          <w:szCs w:val="24"/>
        </w:rPr>
        <w:t xml:space="preserve">, </w:t>
      </w:r>
      <w:r w:rsidR="000F1647">
        <w:rPr>
          <w:rFonts w:ascii="Times New Roman" w:hAnsi="Times New Roman" w:cs="Times New Roman"/>
          <w:iCs/>
          <w:sz w:val="24"/>
          <w:szCs w:val="24"/>
        </w:rPr>
        <w:t>respectively.</w:t>
      </w:r>
      <w:r w:rsidR="001E7756">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Similarly, </w:t>
      </w:r>
      <w:r w:rsidR="001E7756">
        <w:rPr>
          <w:rFonts w:ascii="Times New Roman" w:hAnsi="Times New Roman" w:cs="Times New Roman"/>
          <w:iCs/>
          <w:sz w:val="24"/>
          <w:szCs w:val="24"/>
        </w:rPr>
        <w:t>78</w:t>
      </w:r>
      <w:r w:rsidR="007B5AC0">
        <w:rPr>
          <w:rFonts w:ascii="Times New Roman" w:hAnsi="Times New Roman" w:cs="Times New Roman"/>
          <w:iCs/>
          <w:sz w:val="24"/>
          <w:szCs w:val="24"/>
        </w:rPr>
        <w:t xml:space="preserve">, 153, </w:t>
      </w:r>
      <w:r w:rsidR="00AC22C4">
        <w:rPr>
          <w:rFonts w:ascii="Times New Roman" w:hAnsi="Times New Roman" w:cs="Times New Roman"/>
          <w:iCs/>
          <w:sz w:val="24"/>
          <w:szCs w:val="24"/>
        </w:rPr>
        <w:t>and 123</w:t>
      </w:r>
      <w:r w:rsidR="00114332">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potentially influential cases were identified in </w:t>
      </w:r>
      <w:r w:rsidR="00740E00">
        <w:rPr>
          <w:rFonts w:ascii="Times New Roman" w:hAnsi="Times New Roman" w:cs="Times New Roman"/>
          <w:iCs/>
          <w:sz w:val="24"/>
          <w:szCs w:val="24"/>
        </w:rPr>
        <w:t xml:space="preserve">all-cause diabetes, CVD, and CVD or hypertension models. </w:t>
      </w:r>
      <w:r w:rsidR="00997DD9">
        <w:rPr>
          <w:rFonts w:ascii="Times New Roman" w:hAnsi="Times New Roman" w:cs="Times New Roman"/>
          <w:iCs/>
          <w:sz w:val="24"/>
          <w:szCs w:val="24"/>
        </w:rPr>
        <w:t>Rao-Scott c</w:t>
      </w:r>
      <w:r w:rsidR="00351005">
        <w:rPr>
          <w:rFonts w:ascii="Times New Roman" w:hAnsi="Times New Roman" w:cs="Times New Roman"/>
          <w:iCs/>
          <w:sz w:val="24"/>
          <w:szCs w:val="24"/>
        </w:rPr>
        <w:t xml:space="preserve">hi-square tests and </w:t>
      </w:r>
      <w:r w:rsidR="00E115B0">
        <w:rPr>
          <w:rFonts w:ascii="Times New Roman" w:hAnsi="Times New Roman" w:cs="Times New Roman"/>
          <w:iCs/>
          <w:sz w:val="24"/>
          <w:szCs w:val="24"/>
        </w:rPr>
        <w:t xml:space="preserve">Wilcoxon rank sign tests showed that </w:t>
      </w:r>
      <w:r w:rsidR="00B208DB">
        <w:rPr>
          <w:rFonts w:ascii="Times New Roman" w:hAnsi="Times New Roman" w:cs="Times New Roman"/>
          <w:iCs/>
          <w:sz w:val="24"/>
          <w:szCs w:val="24"/>
        </w:rPr>
        <w:t>p</w:t>
      </w:r>
      <w:r w:rsidR="00FC3BE6">
        <w:rPr>
          <w:rFonts w:ascii="Times New Roman" w:hAnsi="Times New Roman" w:cs="Times New Roman"/>
          <w:iCs/>
          <w:sz w:val="24"/>
          <w:szCs w:val="24"/>
        </w:rPr>
        <w:t>otentially</w:t>
      </w:r>
      <w:r w:rsidR="00507023">
        <w:rPr>
          <w:rFonts w:ascii="Times New Roman" w:hAnsi="Times New Roman" w:cs="Times New Roman"/>
          <w:iCs/>
          <w:sz w:val="24"/>
          <w:szCs w:val="24"/>
        </w:rPr>
        <w:t xml:space="preserve"> influential cases</w:t>
      </w:r>
      <w:r w:rsidR="00B6656B">
        <w:rPr>
          <w:rFonts w:ascii="Times New Roman" w:hAnsi="Times New Roman" w:cs="Times New Roman"/>
          <w:iCs/>
          <w:sz w:val="24"/>
          <w:szCs w:val="24"/>
        </w:rPr>
        <w:t xml:space="preserve"> were older</w:t>
      </w:r>
      <w:r w:rsidR="00B8545A">
        <w:rPr>
          <w:rFonts w:ascii="Times New Roman" w:hAnsi="Times New Roman" w:cs="Times New Roman"/>
          <w:iCs/>
          <w:sz w:val="24"/>
          <w:szCs w:val="24"/>
        </w:rPr>
        <w:t xml:space="preserve"> </w:t>
      </w:r>
      <w:r w:rsidR="00DB3EC4">
        <w:rPr>
          <w:rFonts w:ascii="Times New Roman" w:hAnsi="Times New Roman" w:cs="Times New Roman"/>
          <w:iCs/>
          <w:sz w:val="24"/>
          <w:szCs w:val="24"/>
        </w:rPr>
        <w:t xml:space="preserve">(median = 66 years, IQR =  </w:t>
      </w:r>
      <w:r w:rsidR="00832999" w:rsidRPr="00D42B80">
        <w:rPr>
          <w:rFonts w:ascii="Times New Roman" w:hAnsi="Times New Roman" w:cs="Times New Roman"/>
          <w:iCs/>
          <w:sz w:val="24"/>
          <w:szCs w:val="24"/>
        </w:rPr>
        <w:t>55.5</w:t>
      </w:r>
      <w:r w:rsidR="00832999">
        <w:rPr>
          <w:rFonts w:ascii="Times New Roman" w:hAnsi="Times New Roman" w:cs="Times New Roman"/>
          <w:iCs/>
          <w:sz w:val="24"/>
          <w:szCs w:val="24"/>
        </w:rPr>
        <w:t xml:space="preserve">0 - </w:t>
      </w:r>
      <w:r w:rsidR="00832999" w:rsidRPr="00D42B80">
        <w:rPr>
          <w:rFonts w:ascii="Times New Roman" w:hAnsi="Times New Roman" w:cs="Times New Roman"/>
          <w:iCs/>
          <w:sz w:val="24"/>
          <w:szCs w:val="24"/>
        </w:rPr>
        <w:t>81.00</w:t>
      </w:r>
      <w:r w:rsidR="00832999">
        <w:rPr>
          <w:rFonts w:ascii="Times New Roman" w:hAnsi="Times New Roman" w:cs="Times New Roman"/>
          <w:iCs/>
          <w:sz w:val="24"/>
          <w:szCs w:val="24"/>
        </w:rPr>
        <w:t>,</w:t>
      </w:r>
      <w:r w:rsidR="00AB7951">
        <w:rPr>
          <w:rFonts w:ascii="Times New Roman" w:hAnsi="Times New Roman" w:cs="Times New Roman"/>
          <w:iCs/>
          <w:sz w:val="24"/>
          <w:szCs w:val="24"/>
        </w:rPr>
        <w:t xml:space="preserve"> </w:t>
      </w:r>
      <w:r w:rsidR="00AB7951">
        <w:rPr>
          <w:rFonts w:ascii="Times New Roman" w:hAnsi="Times New Roman" w:cs="Times New Roman"/>
          <w:i/>
          <w:sz w:val="24"/>
          <w:szCs w:val="24"/>
        </w:rPr>
        <w:t xml:space="preserve">p </w:t>
      </w:r>
      <w:r w:rsidR="00AB7951">
        <w:rPr>
          <w:rFonts w:ascii="Times New Roman" w:hAnsi="Times New Roman" w:cs="Times New Roman"/>
          <w:iCs/>
          <w:sz w:val="24"/>
          <w:szCs w:val="24"/>
        </w:rPr>
        <w:t xml:space="preserve"> &lt; 0.001</w:t>
      </w:r>
      <w:r w:rsidR="00DB3EC4">
        <w:rPr>
          <w:rFonts w:ascii="Times New Roman" w:hAnsi="Times New Roman" w:cs="Times New Roman"/>
          <w:iCs/>
          <w:sz w:val="24"/>
          <w:szCs w:val="24"/>
        </w:rPr>
        <w:t xml:space="preserve">) </w:t>
      </w:r>
      <w:r w:rsidR="00417C11">
        <w:rPr>
          <w:rFonts w:ascii="Times New Roman" w:hAnsi="Times New Roman" w:cs="Times New Roman"/>
          <w:iCs/>
          <w:sz w:val="24"/>
          <w:szCs w:val="24"/>
        </w:rPr>
        <w:t>and</w:t>
      </w:r>
      <w:r w:rsidR="009117F2">
        <w:rPr>
          <w:rFonts w:ascii="Times New Roman" w:hAnsi="Times New Roman" w:cs="Times New Roman"/>
          <w:iCs/>
          <w:sz w:val="24"/>
          <w:szCs w:val="24"/>
        </w:rPr>
        <w:t xml:space="preserve"> had</w:t>
      </w:r>
      <w:r w:rsidR="00417C11">
        <w:rPr>
          <w:rFonts w:ascii="Times New Roman" w:hAnsi="Times New Roman" w:cs="Times New Roman"/>
          <w:iCs/>
          <w:sz w:val="24"/>
          <w:szCs w:val="24"/>
        </w:rPr>
        <w:t xml:space="preserve"> shorter follow-up times</w:t>
      </w:r>
      <w:r w:rsidR="00D462A1">
        <w:rPr>
          <w:rFonts w:ascii="Times New Roman" w:hAnsi="Times New Roman" w:cs="Times New Roman"/>
          <w:iCs/>
          <w:sz w:val="24"/>
          <w:szCs w:val="24"/>
        </w:rPr>
        <w:t xml:space="preserve"> (median = </w:t>
      </w:r>
      <w:r w:rsidR="00BA3BCD">
        <w:rPr>
          <w:rFonts w:ascii="Times New Roman" w:hAnsi="Times New Roman" w:cs="Times New Roman"/>
          <w:iCs/>
          <w:sz w:val="24"/>
          <w:szCs w:val="24"/>
        </w:rPr>
        <w:t>23</w:t>
      </w:r>
      <w:r w:rsidR="00731F46">
        <w:rPr>
          <w:rFonts w:ascii="Times New Roman" w:hAnsi="Times New Roman" w:cs="Times New Roman"/>
          <w:iCs/>
          <w:sz w:val="24"/>
          <w:szCs w:val="24"/>
        </w:rPr>
        <w:t>3</w:t>
      </w:r>
      <w:r w:rsidR="00BA3BCD">
        <w:rPr>
          <w:rFonts w:ascii="Times New Roman" w:hAnsi="Times New Roman" w:cs="Times New Roman"/>
          <w:iCs/>
          <w:sz w:val="24"/>
          <w:szCs w:val="24"/>
        </w:rPr>
        <w:t xml:space="preserve"> weeks, IQR </w:t>
      </w:r>
      <w:r w:rsidR="00D42B80">
        <w:rPr>
          <w:rFonts w:ascii="Times New Roman" w:hAnsi="Times New Roman" w:cs="Times New Roman"/>
          <w:iCs/>
          <w:sz w:val="24"/>
          <w:szCs w:val="24"/>
        </w:rPr>
        <w:t>=</w:t>
      </w:r>
      <w:r w:rsidR="00BD064D">
        <w:rPr>
          <w:rFonts w:ascii="Times New Roman" w:hAnsi="Times New Roman" w:cs="Times New Roman"/>
          <w:iCs/>
          <w:sz w:val="24"/>
          <w:szCs w:val="24"/>
        </w:rPr>
        <w:t xml:space="preserve"> </w:t>
      </w:r>
      <w:r w:rsidR="00C43B8F">
        <w:rPr>
          <w:rFonts w:ascii="Times New Roman" w:hAnsi="Times New Roman" w:cs="Times New Roman"/>
          <w:iCs/>
          <w:sz w:val="24"/>
          <w:szCs w:val="24"/>
        </w:rPr>
        <w:t xml:space="preserve">85 - </w:t>
      </w:r>
      <w:r w:rsidR="00C2330F">
        <w:rPr>
          <w:rFonts w:ascii="Times New Roman" w:hAnsi="Times New Roman" w:cs="Times New Roman"/>
          <w:iCs/>
          <w:sz w:val="24"/>
          <w:szCs w:val="24"/>
        </w:rPr>
        <w:t>265</w:t>
      </w:r>
      <w:r w:rsidR="00D42B80">
        <w:rPr>
          <w:rFonts w:ascii="Times New Roman" w:hAnsi="Times New Roman" w:cs="Times New Roman"/>
          <w:iCs/>
          <w:sz w:val="24"/>
          <w:szCs w:val="24"/>
        </w:rPr>
        <w:t xml:space="preserve">, </w:t>
      </w:r>
      <w:r w:rsidR="00D42B80">
        <w:rPr>
          <w:rFonts w:ascii="Times New Roman" w:hAnsi="Times New Roman" w:cs="Times New Roman"/>
          <w:i/>
          <w:sz w:val="24"/>
          <w:szCs w:val="24"/>
        </w:rPr>
        <w:t>p</w:t>
      </w:r>
      <w:r w:rsidR="00D42B80">
        <w:rPr>
          <w:rFonts w:ascii="Times New Roman" w:hAnsi="Times New Roman" w:cs="Times New Roman"/>
          <w:iCs/>
          <w:sz w:val="24"/>
          <w:szCs w:val="24"/>
        </w:rPr>
        <w:t xml:space="preserve"> &lt; 0.001</w:t>
      </w:r>
      <w:r w:rsidR="00BA3BCD">
        <w:rPr>
          <w:rFonts w:ascii="Times New Roman" w:hAnsi="Times New Roman" w:cs="Times New Roman"/>
          <w:iCs/>
          <w:sz w:val="24"/>
          <w:szCs w:val="24"/>
        </w:rPr>
        <w:t>)</w:t>
      </w:r>
      <w:r w:rsidR="00B8545A">
        <w:rPr>
          <w:rFonts w:ascii="Times New Roman" w:hAnsi="Times New Roman" w:cs="Times New Roman"/>
          <w:iCs/>
          <w:sz w:val="24"/>
          <w:szCs w:val="24"/>
        </w:rPr>
        <w:t xml:space="preserve"> </w:t>
      </w:r>
      <w:r w:rsidR="00FE27CA">
        <w:rPr>
          <w:rFonts w:ascii="Times New Roman" w:hAnsi="Times New Roman" w:cs="Times New Roman"/>
          <w:iCs/>
          <w:sz w:val="24"/>
          <w:szCs w:val="24"/>
        </w:rPr>
        <w:t>than non-influential cases</w:t>
      </w:r>
      <w:r w:rsidR="00B8545A">
        <w:rPr>
          <w:rFonts w:ascii="Times New Roman" w:hAnsi="Times New Roman" w:cs="Times New Roman"/>
          <w:iCs/>
          <w:sz w:val="24"/>
          <w:szCs w:val="24"/>
        </w:rPr>
        <w:t xml:space="preserve"> but did not differ in </w:t>
      </w:r>
      <w:r w:rsidR="00B8545A">
        <w:rPr>
          <w:rFonts w:ascii="Times New Roman" w:hAnsi="Times New Roman" w:cs="Times New Roman"/>
          <w:iCs/>
          <w:sz w:val="24"/>
          <w:szCs w:val="24"/>
        </w:rPr>
        <w:lastRenderedPageBreak/>
        <w:t xml:space="preserve">prevalence of CRN </w:t>
      </w:r>
      <w:r w:rsidR="006A763E">
        <w:rPr>
          <w:rFonts w:ascii="Times New Roman" w:hAnsi="Times New Roman" w:cs="Times New Roman"/>
          <w:iCs/>
          <w:sz w:val="24"/>
          <w:szCs w:val="24"/>
        </w:rPr>
        <w:t>(</w:t>
      </w:r>
      <w:r w:rsidR="00373B27">
        <w:rPr>
          <w:rFonts w:ascii="Times New Roman" w:hAnsi="Times New Roman" w:cs="Times New Roman"/>
          <w:iCs/>
          <w:sz w:val="24"/>
          <w:szCs w:val="24"/>
        </w:rPr>
        <w:t>2</w:t>
      </w:r>
      <w:r w:rsidR="007C357D">
        <w:rPr>
          <w:rFonts w:ascii="Times New Roman" w:hAnsi="Times New Roman" w:cs="Times New Roman"/>
          <w:iCs/>
          <w:sz w:val="24"/>
          <w:szCs w:val="24"/>
        </w:rPr>
        <w:t>2%</w:t>
      </w:r>
      <w:r w:rsidR="00832999">
        <w:rPr>
          <w:rFonts w:ascii="Times New Roman" w:hAnsi="Times New Roman" w:cs="Times New Roman"/>
          <w:iCs/>
          <w:sz w:val="24"/>
          <w:szCs w:val="24"/>
        </w:rPr>
        <w:t xml:space="preserve">, </w:t>
      </w:r>
      <w:r w:rsidR="006A763E">
        <w:rPr>
          <w:rFonts w:ascii="Times New Roman" w:hAnsi="Times New Roman" w:cs="Times New Roman"/>
          <w:i/>
          <w:sz w:val="24"/>
          <w:szCs w:val="24"/>
        </w:rPr>
        <w:t>p</w:t>
      </w:r>
      <w:r w:rsidR="006A763E">
        <w:rPr>
          <w:rFonts w:ascii="Times New Roman" w:hAnsi="Times New Roman" w:cs="Times New Roman"/>
          <w:iCs/>
          <w:sz w:val="24"/>
          <w:szCs w:val="24"/>
        </w:rPr>
        <w:t xml:space="preserve"> =</w:t>
      </w:r>
      <w:r w:rsidR="00A4715E">
        <w:rPr>
          <w:rFonts w:ascii="Times New Roman" w:hAnsi="Times New Roman" w:cs="Times New Roman"/>
          <w:iCs/>
          <w:sz w:val="24"/>
          <w:szCs w:val="24"/>
        </w:rPr>
        <w:t xml:space="preserve"> 0.</w:t>
      </w:r>
      <w:r w:rsidR="00940B4E">
        <w:rPr>
          <w:rFonts w:ascii="Times New Roman" w:hAnsi="Times New Roman" w:cs="Times New Roman"/>
          <w:iCs/>
          <w:sz w:val="24"/>
          <w:szCs w:val="24"/>
        </w:rPr>
        <w:t>208</w:t>
      </w:r>
      <w:r w:rsidR="006A763E">
        <w:rPr>
          <w:rFonts w:ascii="Times New Roman" w:hAnsi="Times New Roman" w:cs="Times New Roman"/>
          <w:iCs/>
          <w:sz w:val="24"/>
          <w:szCs w:val="24"/>
        </w:rPr>
        <w:t>)</w:t>
      </w:r>
      <w:r w:rsidR="00B8545A">
        <w:rPr>
          <w:rFonts w:ascii="Times New Roman" w:hAnsi="Times New Roman" w:cs="Times New Roman"/>
          <w:iCs/>
          <w:sz w:val="24"/>
          <w:szCs w:val="24"/>
        </w:rPr>
        <w:t>. Given</w:t>
      </w:r>
      <w:r w:rsidR="00300EF1">
        <w:rPr>
          <w:rFonts w:ascii="Times New Roman" w:hAnsi="Times New Roman" w:cs="Times New Roman"/>
          <w:iCs/>
          <w:sz w:val="24"/>
          <w:szCs w:val="24"/>
        </w:rPr>
        <w:t xml:space="preserve"> that e</w:t>
      </w:r>
      <w:r w:rsidR="000B6FC4">
        <w:rPr>
          <w:rFonts w:ascii="Times New Roman" w:hAnsi="Times New Roman" w:cs="Times New Roman"/>
          <w:iCs/>
          <w:sz w:val="24"/>
          <w:szCs w:val="24"/>
        </w:rPr>
        <w:t>xclusion of</w:t>
      </w:r>
      <w:r w:rsidR="00300EF1">
        <w:rPr>
          <w:rFonts w:ascii="Times New Roman" w:hAnsi="Times New Roman" w:cs="Times New Roman"/>
          <w:iCs/>
          <w:sz w:val="24"/>
          <w:szCs w:val="24"/>
        </w:rPr>
        <w:t xml:space="preserve"> potentially influential</w:t>
      </w:r>
      <w:r w:rsidR="000B6FC4">
        <w:rPr>
          <w:rFonts w:ascii="Times New Roman" w:hAnsi="Times New Roman" w:cs="Times New Roman"/>
          <w:iCs/>
          <w:sz w:val="24"/>
          <w:szCs w:val="24"/>
        </w:rPr>
        <w:t xml:space="preserve"> cases did not substantially change </w:t>
      </w:r>
      <w:r w:rsidR="0079564B">
        <w:rPr>
          <w:rFonts w:ascii="Times New Roman" w:hAnsi="Times New Roman" w:cs="Times New Roman"/>
          <w:iCs/>
          <w:sz w:val="24"/>
          <w:szCs w:val="24"/>
        </w:rPr>
        <w:t>estimates</w:t>
      </w:r>
      <w:r w:rsidR="002C4EA5">
        <w:rPr>
          <w:rFonts w:ascii="Times New Roman" w:hAnsi="Times New Roman" w:cs="Times New Roman"/>
          <w:iCs/>
          <w:sz w:val="24"/>
          <w:szCs w:val="24"/>
        </w:rPr>
        <w:t xml:space="preserve"> </w:t>
      </w:r>
      <w:r w:rsidR="002C4EA5" w:rsidRPr="004475AD">
        <w:rPr>
          <w:rFonts w:ascii="Times New Roman" w:hAnsi="Times New Roman" w:cs="Times New Roman"/>
          <w:iCs/>
          <w:sz w:val="24"/>
          <w:szCs w:val="24"/>
        </w:rPr>
        <w:t>(Supplementary Table</w:t>
      </w:r>
      <w:r w:rsidR="008C493C">
        <w:rPr>
          <w:rFonts w:ascii="Times New Roman" w:hAnsi="Times New Roman" w:cs="Times New Roman"/>
          <w:iCs/>
          <w:sz w:val="24"/>
          <w:szCs w:val="24"/>
        </w:rPr>
        <w:t xml:space="preserve"> </w:t>
      </w:r>
      <w:r w:rsidR="00A418C7">
        <w:rPr>
          <w:rFonts w:ascii="Times New Roman" w:hAnsi="Times New Roman" w:cs="Times New Roman"/>
          <w:iCs/>
          <w:sz w:val="24"/>
          <w:szCs w:val="24"/>
        </w:rPr>
        <w:t>7</w:t>
      </w:r>
      <w:r w:rsidR="002C4EA5" w:rsidRPr="004475AD">
        <w:rPr>
          <w:rFonts w:ascii="Times New Roman" w:hAnsi="Times New Roman" w:cs="Times New Roman"/>
          <w:iCs/>
          <w:sz w:val="24"/>
          <w:szCs w:val="24"/>
        </w:rPr>
        <w:t>)</w:t>
      </w:r>
      <w:r w:rsidR="00300EF1" w:rsidRPr="004475AD">
        <w:rPr>
          <w:rFonts w:ascii="Times New Roman" w:hAnsi="Times New Roman" w:cs="Times New Roman"/>
          <w:iCs/>
          <w:sz w:val="24"/>
          <w:szCs w:val="24"/>
        </w:rPr>
        <w:t>,</w:t>
      </w:r>
      <w:r w:rsidR="00300EF1">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3363F2">
        <w:rPr>
          <w:rFonts w:ascii="Times New Roman" w:hAnsi="Times New Roman" w:cs="Times New Roman"/>
          <w:iCs/>
          <w:sz w:val="24"/>
          <w:szCs w:val="24"/>
        </w:rPr>
        <w:t xml:space="preserve">retained </w:t>
      </w:r>
      <w:r w:rsidR="00300EF1">
        <w:rPr>
          <w:rFonts w:ascii="Times New Roman" w:hAnsi="Times New Roman" w:cs="Times New Roman"/>
          <w:iCs/>
          <w:sz w:val="24"/>
          <w:szCs w:val="24"/>
        </w:rPr>
        <w:t xml:space="preserve">these cases </w:t>
      </w:r>
      <w:r w:rsidR="003363F2">
        <w:rPr>
          <w:rFonts w:ascii="Times New Roman" w:hAnsi="Times New Roman" w:cs="Times New Roman"/>
          <w:iCs/>
          <w:sz w:val="24"/>
          <w:szCs w:val="24"/>
        </w:rPr>
        <w:t>in final models.</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w:t>
      </w:r>
      <w:r w:rsidR="00F97E18">
        <w:rPr>
          <w:rFonts w:ascii="Times New Roman" w:hAnsi="Times New Roman" w:cs="Times New Roman"/>
          <w:iCs/>
          <w:sz w:val="24"/>
          <w:szCs w:val="24"/>
        </w:rPr>
        <w:t>substantially change point estimate</w:t>
      </w:r>
      <w:r w:rsidR="00C33C75">
        <w:rPr>
          <w:rFonts w:ascii="Times New Roman" w:hAnsi="Times New Roman" w:cs="Times New Roman"/>
          <w:iCs/>
          <w:sz w:val="24"/>
          <w:szCs w:val="24"/>
        </w:rPr>
        <w:t xml:space="preserve">, thus </w:t>
      </w:r>
      <w:r w:rsidR="002C5E6F">
        <w:rPr>
          <w:rFonts w:ascii="Times New Roman" w:hAnsi="Times New Roman" w:cs="Times New Roman"/>
          <w:iCs/>
          <w:sz w:val="24"/>
          <w:szCs w:val="24"/>
        </w:rPr>
        <w:t xml:space="preserve">I </w:t>
      </w:r>
      <w:r w:rsidR="00C33C75">
        <w:rPr>
          <w:rFonts w:ascii="Times New Roman" w:hAnsi="Times New Roman" w:cs="Times New Roman"/>
          <w:iCs/>
          <w:sz w:val="24"/>
          <w:szCs w:val="24"/>
        </w:rPr>
        <w:t xml:space="preserve">report the simpler linear effects </w:t>
      </w:r>
      <w:r w:rsidR="00C33C75" w:rsidRPr="004475AD">
        <w:rPr>
          <w:rFonts w:ascii="Times New Roman" w:hAnsi="Times New Roman" w:cs="Times New Roman"/>
          <w:iCs/>
          <w:sz w:val="24"/>
          <w:szCs w:val="24"/>
        </w:rPr>
        <w:t>(Supplement</w:t>
      </w:r>
      <w:r w:rsidR="00B95411" w:rsidRPr="004475AD">
        <w:rPr>
          <w:rFonts w:ascii="Times New Roman" w:hAnsi="Times New Roman" w:cs="Times New Roman"/>
          <w:iCs/>
          <w:sz w:val="24"/>
          <w:szCs w:val="24"/>
        </w:rPr>
        <w:t>ary Table</w:t>
      </w:r>
      <w:r w:rsidR="00C33C75" w:rsidRPr="004475AD">
        <w:rPr>
          <w:rFonts w:ascii="Times New Roman" w:hAnsi="Times New Roman" w:cs="Times New Roman"/>
          <w:iCs/>
          <w:sz w:val="24"/>
          <w:szCs w:val="24"/>
        </w:rPr>
        <w:t xml:space="preserve"> </w:t>
      </w:r>
      <w:r w:rsidR="00A418C7">
        <w:rPr>
          <w:rFonts w:ascii="Times New Roman" w:hAnsi="Times New Roman" w:cs="Times New Roman"/>
          <w:iCs/>
          <w:sz w:val="24"/>
          <w:szCs w:val="24"/>
        </w:rPr>
        <w:t>8</w:t>
      </w:r>
      <w:r w:rsidR="00C33C75" w:rsidRPr="004475AD">
        <w:rPr>
          <w:rFonts w:ascii="Times New Roman" w:hAnsi="Times New Roman" w:cs="Times New Roman"/>
          <w:iCs/>
          <w:sz w:val="24"/>
          <w:szCs w:val="24"/>
        </w:rPr>
        <w:t>)</w:t>
      </w:r>
      <w:r w:rsidR="00A418C7">
        <w:rPr>
          <w:rFonts w:ascii="Times New Roman" w:hAnsi="Times New Roman" w:cs="Times New Roman"/>
          <w:iCs/>
          <w:sz w:val="24"/>
          <w:szCs w:val="24"/>
        </w:rPr>
        <w:t>.</w:t>
      </w:r>
      <w:r w:rsidR="00F47A46">
        <w:rPr>
          <w:rFonts w:ascii="Times New Roman" w:hAnsi="Times New Roman" w:cs="Times New Roman"/>
          <w:iCs/>
          <w:sz w:val="24"/>
          <w:szCs w:val="24"/>
        </w:rPr>
        <w:t xml:space="preserve"> Finally, while the assumption of proportional hazards was met for </w:t>
      </w:r>
      <w:r w:rsidR="000B4610">
        <w:rPr>
          <w:rFonts w:ascii="Times New Roman" w:hAnsi="Times New Roman" w:cs="Times New Roman"/>
          <w:iCs/>
          <w:sz w:val="24"/>
          <w:szCs w:val="24"/>
        </w:rPr>
        <w:t>the CRN coefficient</w:t>
      </w:r>
      <w:r w:rsidR="00F47A46">
        <w:rPr>
          <w:rFonts w:ascii="Times New Roman" w:hAnsi="Times New Roman" w:cs="Times New Roman"/>
          <w:iCs/>
          <w:sz w:val="24"/>
          <w:szCs w:val="24"/>
        </w:rPr>
        <w:t xml:space="preserve">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6773904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1A7E0E16" w14:textId="3FF5DEAD" w:rsidR="00021042" w:rsidRDefault="009D5742" w:rsidP="00641EC5">
      <w:pPr>
        <w:spacing w:line="480" w:lineRule="auto"/>
        <w:rPr>
          <w:rFonts w:ascii="Times New Roman" w:hAnsi="Times New Roman" w:cs="Times New Roman"/>
          <w:iCs/>
          <w:sz w:val="24"/>
          <w:szCs w:val="24"/>
        </w:rPr>
      </w:pPr>
      <w:r>
        <w:rPr>
          <w:rFonts w:ascii="Times New Roman" w:hAnsi="Times New Roman" w:cs="Times New Roman"/>
          <w:b/>
          <w:bCs/>
          <w:iCs/>
          <w:sz w:val="24"/>
          <w:szCs w:val="24"/>
        </w:rPr>
        <w:tab/>
      </w:r>
      <w:r w:rsidR="007D07F5">
        <w:rPr>
          <w:rFonts w:ascii="Times New Roman" w:hAnsi="Times New Roman" w:cs="Times New Roman"/>
          <w:iCs/>
          <w:sz w:val="24"/>
          <w:szCs w:val="24"/>
        </w:rPr>
        <w:t xml:space="preserve">In this </w:t>
      </w:r>
      <w:r w:rsidR="002C6E27">
        <w:rPr>
          <w:rFonts w:ascii="Times New Roman" w:hAnsi="Times New Roman" w:cs="Times New Roman"/>
          <w:iCs/>
          <w:sz w:val="24"/>
          <w:szCs w:val="24"/>
        </w:rPr>
        <w:t>secondary data an</w:t>
      </w:r>
      <w:r w:rsidR="00063F41">
        <w:rPr>
          <w:rFonts w:ascii="Times New Roman" w:hAnsi="Times New Roman" w:cs="Times New Roman"/>
          <w:iCs/>
          <w:sz w:val="24"/>
          <w:szCs w:val="24"/>
        </w:rPr>
        <w:t>a</w:t>
      </w:r>
      <w:r w:rsidR="002C6E27">
        <w:rPr>
          <w:rFonts w:ascii="Times New Roman" w:hAnsi="Times New Roman" w:cs="Times New Roman"/>
          <w:iCs/>
          <w:sz w:val="24"/>
          <w:szCs w:val="24"/>
        </w:rPr>
        <w:t>lysis</w:t>
      </w:r>
      <w:r w:rsidR="007D07F5">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7D07F5">
        <w:rPr>
          <w:rFonts w:ascii="Times New Roman" w:hAnsi="Times New Roman" w:cs="Times New Roman"/>
          <w:iCs/>
          <w:sz w:val="24"/>
          <w:szCs w:val="24"/>
        </w:rPr>
        <w:t>found tha</w:t>
      </w:r>
      <w:r w:rsidR="00063F41">
        <w:rPr>
          <w:rFonts w:ascii="Times New Roman" w:hAnsi="Times New Roman" w:cs="Times New Roman"/>
          <w:iCs/>
          <w:sz w:val="24"/>
          <w:szCs w:val="24"/>
        </w:rPr>
        <w:t>t nearly one-fifth</w:t>
      </w:r>
      <w:r w:rsidR="00CD2391">
        <w:rPr>
          <w:rFonts w:ascii="Times New Roman" w:hAnsi="Times New Roman" w:cs="Times New Roman"/>
          <w:iCs/>
          <w:sz w:val="24"/>
          <w:szCs w:val="24"/>
        </w:rPr>
        <w:t xml:space="preserve"> </w:t>
      </w:r>
      <w:r w:rsidR="00CF50CC">
        <w:rPr>
          <w:rFonts w:ascii="Times New Roman" w:hAnsi="Times New Roman" w:cs="Times New Roman"/>
          <w:iCs/>
          <w:sz w:val="24"/>
          <w:szCs w:val="24"/>
        </w:rPr>
        <w:t>of</w:t>
      </w:r>
      <w:r w:rsidR="00CD2391">
        <w:rPr>
          <w:rFonts w:ascii="Times New Roman" w:hAnsi="Times New Roman" w:cs="Times New Roman"/>
          <w:iCs/>
          <w:sz w:val="24"/>
          <w:szCs w:val="24"/>
        </w:rPr>
        <w:t xml:space="preserve"> persons with diabetes and CVD</w:t>
      </w:r>
      <w:r w:rsidR="00CF50CC">
        <w:rPr>
          <w:rFonts w:ascii="Times New Roman" w:hAnsi="Times New Roman" w:cs="Times New Roman"/>
          <w:iCs/>
          <w:sz w:val="24"/>
          <w:szCs w:val="24"/>
        </w:rPr>
        <w:t xml:space="preserve"> </w:t>
      </w:r>
      <w:r w:rsidR="00CD2391">
        <w:rPr>
          <w:rFonts w:ascii="Times New Roman" w:hAnsi="Times New Roman" w:cs="Times New Roman"/>
          <w:iCs/>
          <w:sz w:val="24"/>
          <w:szCs w:val="24"/>
        </w:rPr>
        <w:t xml:space="preserve">living in the </w:t>
      </w:r>
      <w:r w:rsidR="00CF50CC">
        <w:rPr>
          <w:rFonts w:ascii="Times New Roman" w:hAnsi="Times New Roman" w:cs="Times New Roman"/>
          <w:iCs/>
          <w:sz w:val="24"/>
          <w:szCs w:val="24"/>
        </w:rPr>
        <w:t>United States</w:t>
      </w:r>
      <w:r w:rsidR="00CD2391">
        <w:rPr>
          <w:rFonts w:ascii="Times New Roman" w:hAnsi="Times New Roman" w:cs="Times New Roman"/>
          <w:iCs/>
          <w:sz w:val="24"/>
          <w:szCs w:val="24"/>
        </w:rPr>
        <w:t xml:space="preserve"> </w:t>
      </w:r>
      <w:r w:rsidR="001E2EDA">
        <w:rPr>
          <w:rFonts w:ascii="Times New Roman" w:hAnsi="Times New Roman" w:cs="Times New Roman"/>
          <w:iCs/>
          <w:sz w:val="24"/>
          <w:szCs w:val="24"/>
        </w:rPr>
        <w:t xml:space="preserve">experienced one or more </w:t>
      </w:r>
      <w:r w:rsidR="002A4BEA">
        <w:rPr>
          <w:rFonts w:ascii="Times New Roman" w:hAnsi="Times New Roman" w:cs="Times New Roman"/>
          <w:iCs/>
          <w:sz w:val="24"/>
          <w:szCs w:val="24"/>
        </w:rPr>
        <w:t>forms of CRN in the previous year.</w:t>
      </w:r>
      <w:r w:rsidR="00F64863">
        <w:rPr>
          <w:rFonts w:ascii="Times New Roman" w:hAnsi="Times New Roman" w:cs="Times New Roman"/>
          <w:iCs/>
          <w:sz w:val="24"/>
          <w:szCs w:val="24"/>
        </w:rPr>
        <w:t xml:space="preserve"> </w:t>
      </w:r>
      <w:r w:rsidR="00B31A9B">
        <w:rPr>
          <w:rFonts w:ascii="Times New Roman" w:hAnsi="Times New Roman" w:cs="Times New Roman"/>
          <w:iCs/>
          <w:sz w:val="24"/>
          <w:szCs w:val="24"/>
        </w:rPr>
        <w:t xml:space="preserve">Although CRN </w:t>
      </w:r>
      <w:r w:rsidR="00CD2CAC">
        <w:rPr>
          <w:rFonts w:ascii="Times New Roman" w:hAnsi="Times New Roman" w:cs="Times New Roman"/>
          <w:iCs/>
          <w:sz w:val="24"/>
          <w:szCs w:val="24"/>
        </w:rPr>
        <w:t>was</w:t>
      </w:r>
      <w:r w:rsidR="00B31A9B">
        <w:rPr>
          <w:rFonts w:ascii="Times New Roman" w:hAnsi="Times New Roman" w:cs="Times New Roman"/>
          <w:iCs/>
          <w:sz w:val="24"/>
          <w:szCs w:val="24"/>
        </w:rPr>
        <w:t xml:space="preserve"> associated with lower </w:t>
      </w:r>
      <w:r w:rsidR="009D0B23">
        <w:rPr>
          <w:rFonts w:ascii="Times New Roman" w:hAnsi="Times New Roman" w:cs="Times New Roman"/>
          <w:iCs/>
          <w:sz w:val="24"/>
          <w:szCs w:val="24"/>
        </w:rPr>
        <w:t>household income</w:t>
      </w:r>
      <w:r w:rsidR="00CD2CAC">
        <w:rPr>
          <w:rFonts w:ascii="Times New Roman" w:hAnsi="Times New Roman" w:cs="Times New Roman"/>
          <w:iCs/>
          <w:sz w:val="24"/>
          <w:szCs w:val="24"/>
        </w:rPr>
        <w:t>, l</w:t>
      </w:r>
      <w:r w:rsidR="00A3069D">
        <w:rPr>
          <w:rFonts w:ascii="Times New Roman" w:hAnsi="Times New Roman" w:cs="Times New Roman"/>
          <w:iCs/>
          <w:sz w:val="24"/>
          <w:szCs w:val="24"/>
        </w:rPr>
        <w:t>ack of health insurance,</w:t>
      </w:r>
      <w:r w:rsidR="009549EA">
        <w:rPr>
          <w:rFonts w:ascii="Times New Roman" w:hAnsi="Times New Roman" w:cs="Times New Roman"/>
          <w:iCs/>
          <w:sz w:val="24"/>
          <w:szCs w:val="24"/>
        </w:rPr>
        <w:t xml:space="preserve"> and lower educational attainment</w:t>
      </w:r>
      <w:r w:rsidR="0057455E">
        <w:rPr>
          <w:rFonts w:ascii="Times New Roman" w:hAnsi="Times New Roman" w:cs="Times New Roman"/>
          <w:iCs/>
          <w:sz w:val="24"/>
          <w:szCs w:val="24"/>
        </w:rPr>
        <w:t xml:space="preserve">, </w:t>
      </w:r>
      <w:r w:rsidR="00707FC1">
        <w:rPr>
          <w:rFonts w:ascii="Times New Roman" w:hAnsi="Times New Roman" w:cs="Times New Roman"/>
          <w:iCs/>
          <w:sz w:val="24"/>
          <w:szCs w:val="24"/>
        </w:rPr>
        <w:t xml:space="preserve">a substantial proportion of individuals unable to afford medication </w:t>
      </w:r>
      <w:r w:rsidR="005F362C">
        <w:rPr>
          <w:rFonts w:ascii="Times New Roman" w:hAnsi="Times New Roman" w:cs="Times New Roman"/>
          <w:iCs/>
          <w:sz w:val="24"/>
          <w:szCs w:val="24"/>
        </w:rPr>
        <w:t>had insurance and incomes</w:t>
      </w:r>
      <w:r w:rsidR="009C7591">
        <w:rPr>
          <w:rFonts w:ascii="Times New Roman" w:hAnsi="Times New Roman" w:cs="Times New Roman"/>
          <w:iCs/>
          <w:sz w:val="24"/>
          <w:szCs w:val="24"/>
        </w:rPr>
        <w:t xml:space="preserve"> </w:t>
      </w:r>
      <w:r w:rsidR="00D17D1E">
        <w:rPr>
          <w:rFonts w:ascii="Times New Roman" w:hAnsi="Times New Roman" w:cs="Times New Roman"/>
          <w:iCs/>
          <w:sz w:val="24"/>
          <w:szCs w:val="24"/>
        </w:rPr>
        <w:t>at or above the United States media</w:t>
      </w:r>
      <w:r w:rsidR="004B3528">
        <w:rPr>
          <w:rFonts w:ascii="Times New Roman" w:hAnsi="Times New Roman" w:cs="Times New Roman"/>
          <w:iCs/>
          <w:sz w:val="24"/>
          <w:szCs w:val="24"/>
        </w:rPr>
        <w:t xml:space="preserve">n. </w:t>
      </w:r>
      <w:r w:rsidR="00411EA5">
        <w:rPr>
          <w:rFonts w:ascii="Times New Roman" w:hAnsi="Times New Roman" w:cs="Times New Roman"/>
          <w:iCs/>
          <w:sz w:val="24"/>
          <w:szCs w:val="24"/>
        </w:rPr>
        <w:t xml:space="preserve">For years in which </w:t>
      </w:r>
      <w:r w:rsidR="00B47639">
        <w:rPr>
          <w:rFonts w:ascii="Times New Roman" w:hAnsi="Times New Roman" w:cs="Times New Roman"/>
          <w:iCs/>
          <w:sz w:val="24"/>
          <w:szCs w:val="24"/>
        </w:rPr>
        <w:t>more than one survey item was used to assess CRN,</w:t>
      </w:r>
      <w:r w:rsidR="00945CD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945CDC">
        <w:rPr>
          <w:rFonts w:ascii="Times New Roman" w:hAnsi="Times New Roman" w:cs="Times New Roman"/>
          <w:iCs/>
          <w:sz w:val="24"/>
          <w:szCs w:val="24"/>
        </w:rPr>
        <w:t>found</w:t>
      </w:r>
      <w:r w:rsidR="00484F6B">
        <w:rPr>
          <w:rFonts w:ascii="Times New Roman" w:hAnsi="Times New Roman" w:cs="Times New Roman"/>
          <w:iCs/>
          <w:sz w:val="24"/>
          <w:szCs w:val="24"/>
        </w:rPr>
        <w:t xml:space="preserve"> that</w:t>
      </w:r>
      <w:r w:rsidR="00945CDC">
        <w:rPr>
          <w:rFonts w:ascii="Times New Roman" w:hAnsi="Times New Roman" w:cs="Times New Roman"/>
          <w:iCs/>
          <w:sz w:val="24"/>
          <w:szCs w:val="24"/>
        </w:rPr>
        <w:t xml:space="preserve"> </w:t>
      </w:r>
      <w:r w:rsidR="00CA4DED">
        <w:rPr>
          <w:rFonts w:ascii="Times New Roman" w:hAnsi="Times New Roman" w:cs="Times New Roman"/>
          <w:iCs/>
          <w:sz w:val="24"/>
          <w:szCs w:val="24"/>
        </w:rPr>
        <w:t xml:space="preserve">delaying taking medication was the most common </w:t>
      </w:r>
      <w:r w:rsidR="00FB1C97">
        <w:rPr>
          <w:rFonts w:ascii="Times New Roman" w:hAnsi="Times New Roman" w:cs="Times New Roman"/>
          <w:iCs/>
          <w:sz w:val="24"/>
          <w:szCs w:val="24"/>
        </w:rPr>
        <w:t xml:space="preserve">strategy used to manage costs, </w:t>
      </w:r>
      <w:r w:rsidR="00945CDC">
        <w:rPr>
          <w:rFonts w:ascii="Times New Roman" w:hAnsi="Times New Roman" w:cs="Times New Roman"/>
          <w:iCs/>
          <w:sz w:val="24"/>
          <w:szCs w:val="24"/>
        </w:rPr>
        <w:t>th</w:t>
      </w:r>
      <w:r w:rsidR="00FB1C97">
        <w:rPr>
          <w:rFonts w:ascii="Times New Roman" w:hAnsi="Times New Roman" w:cs="Times New Roman"/>
          <w:iCs/>
          <w:sz w:val="24"/>
          <w:szCs w:val="24"/>
        </w:rPr>
        <w:t xml:space="preserve">ough more than </w:t>
      </w:r>
      <w:r w:rsidR="00977E95">
        <w:rPr>
          <w:rFonts w:ascii="Times New Roman" w:hAnsi="Times New Roman" w:cs="Times New Roman"/>
          <w:iCs/>
          <w:sz w:val="24"/>
          <w:szCs w:val="24"/>
        </w:rPr>
        <w:t>half</w:t>
      </w:r>
      <w:r w:rsidR="00FB1C97">
        <w:rPr>
          <w:rFonts w:ascii="Times New Roman" w:hAnsi="Times New Roman" w:cs="Times New Roman"/>
          <w:iCs/>
          <w:sz w:val="24"/>
          <w:szCs w:val="24"/>
        </w:rPr>
        <w:t xml:space="preserve"> of </w:t>
      </w:r>
      <w:r w:rsidR="00FA2DB7">
        <w:rPr>
          <w:rFonts w:ascii="Times New Roman" w:hAnsi="Times New Roman" w:cs="Times New Roman"/>
          <w:iCs/>
          <w:sz w:val="24"/>
          <w:szCs w:val="24"/>
        </w:rPr>
        <w:t>nonadherent</w:t>
      </w:r>
      <w:r w:rsidR="00945CDC">
        <w:rPr>
          <w:rFonts w:ascii="Times New Roman" w:hAnsi="Times New Roman" w:cs="Times New Roman"/>
          <w:iCs/>
          <w:sz w:val="24"/>
          <w:szCs w:val="24"/>
        </w:rPr>
        <w:t xml:space="preserve"> patients reported multiple</w:t>
      </w:r>
      <w:r w:rsidR="006B3F80">
        <w:rPr>
          <w:rFonts w:ascii="Times New Roman" w:hAnsi="Times New Roman" w:cs="Times New Roman"/>
          <w:iCs/>
          <w:sz w:val="24"/>
          <w:szCs w:val="24"/>
        </w:rPr>
        <w:t xml:space="preserve"> </w:t>
      </w:r>
      <w:r w:rsidR="00FB1C97">
        <w:rPr>
          <w:rFonts w:ascii="Times New Roman" w:hAnsi="Times New Roman" w:cs="Times New Roman"/>
          <w:iCs/>
          <w:sz w:val="24"/>
          <w:szCs w:val="24"/>
        </w:rPr>
        <w:t>forms of CRN</w:t>
      </w:r>
      <w:r w:rsidR="000539F9">
        <w:rPr>
          <w:rFonts w:ascii="Times New Roman" w:hAnsi="Times New Roman" w:cs="Times New Roman"/>
          <w:iCs/>
          <w:sz w:val="24"/>
          <w:szCs w:val="24"/>
        </w:rPr>
        <w:t>.</w:t>
      </w:r>
      <w:r w:rsidR="00E8020A">
        <w:rPr>
          <w:rFonts w:ascii="Times New Roman" w:hAnsi="Times New Roman" w:cs="Times New Roman"/>
          <w:iCs/>
          <w:sz w:val="24"/>
          <w:szCs w:val="24"/>
        </w:rPr>
        <w:t xml:space="preserve"> Moreover, </w:t>
      </w:r>
      <w:r w:rsidR="002C5E6F">
        <w:rPr>
          <w:rFonts w:ascii="Times New Roman" w:hAnsi="Times New Roman" w:cs="Times New Roman"/>
          <w:iCs/>
          <w:sz w:val="24"/>
          <w:szCs w:val="24"/>
        </w:rPr>
        <w:t xml:space="preserve">I </w:t>
      </w:r>
      <w:r w:rsidR="001A5091">
        <w:rPr>
          <w:rFonts w:ascii="Times New Roman" w:hAnsi="Times New Roman" w:cs="Times New Roman"/>
          <w:iCs/>
          <w:sz w:val="24"/>
          <w:szCs w:val="24"/>
        </w:rPr>
        <w:t>demonstrat</w:t>
      </w:r>
      <w:r w:rsidR="00AF4657">
        <w:rPr>
          <w:rFonts w:ascii="Times New Roman" w:hAnsi="Times New Roman" w:cs="Times New Roman"/>
          <w:iCs/>
          <w:sz w:val="24"/>
          <w:szCs w:val="24"/>
        </w:rPr>
        <w:t>e</w:t>
      </w:r>
      <w:r w:rsidR="001A5091">
        <w:rPr>
          <w:rFonts w:ascii="Times New Roman" w:hAnsi="Times New Roman" w:cs="Times New Roman"/>
          <w:iCs/>
          <w:sz w:val="24"/>
          <w:szCs w:val="24"/>
        </w:rPr>
        <w:t xml:space="preserve"> </w:t>
      </w:r>
      <w:r w:rsidR="005E0C99">
        <w:rPr>
          <w:rFonts w:ascii="Times New Roman" w:hAnsi="Times New Roman" w:cs="Times New Roman"/>
          <w:iCs/>
          <w:sz w:val="24"/>
          <w:szCs w:val="24"/>
        </w:rPr>
        <w:t xml:space="preserve">that CRN is associated with </w:t>
      </w:r>
      <w:r w:rsidR="006D0807">
        <w:rPr>
          <w:rFonts w:ascii="Times New Roman" w:hAnsi="Times New Roman" w:cs="Times New Roman"/>
          <w:iCs/>
          <w:sz w:val="24"/>
          <w:szCs w:val="24"/>
        </w:rPr>
        <w:t>15</w:t>
      </w:r>
      <w:r w:rsidR="005E0C99">
        <w:rPr>
          <w:rFonts w:ascii="Times New Roman" w:hAnsi="Times New Roman" w:cs="Times New Roman"/>
          <w:iCs/>
          <w:sz w:val="24"/>
          <w:szCs w:val="24"/>
        </w:rPr>
        <w:t xml:space="preserve"> – 30% higher risk</w:t>
      </w:r>
      <w:r w:rsidR="006D0807">
        <w:rPr>
          <w:rFonts w:ascii="Times New Roman" w:hAnsi="Times New Roman" w:cs="Times New Roman"/>
          <w:iCs/>
          <w:sz w:val="24"/>
          <w:szCs w:val="24"/>
        </w:rPr>
        <w:t>s</w:t>
      </w:r>
      <w:r w:rsidR="005E0C99">
        <w:rPr>
          <w:rFonts w:ascii="Times New Roman" w:hAnsi="Times New Roman" w:cs="Times New Roman"/>
          <w:iCs/>
          <w:sz w:val="24"/>
          <w:szCs w:val="24"/>
        </w:rPr>
        <w:t xml:space="preserve"> of all-cause and disease-specific mortality</w:t>
      </w:r>
      <w:r w:rsidR="00D34015">
        <w:rPr>
          <w:rFonts w:ascii="Times New Roman" w:hAnsi="Times New Roman" w:cs="Times New Roman"/>
          <w:iCs/>
          <w:sz w:val="24"/>
          <w:szCs w:val="24"/>
        </w:rPr>
        <w:t xml:space="preserve"> among individuals with diabetes or CVD, including hypertension</w:t>
      </w:r>
      <w:r w:rsidR="00445300">
        <w:rPr>
          <w:rFonts w:ascii="Times New Roman" w:hAnsi="Times New Roman" w:cs="Times New Roman"/>
          <w:iCs/>
          <w:sz w:val="24"/>
          <w:szCs w:val="24"/>
        </w:rPr>
        <w:t xml:space="preserve">, </w:t>
      </w:r>
      <w:r w:rsidR="00B46A80">
        <w:rPr>
          <w:rFonts w:ascii="Times New Roman" w:hAnsi="Times New Roman" w:cs="Times New Roman"/>
          <w:iCs/>
          <w:sz w:val="24"/>
          <w:szCs w:val="24"/>
        </w:rPr>
        <w:t>although</w:t>
      </w:r>
      <w:r w:rsidR="00D97D9C">
        <w:rPr>
          <w:rFonts w:ascii="Times New Roman" w:hAnsi="Times New Roman" w:cs="Times New Roman"/>
          <w:iCs/>
          <w:sz w:val="24"/>
          <w:szCs w:val="24"/>
        </w:rPr>
        <w:t xml:space="preserve"> </w:t>
      </w:r>
      <w:r w:rsidR="002B4158">
        <w:rPr>
          <w:rFonts w:ascii="Times New Roman" w:hAnsi="Times New Roman" w:cs="Times New Roman"/>
          <w:iCs/>
          <w:sz w:val="24"/>
          <w:szCs w:val="24"/>
        </w:rPr>
        <w:t xml:space="preserve">significant </w:t>
      </w:r>
      <w:r w:rsidR="00223037">
        <w:rPr>
          <w:rFonts w:ascii="Times New Roman" w:hAnsi="Times New Roman" w:cs="Times New Roman"/>
          <w:iCs/>
          <w:sz w:val="24"/>
          <w:szCs w:val="24"/>
        </w:rPr>
        <w:t xml:space="preserve">associations </w:t>
      </w:r>
      <w:r w:rsidR="00B46A80">
        <w:rPr>
          <w:rFonts w:ascii="Times New Roman" w:hAnsi="Times New Roman" w:cs="Times New Roman"/>
          <w:iCs/>
          <w:sz w:val="24"/>
          <w:szCs w:val="24"/>
        </w:rPr>
        <w:t xml:space="preserve">were only </w:t>
      </w:r>
      <w:r w:rsidR="00223037">
        <w:rPr>
          <w:rFonts w:ascii="Times New Roman" w:hAnsi="Times New Roman" w:cs="Times New Roman"/>
          <w:iCs/>
          <w:sz w:val="24"/>
          <w:szCs w:val="24"/>
        </w:rPr>
        <w:t xml:space="preserve">observed among those interviewed </w:t>
      </w:r>
      <w:r w:rsidR="0060791A">
        <w:rPr>
          <w:rFonts w:ascii="Times New Roman" w:hAnsi="Times New Roman" w:cs="Times New Roman"/>
          <w:iCs/>
          <w:sz w:val="24"/>
          <w:szCs w:val="24"/>
        </w:rPr>
        <w:t>prior to 2011</w:t>
      </w:r>
      <w:r w:rsidR="00CD3D63">
        <w:rPr>
          <w:rFonts w:ascii="Times New Roman" w:hAnsi="Times New Roman" w:cs="Times New Roman"/>
          <w:iCs/>
          <w:sz w:val="24"/>
          <w:szCs w:val="24"/>
        </w:rPr>
        <w:t>.</w:t>
      </w:r>
      <w:r w:rsidR="00EF182F">
        <w:rPr>
          <w:rFonts w:ascii="Times New Roman" w:hAnsi="Times New Roman" w:cs="Times New Roman"/>
          <w:iCs/>
          <w:sz w:val="24"/>
          <w:szCs w:val="24"/>
        </w:rPr>
        <w:t xml:space="preserve"> </w:t>
      </w:r>
      <w:r w:rsidR="00EE0C90">
        <w:rPr>
          <w:rFonts w:ascii="Times New Roman" w:hAnsi="Times New Roman" w:cs="Times New Roman"/>
          <w:iCs/>
          <w:sz w:val="24"/>
          <w:szCs w:val="24"/>
        </w:rPr>
        <w:t>A</w:t>
      </w:r>
      <w:r w:rsidR="00256499">
        <w:rPr>
          <w:rFonts w:ascii="Times New Roman" w:hAnsi="Times New Roman" w:cs="Times New Roman"/>
          <w:iCs/>
          <w:sz w:val="24"/>
          <w:szCs w:val="24"/>
        </w:rPr>
        <w:t xml:space="preserve">ssociations were of similar magnitude irrespective of </w:t>
      </w:r>
      <w:r w:rsidR="008E4B13">
        <w:rPr>
          <w:rFonts w:ascii="Times New Roman" w:hAnsi="Times New Roman" w:cs="Times New Roman"/>
          <w:iCs/>
          <w:sz w:val="24"/>
          <w:szCs w:val="24"/>
        </w:rPr>
        <w:t>chronic illness type</w:t>
      </w:r>
      <w:r w:rsidR="00415841">
        <w:rPr>
          <w:rFonts w:ascii="Times New Roman" w:hAnsi="Times New Roman" w:cs="Times New Roman"/>
          <w:iCs/>
          <w:sz w:val="24"/>
          <w:szCs w:val="24"/>
        </w:rPr>
        <w:t xml:space="preserve"> and ultimate cause of death</w:t>
      </w:r>
      <w:r w:rsidR="002E20A7">
        <w:rPr>
          <w:rFonts w:ascii="Times New Roman" w:hAnsi="Times New Roman" w:cs="Times New Roman"/>
          <w:iCs/>
          <w:sz w:val="24"/>
          <w:szCs w:val="24"/>
        </w:rPr>
        <w:t xml:space="preserve">. </w:t>
      </w:r>
    </w:p>
    <w:p w14:paraId="5D212082" w14:textId="4F0CBC82" w:rsidR="005607B3" w:rsidRDefault="00BE573E" w:rsidP="0002104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lastRenderedPageBreak/>
        <w:t>I</w:t>
      </w:r>
      <w:r w:rsidR="0019124F">
        <w:rPr>
          <w:rFonts w:ascii="Times New Roman" w:hAnsi="Times New Roman" w:cs="Times New Roman"/>
          <w:iCs/>
          <w:sz w:val="24"/>
          <w:szCs w:val="24"/>
        </w:rPr>
        <w:t xml:space="preserve">n </w:t>
      </w:r>
      <w:r w:rsidR="006940B0">
        <w:rPr>
          <w:rFonts w:ascii="Times New Roman" w:hAnsi="Times New Roman" w:cs="Times New Roman"/>
          <w:iCs/>
          <w:sz w:val="24"/>
          <w:szCs w:val="24"/>
        </w:rPr>
        <w:t>most</w:t>
      </w:r>
      <w:r w:rsidR="004B494E">
        <w:rPr>
          <w:rFonts w:ascii="Times New Roman" w:hAnsi="Times New Roman" w:cs="Times New Roman"/>
          <w:iCs/>
          <w:sz w:val="24"/>
          <w:szCs w:val="24"/>
        </w:rPr>
        <w:t xml:space="preserve"> cases</w:t>
      </w:r>
      <w:r w:rsidR="005048F1">
        <w:rPr>
          <w:rFonts w:ascii="Times New Roman" w:hAnsi="Times New Roman" w:cs="Times New Roman"/>
          <w:iCs/>
          <w:sz w:val="24"/>
          <w:szCs w:val="24"/>
        </w:rPr>
        <w:t>, hazards</w:t>
      </w:r>
      <w:r w:rsidR="0019124F">
        <w:rPr>
          <w:rFonts w:ascii="Times New Roman" w:hAnsi="Times New Roman" w:cs="Times New Roman"/>
          <w:iCs/>
          <w:sz w:val="24"/>
          <w:szCs w:val="24"/>
        </w:rPr>
        <w:t xml:space="preserve"> </w:t>
      </w:r>
      <w:r w:rsidR="00856898">
        <w:rPr>
          <w:rFonts w:ascii="Times New Roman" w:hAnsi="Times New Roman" w:cs="Times New Roman"/>
          <w:iCs/>
          <w:sz w:val="24"/>
          <w:szCs w:val="24"/>
        </w:rPr>
        <w:t xml:space="preserve">of CRN </w:t>
      </w:r>
      <w:r w:rsidR="004B494E">
        <w:rPr>
          <w:rFonts w:ascii="Times New Roman" w:hAnsi="Times New Roman" w:cs="Times New Roman"/>
          <w:iCs/>
          <w:sz w:val="24"/>
          <w:szCs w:val="24"/>
        </w:rPr>
        <w:t>were</w:t>
      </w:r>
      <w:r w:rsidR="00D97D9C">
        <w:rPr>
          <w:rFonts w:ascii="Times New Roman" w:hAnsi="Times New Roman" w:cs="Times New Roman"/>
          <w:iCs/>
          <w:sz w:val="24"/>
          <w:szCs w:val="24"/>
        </w:rPr>
        <w:t xml:space="preserve"> subject to strong</w:t>
      </w:r>
      <w:r w:rsidR="004B494E">
        <w:rPr>
          <w:rFonts w:ascii="Times New Roman" w:hAnsi="Times New Roman" w:cs="Times New Roman"/>
          <w:iCs/>
          <w:sz w:val="24"/>
          <w:szCs w:val="24"/>
        </w:rPr>
        <w:t xml:space="preserve"> </w:t>
      </w:r>
      <w:r w:rsidR="006940B0">
        <w:rPr>
          <w:rFonts w:ascii="Times New Roman" w:hAnsi="Times New Roman" w:cs="Times New Roman"/>
          <w:iCs/>
          <w:sz w:val="24"/>
          <w:szCs w:val="24"/>
        </w:rPr>
        <w:t>qualitative confound</w:t>
      </w:r>
      <w:r w:rsidR="00D97D9C">
        <w:rPr>
          <w:rFonts w:ascii="Times New Roman" w:hAnsi="Times New Roman" w:cs="Times New Roman"/>
          <w:iCs/>
          <w:sz w:val="24"/>
          <w:szCs w:val="24"/>
        </w:rPr>
        <w:t>ing</w:t>
      </w:r>
      <w:r w:rsidR="00524D65">
        <w:rPr>
          <w:rFonts w:ascii="Times New Roman" w:hAnsi="Times New Roman" w:cs="Times New Roman"/>
          <w:iCs/>
          <w:sz w:val="24"/>
          <w:szCs w:val="24"/>
        </w:rPr>
        <w:t xml:space="preserve">. </w:t>
      </w:r>
      <w:r w:rsidR="002F4E85">
        <w:rPr>
          <w:rFonts w:ascii="Times New Roman" w:hAnsi="Times New Roman" w:cs="Times New Roman"/>
          <w:iCs/>
          <w:sz w:val="24"/>
          <w:szCs w:val="24"/>
        </w:rPr>
        <w:t>Given that younger individuals are at greater risk for CRN</w:t>
      </w:r>
      <w:r w:rsidR="00F51307">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{"citationID":"vBjrNLZc","properties":{"formattedCitation":"\\super 29\\nosupersub{}","plainCitation":"29","noteIndex":0},"citationItems":[{"id":654,"uris":["http://zotero.org/users/5917738/items/UM8BXSBM"],"uri":["http://zotero.org/users/5917738/items/UM8BXSBM"],"itemData":{"id":654,"type":"article-journal","abstract":"Nonadherence,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K."},{"family":"Ayala","given":"Carma"}],"issued":{"date-parts":[["2016"]]}}}],"schema":"https://github.com/citation-style-language/schema/raw/master/csl-citation.json"} </w:instrText>
      </w:r>
      <w:r w:rsidR="00F51307">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29</w:t>
      </w:r>
      <w:r w:rsidR="00F51307">
        <w:rPr>
          <w:rFonts w:ascii="Times New Roman" w:hAnsi="Times New Roman" w:cs="Times New Roman"/>
          <w:iCs/>
          <w:sz w:val="24"/>
          <w:szCs w:val="24"/>
        </w:rPr>
        <w:fldChar w:fldCharType="end"/>
      </w:r>
      <w:r w:rsidR="00C66982">
        <w:rPr>
          <w:rFonts w:ascii="Times New Roman" w:hAnsi="Times New Roman" w:cs="Times New Roman"/>
          <w:iCs/>
          <w:sz w:val="24"/>
          <w:szCs w:val="24"/>
        </w:rPr>
        <w:t xml:space="preserve"> and</w:t>
      </w:r>
      <w:r w:rsidR="0005333E">
        <w:rPr>
          <w:rFonts w:ascii="Times New Roman" w:hAnsi="Times New Roman" w:cs="Times New Roman"/>
          <w:iCs/>
          <w:sz w:val="24"/>
          <w:szCs w:val="24"/>
        </w:rPr>
        <w:t>, in general, a</w:t>
      </w:r>
      <w:r w:rsidR="00C66982">
        <w:rPr>
          <w:rFonts w:ascii="Times New Roman" w:hAnsi="Times New Roman" w:cs="Times New Roman"/>
          <w:iCs/>
          <w:sz w:val="24"/>
          <w:szCs w:val="24"/>
        </w:rPr>
        <w:t xml:space="preserve"> lower risk for mortality</w:t>
      </w:r>
      <w:r w:rsidR="005607B3">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607B3">
        <w:rPr>
          <w:rFonts w:ascii="Times New Roman" w:hAnsi="Times New Roman" w:cs="Times New Roman"/>
          <w:iCs/>
          <w:sz w:val="24"/>
          <w:szCs w:val="24"/>
        </w:rPr>
        <w:t xml:space="preserve">speculate that </w:t>
      </w:r>
      <w:r w:rsidR="00FF3D50">
        <w:rPr>
          <w:rFonts w:ascii="Times New Roman" w:hAnsi="Times New Roman" w:cs="Times New Roman"/>
          <w:iCs/>
          <w:sz w:val="24"/>
          <w:szCs w:val="24"/>
        </w:rPr>
        <w:t>this variable</w:t>
      </w:r>
      <w:r w:rsidR="005607B3">
        <w:rPr>
          <w:rFonts w:ascii="Times New Roman" w:hAnsi="Times New Roman" w:cs="Times New Roman"/>
          <w:iCs/>
          <w:sz w:val="24"/>
          <w:szCs w:val="24"/>
        </w:rPr>
        <w:t xml:space="preserve"> </w:t>
      </w:r>
      <w:r w:rsidR="00524D65">
        <w:rPr>
          <w:rFonts w:ascii="Times New Roman" w:hAnsi="Times New Roman" w:cs="Times New Roman"/>
          <w:iCs/>
          <w:sz w:val="24"/>
          <w:szCs w:val="24"/>
        </w:rPr>
        <w:t xml:space="preserve">played the strongest role in </w:t>
      </w:r>
      <w:r w:rsidR="00EF3616">
        <w:rPr>
          <w:rFonts w:ascii="Times New Roman" w:hAnsi="Times New Roman" w:cs="Times New Roman"/>
          <w:iCs/>
          <w:sz w:val="24"/>
          <w:szCs w:val="24"/>
        </w:rPr>
        <w:t>the</w:t>
      </w:r>
      <w:r w:rsidR="00C22A9E">
        <w:rPr>
          <w:rFonts w:ascii="Times New Roman" w:hAnsi="Times New Roman" w:cs="Times New Roman"/>
          <w:iCs/>
          <w:sz w:val="24"/>
          <w:szCs w:val="24"/>
        </w:rPr>
        <w:t xml:space="preserve"> inverse associations observed for unadjusted estimates</w:t>
      </w:r>
      <w:r w:rsidR="00FF3D50">
        <w:rPr>
          <w:rFonts w:ascii="Times New Roman" w:hAnsi="Times New Roman" w:cs="Times New Roman"/>
          <w:iCs/>
          <w:sz w:val="24"/>
          <w:szCs w:val="24"/>
        </w:rPr>
        <w:t>, particularly when considered in conjunction with insurance status.</w:t>
      </w:r>
      <w:r w:rsidR="00C6397E">
        <w:rPr>
          <w:rFonts w:ascii="Times New Roman" w:hAnsi="Times New Roman" w:cs="Times New Roman"/>
          <w:iCs/>
          <w:sz w:val="24"/>
          <w:szCs w:val="24"/>
        </w:rPr>
        <w:t xml:space="preserve"> Other</w:t>
      </w:r>
      <w:r w:rsidR="0019062D">
        <w:rPr>
          <w:rFonts w:ascii="Times New Roman" w:hAnsi="Times New Roman" w:cs="Times New Roman"/>
          <w:iCs/>
          <w:sz w:val="24"/>
          <w:szCs w:val="24"/>
        </w:rPr>
        <w:t xml:space="preserve"> confounders</w:t>
      </w:r>
      <w:r w:rsidR="006E37D8">
        <w:rPr>
          <w:rFonts w:ascii="Times New Roman" w:hAnsi="Times New Roman" w:cs="Times New Roman"/>
          <w:iCs/>
          <w:sz w:val="24"/>
          <w:szCs w:val="24"/>
        </w:rPr>
        <w:t>,</w:t>
      </w:r>
      <w:r w:rsidR="00905895">
        <w:rPr>
          <w:rFonts w:ascii="Times New Roman" w:hAnsi="Times New Roman" w:cs="Times New Roman"/>
          <w:iCs/>
          <w:sz w:val="24"/>
          <w:szCs w:val="24"/>
        </w:rPr>
        <w:t xml:space="preserve"> such as</w:t>
      </w:r>
      <w:r w:rsidR="006E37D8">
        <w:rPr>
          <w:rFonts w:ascii="Times New Roman" w:hAnsi="Times New Roman" w:cs="Times New Roman"/>
          <w:iCs/>
          <w:sz w:val="24"/>
          <w:szCs w:val="24"/>
        </w:rPr>
        <w:t xml:space="preserve"> education, an</w:t>
      </w:r>
      <w:r w:rsidR="0087460B">
        <w:rPr>
          <w:rFonts w:ascii="Times New Roman" w:hAnsi="Times New Roman" w:cs="Times New Roman"/>
          <w:iCs/>
          <w:sz w:val="24"/>
          <w:szCs w:val="24"/>
        </w:rPr>
        <w:t xml:space="preserve">d </w:t>
      </w:r>
      <w:r w:rsidR="00905895">
        <w:rPr>
          <w:rFonts w:ascii="Times New Roman" w:hAnsi="Times New Roman" w:cs="Times New Roman"/>
          <w:iCs/>
          <w:sz w:val="24"/>
          <w:szCs w:val="24"/>
        </w:rPr>
        <w:t xml:space="preserve">higher household </w:t>
      </w:r>
      <w:r w:rsidR="0087460B">
        <w:rPr>
          <w:rFonts w:ascii="Times New Roman" w:hAnsi="Times New Roman" w:cs="Times New Roman"/>
          <w:iCs/>
          <w:sz w:val="24"/>
          <w:szCs w:val="24"/>
        </w:rPr>
        <w:t>income, were also significant</w:t>
      </w:r>
      <w:r w:rsidR="00AC5256">
        <w:rPr>
          <w:rFonts w:ascii="Times New Roman" w:hAnsi="Times New Roman" w:cs="Times New Roman"/>
          <w:iCs/>
          <w:sz w:val="24"/>
          <w:szCs w:val="24"/>
        </w:rPr>
        <w:t xml:space="preserve">ly related to mortality, but </w:t>
      </w:r>
      <w:r w:rsidR="007F1D90">
        <w:rPr>
          <w:rFonts w:ascii="Times New Roman" w:hAnsi="Times New Roman" w:cs="Times New Roman"/>
          <w:iCs/>
          <w:sz w:val="24"/>
          <w:szCs w:val="24"/>
        </w:rPr>
        <w:t>are expected to be positive</w:t>
      </w:r>
      <w:r w:rsidR="00914959">
        <w:rPr>
          <w:rFonts w:ascii="Times New Roman" w:hAnsi="Times New Roman" w:cs="Times New Roman"/>
          <w:iCs/>
          <w:sz w:val="24"/>
          <w:szCs w:val="24"/>
        </w:rPr>
        <w:t xml:space="preserve">, rather than negative, </w:t>
      </w:r>
      <w:r w:rsidR="007F1D90">
        <w:rPr>
          <w:rFonts w:ascii="Times New Roman" w:hAnsi="Times New Roman" w:cs="Times New Roman"/>
          <w:iCs/>
          <w:sz w:val="24"/>
          <w:szCs w:val="24"/>
        </w:rPr>
        <w:t>c</w:t>
      </w:r>
      <w:r w:rsidR="00B12CEB">
        <w:rPr>
          <w:rFonts w:ascii="Times New Roman" w:hAnsi="Times New Roman" w:cs="Times New Roman"/>
          <w:iCs/>
          <w:sz w:val="24"/>
          <w:szCs w:val="24"/>
        </w:rPr>
        <w:t>onfounders</w:t>
      </w:r>
      <w:r w:rsidR="00914959">
        <w:rPr>
          <w:rFonts w:ascii="Times New Roman" w:hAnsi="Times New Roman" w:cs="Times New Roman"/>
          <w:iCs/>
          <w:sz w:val="24"/>
          <w:szCs w:val="24"/>
        </w:rPr>
        <w:t xml:space="preserve"> and would likely </w:t>
      </w:r>
      <w:r w:rsidR="00243892">
        <w:rPr>
          <w:rFonts w:ascii="Times New Roman" w:hAnsi="Times New Roman" w:cs="Times New Roman"/>
          <w:iCs/>
          <w:sz w:val="24"/>
          <w:szCs w:val="24"/>
        </w:rPr>
        <w:t>upwardly bias estimates.</w:t>
      </w:r>
    </w:p>
    <w:p w14:paraId="5C239172" w14:textId="52C84970" w:rsidR="002720D4" w:rsidRDefault="002720D4"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1021D0">
        <w:rPr>
          <w:rFonts w:ascii="Times New Roman" w:hAnsi="Times New Roman" w:cs="Times New Roman"/>
          <w:iCs/>
          <w:sz w:val="24"/>
          <w:szCs w:val="24"/>
        </w:rPr>
        <w:t>Although t</w:t>
      </w:r>
      <w:r w:rsidR="008B6BD6">
        <w:rPr>
          <w:rFonts w:ascii="Times New Roman" w:hAnsi="Times New Roman" w:cs="Times New Roman"/>
          <w:iCs/>
          <w:sz w:val="24"/>
          <w:szCs w:val="24"/>
        </w:rPr>
        <w:t>he prev</w:t>
      </w:r>
      <w:r w:rsidR="00E41672">
        <w:rPr>
          <w:rFonts w:ascii="Times New Roman" w:hAnsi="Times New Roman" w:cs="Times New Roman"/>
          <w:iCs/>
          <w:sz w:val="24"/>
          <w:szCs w:val="24"/>
        </w:rPr>
        <w:t>alence of CRN reported in this sample</w:t>
      </w:r>
      <w:r w:rsidR="00F52D3C">
        <w:rPr>
          <w:rFonts w:ascii="Times New Roman" w:hAnsi="Times New Roman" w:cs="Times New Roman"/>
          <w:iCs/>
          <w:sz w:val="24"/>
          <w:szCs w:val="24"/>
        </w:rPr>
        <w:t xml:space="preserve"> (~20%)</w:t>
      </w:r>
      <w:r w:rsidR="00EA2A9D">
        <w:rPr>
          <w:rFonts w:ascii="Times New Roman" w:hAnsi="Times New Roman" w:cs="Times New Roman"/>
          <w:iCs/>
          <w:sz w:val="24"/>
          <w:szCs w:val="24"/>
        </w:rPr>
        <w:t xml:space="preserve"> is lower than estimates from community and clinical samples,</w:t>
      </w:r>
      <w:r w:rsidR="00EA2A9D">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{"citationID":"HdddNjXF","properties":{"formattedCitation":"\\super 27,28,38\\nosupersub{}","plainCitation":"27,28,38","noteIndex":0},"citationItems":[{"id":619,"uris":["http://zotero.org/users/5917738/items/5HKMVCT4"],"uri":["http://zotero.org/users/5917738/items/5HKMVCT4"],"itemData":{"id":619,"type":"report","page":"1-16","title":"Costs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EA2A9D">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27,28,38</w:t>
      </w:r>
      <w:r w:rsidR="00EA2A9D">
        <w:rPr>
          <w:rFonts w:ascii="Times New Roman" w:hAnsi="Times New Roman" w:cs="Times New Roman"/>
          <w:iCs/>
          <w:sz w:val="24"/>
          <w:szCs w:val="24"/>
        </w:rPr>
        <w:fldChar w:fldCharType="end"/>
      </w:r>
      <w:r w:rsidR="00EA2A9D">
        <w:rPr>
          <w:rFonts w:ascii="Times New Roman" w:hAnsi="Times New Roman" w:cs="Times New Roman"/>
          <w:iCs/>
          <w:sz w:val="24"/>
          <w:szCs w:val="24"/>
        </w:rPr>
        <w:t xml:space="preserve"> </w:t>
      </w:r>
      <w:r w:rsidR="001021D0">
        <w:rPr>
          <w:rFonts w:ascii="Times New Roman" w:hAnsi="Times New Roman" w:cs="Times New Roman"/>
          <w:iCs/>
          <w:sz w:val="24"/>
          <w:szCs w:val="24"/>
        </w:rPr>
        <w:t>it</w:t>
      </w:r>
      <w:r w:rsidR="00EA2A9D">
        <w:rPr>
          <w:rFonts w:ascii="Times New Roman" w:hAnsi="Times New Roman" w:cs="Times New Roman"/>
          <w:iCs/>
          <w:sz w:val="24"/>
          <w:szCs w:val="24"/>
        </w:rPr>
        <w:t xml:space="preserve"> </w:t>
      </w:r>
      <w:r w:rsidR="00E41672">
        <w:rPr>
          <w:rFonts w:ascii="Times New Roman" w:hAnsi="Times New Roman" w:cs="Times New Roman"/>
          <w:iCs/>
          <w:sz w:val="24"/>
          <w:szCs w:val="24"/>
        </w:rPr>
        <w:t>remains largely consistent with</w:t>
      </w:r>
      <w:r w:rsidR="00505AD4">
        <w:rPr>
          <w:rFonts w:ascii="Times New Roman" w:hAnsi="Times New Roman" w:cs="Times New Roman"/>
          <w:iCs/>
          <w:sz w:val="24"/>
          <w:szCs w:val="24"/>
        </w:rPr>
        <w:t xml:space="preserve"> </w:t>
      </w:r>
      <w:r w:rsidR="00E30774">
        <w:rPr>
          <w:rFonts w:ascii="Times New Roman" w:hAnsi="Times New Roman" w:cs="Times New Roman"/>
          <w:iCs/>
          <w:sz w:val="24"/>
          <w:szCs w:val="24"/>
        </w:rPr>
        <w:t>assessments</w:t>
      </w:r>
      <w:r w:rsidR="00A60C06">
        <w:rPr>
          <w:rFonts w:ascii="Times New Roman" w:hAnsi="Times New Roman" w:cs="Times New Roman"/>
          <w:iCs/>
          <w:sz w:val="24"/>
          <w:szCs w:val="24"/>
        </w:rPr>
        <w:t xml:space="preserve"> from</w:t>
      </w:r>
      <w:r w:rsidR="00E41672">
        <w:rPr>
          <w:rFonts w:ascii="Times New Roman" w:hAnsi="Times New Roman" w:cs="Times New Roman"/>
          <w:iCs/>
          <w:sz w:val="24"/>
          <w:szCs w:val="24"/>
        </w:rPr>
        <w:t xml:space="preserve"> other nationally representative data</w:t>
      </w:r>
      <w:r w:rsidR="00064513">
        <w:rPr>
          <w:rFonts w:ascii="Times New Roman" w:hAnsi="Times New Roman" w:cs="Times New Roman"/>
          <w:iCs/>
          <w:sz w:val="24"/>
          <w:szCs w:val="24"/>
        </w:rPr>
        <w:t>, such as the Behavioral Risk Factor Surveillance Survey (BRFSS)</w:t>
      </w:r>
      <w:r w:rsidR="00EA2A9D">
        <w:rPr>
          <w:rFonts w:ascii="Times New Roman" w:hAnsi="Times New Roman" w:cs="Times New Roman"/>
          <w:iCs/>
          <w:sz w:val="24"/>
          <w:szCs w:val="24"/>
        </w:rPr>
        <w:t>.</w:t>
      </w:r>
      <w:r w:rsidR="003F6D9C">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{"citationID":"HQVDF6j3","properties":{"formattedCitation":"\\super 48\\nosupersub{}","plainCitation":"48","noteIndex":0},"citationItems":[{"id":1214,"uris":["http://zotero.org/users/5917738/items/48FJPADJ"],"uri":["http://zotero.org/users/5917738/items/48FJPADJ"],"itemData":{"id":1214,"type":"article-journal","abstract":"Aims:\nTo examine factors that affect cost-related medication non-adherence (CRN), defined as taking medication less than as prescribed because of cost, among adults with diabetes and to determine their relative contribution in explaining CRN.\n\nMethods:\nBehavioral Risk Factor Surveillance System data for 2013–2014 were used to identify individuals with diabetes and their CRN. We modeled CRN as a function of financial factors, regimen complexity, and other contextual factors including diabetes care, lifestyle, and health factors. Dominance analysis was performed to rank these factors by relative importance.\n\nResults:\nCRN among U.S. adults with diabetes was 16.5%. Respondents with annual income &lt;$50,000 and without health insurance were more likely to report CRN, compared to those with income ≥$50,000 and those with insurance, respectively. Insulin users had 1.24 times higher risk of CRN compared to those not on insulin. Contextual factors that significantly affected CRN included diabetes care factors, lifestyle factors, and comorbid depression, arthritis, and COPD/asthma. Dominance analysis showed health insurance was the most important factor for respondents &lt;65 and depression was the most important factor for respondents ≥65.\n\nConclusions:\nIn addition to traditional risk factors of CRN, compliance with annual recommendations for diabetes and healthy lifestyle were associated with lower CRN. Policies and social supports that address these contextual factors may help improve CRN.","container-title":"Diabetes research and clinical practice","DOI":"10.1016/j.diabres.2018.06.016","ISSN":"0168-8227","journalAbbreviation":"Diabetes Res Clin Pract","note":"PMID: 29944967\nPMCID: PMC6204232","page":"24-33","source":"PubMed Central","title":"Cost-related medication non-adherence among U.S. adults with diabetes","volume":"143","author":[{"family":"Kang","given":"Hyojung"},{"family":"Lobo","given":"Jennifer Mason"},{"family":"Kim","given":"Soyoun"},{"family":"Sohn","given":"Min-Woong"}],"issued":{"date-parts":[["2018",9]]}}}],"schema":"https://github.com/citation-style-language/schema/raw/master/csl-citation.json"} </w:instrText>
      </w:r>
      <w:r w:rsidR="003F6D9C">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48</w:t>
      </w:r>
      <w:r w:rsidR="003F6D9C">
        <w:rPr>
          <w:rFonts w:ascii="Times New Roman" w:hAnsi="Times New Roman" w:cs="Times New Roman"/>
          <w:iCs/>
          <w:sz w:val="24"/>
          <w:szCs w:val="24"/>
        </w:rPr>
        <w:fldChar w:fldCharType="end"/>
      </w:r>
      <w:r w:rsidR="009F166B">
        <w:rPr>
          <w:rFonts w:ascii="Times New Roman" w:hAnsi="Times New Roman" w:cs="Times New Roman"/>
          <w:iCs/>
          <w:sz w:val="24"/>
          <w:szCs w:val="24"/>
        </w:rPr>
        <w:t xml:space="preserve"> </w:t>
      </w:r>
      <w:r w:rsidR="00093686">
        <w:rPr>
          <w:rFonts w:ascii="Times New Roman" w:hAnsi="Times New Roman" w:cs="Times New Roman"/>
          <w:iCs/>
          <w:sz w:val="24"/>
          <w:szCs w:val="24"/>
        </w:rPr>
        <w:t>Differences</w:t>
      </w:r>
      <w:r w:rsidR="00F52D3C">
        <w:rPr>
          <w:rFonts w:ascii="Times New Roman" w:hAnsi="Times New Roman" w:cs="Times New Roman"/>
          <w:iCs/>
          <w:sz w:val="24"/>
          <w:szCs w:val="24"/>
        </w:rPr>
        <w:t xml:space="preserve"> are likely due to </w:t>
      </w:r>
      <w:r w:rsidR="002F77DD">
        <w:rPr>
          <w:rFonts w:ascii="Times New Roman" w:hAnsi="Times New Roman" w:cs="Times New Roman"/>
          <w:iCs/>
          <w:sz w:val="24"/>
          <w:szCs w:val="24"/>
        </w:rPr>
        <w:t>community</w:t>
      </w:r>
      <w:r w:rsidR="001021D0">
        <w:rPr>
          <w:rFonts w:ascii="Times New Roman" w:hAnsi="Times New Roman" w:cs="Times New Roman"/>
          <w:iCs/>
          <w:sz w:val="24"/>
          <w:szCs w:val="24"/>
        </w:rPr>
        <w:t>-level</w:t>
      </w:r>
      <w:r w:rsidR="002F77DD">
        <w:rPr>
          <w:rFonts w:ascii="Times New Roman" w:hAnsi="Times New Roman" w:cs="Times New Roman"/>
          <w:iCs/>
          <w:sz w:val="24"/>
          <w:szCs w:val="24"/>
        </w:rPr>
        <w:t xml:space="preserve"> </w:t>
      </w:r>
      <w:r w:rsidR="00093686">
        <w:rPr>
          <w:rFonts w:ascii="Times New Roman" w:hAnsi="Times New Roman" w:cs="Times New Roman"/>
          <w:iCs/>
          <w:sz w:val="24"/>
          <w:szCs w:val="24"/>
        </w:rPr>
        <w:t>variation</w:t>
      </w:r>
      <w:r w:rsidR="001021D0">
        <w:rPr>
          <w:rFonts w:ascii="Times New Roman" w:hAnsi="Times New Roman" w:cs="Times New Roman"/>
          <w:iCs/>
          <w:sz w:val="24"/>
          <w:szCs w:val="24"/>
        </w:rPr>
        <w:t>s</w:t>
      </w:r>
      <w:r w:rsidR="002F77DD">
        <w:rPr>
          <w:rFonts w:ascii="Times New Roman" w:hAnsi="Times New Roman" w:cs="Times New Roman"/>
          <w:iCs/>
          <w:sz w:val="24"/>
          <w:szCs w:val="24"/>
        </w:rPr>
        <w:t xml:space="preserve"> in </w:t>
      </w:r>
      <w:r w:rsidR="00093686">
        <w:rPr>
          <w:rFonts w:ascii="Times New Roman" w:hAnsi="Times New Roman" w:cs="Times New Roman"/>
          <w:iCs/>
          <w:sz w:val="24"/>
          <w:szCs w:val="24"/>
        </w:rPr>
        <w:t xml:space="preserve">socioeconomic </w:t>
      </w:r>
      <w:r w:rsidR="00E76844">
        <w:rPr>
          <w:rFonts w:ascii="Times New Roman" w:hAnsi="Times New Roman" w:cs="Times New Roman"/>
          <w:iCs/>
          <w:sz w:val="24"/>
          <w:szCs w:val="24"/>
        </w:rPr>
        <w:t xml:space="preserve">factors </w:t>
      </w:r>
      <w:r w:rsidR="001021D0">
        <w:rPr>
          <w:rFonts w:ascii="Times New Roman" w:hAnsi="Times New Roman" w:cs="Times New Roman"/>
          <w:iCs/>
          <w:sz w:val="24"/>
          <w:szCs w:val="24"/>
        </w:rPr>
        <w:t>as well as background prevalence of chronic disease and healthcare access</w:t>
      </w:r>
      <w:r w:rsidR="004C71F7">
        <w:rPr>
          <w:rFonts w:ascii="Times New Roman" w:hAnsi="Times New Roman" w:cs="Times New Roman"/>
          <w:iCs/>
          <w:sz w:val="24"/>
          <w:szCs w:val="24"/>
        </w:rPr>
        <w:t>.</w:t>
      </w:r>
      <w:r w:rsidR="00093686">
        <w:rPr>
          <w:rFonts w:ascii="Times New Roman" w:hAnsi="Times New Roman" w:cs="Times New Roman"/>
          <w:iCs/>
          <w:sz w:val="24"/>
          <w:szCs w:val="24"/>
        </w:rPr>
        <w:t xml:space="preserve"> </w:t>
      </w:r>
      <w:r w:rsidR="00144208">
        <w:rPr>
          <w:rFonts w:ascii="Times New Roman" w:hAnsi="Times New Roman" w:cs="Times New Roman"/>
          <w:iCs/>
          <w:sz w:val="24"/>
          <w:szCs w:val="24"/>
        </w:rPr>
        <w:t>Similarly, w</w:t>
      </w:r>
      <w:r w:rsidR="00057769">
        <w:rPr>
          <w:rFonts w:ascii="Times New Roman" w:hAnsi="Times New Roman" w:cs="Times New Roman"/>
          <w:iCs/>
          <w:sz w:val="24"/>
          <w:szCs w:val="24"/>
        </w:rPr>
        <w:t xml:space="preserve">hile </w:t>
      </w:r>
      <w:r w:rsidR="00C72DA8">
        <w:rPr>
          <w:rFonts w:ascii="Times New Roman" w:hAnsi="Times New Roman" w:cs="Times New Roman"/>
          <w:iCs/>
          <w:sz w:val="24"/>
          <w:szCs w:val="24"/>
        </w:rPr>
        <w:t xml:space="preserve">there is limited </w:t>
      </w:r>
      <w:r w:rsidR="00F87E6E">
        <w:rPr>
          <w:rFonts w:ascii="Times New Roman" w:hAnsi="Times New Roman" w:cs="Times New Roman"/>
          <w:iCs/>
          <w:sz w:val="24"/>
          <w:szCs w:val="24"/>
        </w:rPr>
        <w:t xml:space="preserve">research </w:t>
      </w:r>
      <w:r w:rsidR="00710B0C">
        <w:rPr>
          <w:rFonts w:ascii="Times New Roman" w:hAnsi="Times New Roman" w:cs="Times New Roman"/>
          <w:iCs/>
          <w:sz w:val="24"/>
          <w:szCs w:val="24"/>
        </w:rPr>
        <w:t xml:space="preserve">on </w:t>
      </w:r>
      <w:r w:rsidR="00C85DAB">
        <w:rPr>
          <w:rFonts w:ascii="Times New Roman" w:hAnsi="Times New Roman" w:cs="Times New Roman"/>
          <w:iCs/>
          <w:sz w:val="24"/>
          <w:szCs w:val="24"/>
        </w:rPr>
        <w:t>adverse outcomes</w:t>
      </w:r>
      <w:r w:rsidR="00034072">
        <w:rPr>
          <w:rFonts w:ascii="Times New Roman" w:hAnsi="Times New Roman" w:cs="Times New Roman"/>
          <w:iCs/>
          <w:sz w:val="24"/>
          <w:szCs w:val="24"/>
        </w:rPr>
        <w:t xml:space="preserve"> associated with CRN</w:t>
      </w:r>
      <w:r w:rsidR="00CC262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40581C">
        <w:rPr>
          <w:rFonts w:ascii="Times New Roman" w:hAnsi="Times New Roman" w:cs="Times New Roman"/>
          <w:iCs/>
          <w:sz w:val="24"/>
          <w:szCs w:val="24"/>
        </w:rPr>
        <w:t>note that the</w:t>
      </w:r>
      <w:r w:rsidR="00C90E7C">
        <w:rPr>
          <w:rFonts w:ascii="Times New Roman" w:hAnsi="Times New Roman" w:cs="Times New Roman"/>
          <w:iCs/>
          <w:sz w:val="24"/>
          <w:szCs w:val="24"/>
        </w:rPr>
        <w:t xml:space="preserve"> </w:t>
      </w:r>
      <w:r w:rsidR="005D7D6E">
        <w:rPr>
          <w:rFonts w:ascii="Times New Roman" w:hAnsi="Times New Roman" w:cs="Times New Roman"/>
          <w:iCs/>
          <w:sz w:val="24"/>
          <w:szCs w:val="24"/>
        </w:rPr>
        <w:t>associat</w:t>
      </w:r>
      <w:r w:rsidR="00C80EFD">
        <w:rPr>
          <w:rFonts w:ascii="Times New Roman" w:hAnsi="Times New Roman" w:cs="Times New Roman"/>
          <w:iCs/>
          <w:sz w:val="24"/>
          <w:szCs w:val="24"/>
        </w:rPr>
        <w:t>ion</w:t>
      </w:r>
      <w:r w:rsidR="005D7D6E">
        <w:rPr>
          <w:rFonts w:ascii="Times New Roman" w:hAnsi="Times New Roman" w:cs="Times New Roman"/>
          <w:iCs/>
          <w:sz w:val="24"/>
          <w:szCs w:val="24"/>
        </w:rPr>
        <w:t xml:space="preserve"> between CRN and </w:t>
      </w:r>
      <w:r w:rsidR="004D53C4">
        <w:rPr>
          <w:rFonts w:ascii="Times New Roman" w:hAnsi="Times New Roman" w:cs="Times New Roman"/>
          <w:iCs/>
          <w:sz w:val="24"/>
          <w:szCs w:val="24"/>
        </w:rPr>
        <w:t>mortality</w:t>
      </w:r>
      <w:r w:rsidR="009F5D07">
        <w:rPr>
          <w:rFonts w:ascii="Times New Roman" w:hAnsi="Times New Roman" w:cs="Times New Roman"/>
          <w:iCs/>
          <w:sz w:val="24"/>
          <w:szCs w:val="24"/>
        </w:rPr>
        <w:t xml:space="preserve"> in the present study is </w:t>
      </w:r>
      <w:r w:rsidR="00E34B8A">
        <w:rPr>
          <w:rFonts w:ascii="Times New Roman" w:hAnsi="Times New Roman" w:cs="Times New Roman"/>
          <w:iCs/>
          <w:sz w:val="24"/>
          <w:szCs w:val="24"/>
        </w:rPr>
        <w:t>of similar magnitude to</w:t>
      </w:r>
      <w:r w:rsidR="00942015">
        <w:rPr>
          <w:rFonts w:ascii="Times New Roman" w:hAnsi="Times New Roman" w:cs="Times New Roman"/>
          <w:iCs/>
          <w:sz w:val="24"/>
          <w:szCs w:val="24"/>
        </w:rPr>
        <w:t xml:space="preserve"> previous estimates </w:t>
      </w:r>
      <w:r w:rsidR="00E34B8A">
        <w:rPr>
          <w:rFonts w:ascii="Times New Roman" w:hAnsi="Times New Roman" w:cs="Times New Roman"/>
          <w:iCs/>
          <w:sz w:val="24"/>
          <w:szCs w:val="24"/>
        </w:rPr>
        <w:t>for</w:t>
      </w:r>
      <w:r w:rsidR="00AA00EF">
        <w:rPr>
          <w:rFonts w:ascii="Times New Roman" w:hAnsi="Times New Roman" w:cs="Times New Roman"/>
          <w:iCs/>
          <w:sz w:val="24"/>
          <w:szCs w:val="24"/>
        </w:rPr>
        <w:t xml:space="preserve"> nonadherence</w:t>
      </w:r>
      <w:r w:rsidR="00E34B8A">
        <w:rPr>
          <w:rFonts w:ascii="Times New Roman" w:hAnsi="Times New Roman" w:cs="Times New Roman"/>
          <w:iCs/>
          <w:sz w:val="24"/>
          <w:szCs w:val="24"/>
        </w:rPr>
        <w:t xml:space="preserve"> general</w:t>
      </w:r>
      <w:r w:rsidR="009C1909">
        <w:rPr>
          <w:rFonts w:ascii="Times New Roman" w:hAnsi="Times New Roman" w:cs="Times New Roman"/>
          <w:iCs/>
          <w:sz w:val="24"/>
          <w:szCs w:val="24"/>
        </w:rPr>
        <w:t>ly,</w:t>
      </w:r>
      <w:r w:rsidR="005E47DD">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{"citationID":"RwCpi5nD","properties":{"formattedCitation":"\\super 49,50\\nosupersub{}","plainCitation":"49,50","noteIndex":0},"citationItems":[{"id":1228,"uris":["http://zotero.org/users/5917738/items/8JMMTQHI"],"uri":["http://zotero.org/users/5917738/items/8JMMTQHI"],"itemData":{"id":1228,"type":"article-journal","abstract":"Aims While suboptimal adherence to statin medication has been quantified in real-world patient settings, a better understanding of its impact is needed, particularly with respect to distinct problems of medication taking. Our aim was to synthesize current evidence on the impacts of statin adherence, discontinuation and persistence on cardiovascular disease and mortality outcomes. Methods We conducted a systematic review of peer-reviewed studies using a mapped search of Medline, Embase and International Pharmaceutical Abstracts databases. Observational studies that met the following criteria were included: defined patient population; statin adherence exposure; defined study outcome [i.e. cardiovascular disease (CVD), mortality]; and reporting of statin-specific results. Results Overall, 28 studies were included, with 19 studies evaluating outcomes associated with statin adherence, six with statin discontinuation and three with statin persistence. Among adherence studies, the proportion of days covered was the most widely used measure, with the majority of studies reporting increased risk of CVD (statistically significant risk estimates ranging from 1.22 to 5.26) and mortality (statistically significant risk estimates ranging from 1.25 to 2.54) among non-adherent individuals. There was greater methodological variability in discontinuation and persistence studies. However, findings of increased CVD (statistically significant risk estimates ranging from 1.22 to 1.67) and mortality (statistically significant risk estimates ranging from 1.79 to 5.00) among nonpersistent individuals were also consistently reported. Conclusions Observational studies consistently report an increased risk of adverse outcomes associated with poor statin adherence. These findings have important implications for patients and physicians and emphasize the importance of monitoring and encouraging adherence to statin therapy.","container-title":"British Journal of Clinical Pharmacology","DOI":"10.1111/bcp.12339","ISSN":"1365-2125","issue":"4","language":"en","page":"684-698","source":"Wiley Online Library","title":"Impact of statin adherence on cardiovascular disease and mortality outcomes: a systematic review","title-short":"Impact of statin adherence on cardiovascular disease and mortality outcomes","volume":"78","author":[{"family":"De Vera","given":"Mary A."},{"family":"Bhole","given":"Vidula"},{"family":"Burns","given":"Lindsay C."},{"family":"Lacaille","given":"Diane"}],"issued":{"date-parts":[["2014"]]}}},{"id":1217,"uris":["http://zotero.org/users/5917738/items/YQUSA67X"],"uri":["http://zotero.org/users/5917738/items/YQUSA67X"],"itemData":{"id":1217,"type":"article-journal","abstract":"Nonadherence to antihypertensive drugs is associated with adverse outcomes; however, mediators of this relationship are poorly understood. We examined the association between the International Classification of Diseases-Ninth Revision code for medical treatment nonadherence (V15.81) assigned before initiation of antihypertensive drug therapy and all-cause mortality in a large cohort of incident hypertensive US veterans. A propensity score–matched cohort of 18 822 patients (9411 patients with and without a V15.81 code) was generated based on variables predictive of the presence of the V15.81 code to assess its independent association with all-cause mortality during 3.8 years of follow-up. We used Cox models before and after adjustment for antihypertensive drug adherence (measured as the proportion of days covered) and for measures of blood pressure to determine whether the association of nonadherence with mortality was mediated through consequences of not following prescribed antihypertensive drugs. At baseline, the mean age of patients was 50.0 years, 91.4% were men, and 33.2% were blacks. The V15.81 code presence was associated with higher all-cause mortality (hazard ratio, 1.38, 95% confidence interval, 1.26–1.52; P&lt;0.001). Adjustment for medication adherence, blood pressure levels, and blood pressure variability during follow-up did not alter the association between the V15.81 code and all-cause mortality (hazard ratio, 1.35; 95% confidence interval, 1.20–1.52; P&lt;0.001). In conclusion, assignment of a V15.81 code before antihypertensive drug therapy was associated with higher all-cause mortality in incident hypertensive US veterans and can be useful to identify high-risk patients in administrative databases. This association was not mediated by worse adherence to antihypertensive drugs or differences in follow-up blood pressure.","container-title":"Hypertension","DOI":"10.1161/HYPERTENSIONAHA.114.03805","issue":"5","journalAbbreviation":"Hypertension","page":"951-957","source":"ahajournals.org (Atypon)","title":"Association of Medical Treatment Nonadherence With All-Cause Mortality in Newly Treated Hypertensive US Veterans","volume":"64","author":[{"literal":"Gosmanova Elvira O."},{"literal":"Lu Jun L."},{"literal":"Streja Elani"},{"literal":"Cushman William C."},{"literal":"Kalantar-Zadeh Kamyar"},{"literal":"Kovesdy Csaba P."}],"issued":{"date-parts":[["2014",11,1]]}}}],"schema":"https://github.com/citation-style-language/schema/raw/master/csl-citation.json"} </w:instrText>
      </w:r>
      <w:r w:rsidR="005E47DD">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49,50</w:t>
      </w:r>
      <w:r w:rsidR="005E47DD">
        <w:rPr>
          <w:rFonts w:ascii="Times New Roman" w:hAnsi="Times New Roman" w:cs="Times New Roman"/>
          <w:iCs/>
          <w:sz w:val="24"/>
          <w:szCs w:val="24"/>
        </w:rPr>
        <w:fldChar w:fldCharType="end"/>
      </w:r>
      <w:r w:rsidR="009C1909">
        <w:rPr>
          <w:rFonts w:ascii="Times New Roman" w:hAnsi="Times New Roman" w:cs="Times New Roman"/>
          <w:iCs/>
          <w:sz w:val="24"/>
          <w:szCs w:val="24"/>
        </w:rPr>
        <w:t xml:space="preserve"> indicating that</w:t>
      </w:r>
      <w:r w:rsidR="00622682">
        <w:rPr>
          <w:rFonts w:ascii="Times New Roman" w:hAnsi="Times New Roman" w:cs="Times New Roman"/>
          <w:iCs/>
          <w:sz w:val="24"/>
          <w:szCs w:val="24"/>
        </w:rPr>
        <w:t xml:space="preserve"> </w:t>
      </w:r>
      <w:r w:rsidR="0074463E">
        <w:rPr>
          <w:rFonts w:ascii="Times New Roman" w:hAnsi="Times New Roman" w:cs="Times New Roman"/>
          <w:iCs/>
          <w:sz w:val="24"/>
          <w:szCs w:val="24"/>
        </w:rPr>
        <w:t xml:space="preserve">adverse </w:t>
      </w:r>
      <w:r w:rsidR="00042E95">
        <w:rPr>
          <w:rFonts w:ascii="Times New Roman" w:hAnsi="Times New Roman" w:cs="Times New Roman"/>
          <w:iCs/>
          <w:sz w:val="24"/>
          <w:szCs w:val="24"/>
        </w:rPr>
        <w:t xml:space="preserve">effects of </w:t>
      </w:r>
      <w:r w:rsidR="00622682">
        <w:rPr>
          <w:rFonts w:ascii="Times New Roman" w:hAnsi="Times New Roman" w:cs="Times New Roman"/>
          <w:iCs/>
          <w:sz w:val="24"/>
          <w:szCs w:val="24"/>
        </w:rPr>
        <w:t>nonadherence</w:t>
      </w:r>
      <w:r w:rsidR="0074463E">
        <w:rPr>
          <w:rFonts w:ascii="Times New Roman" w:hAnsi="Times New Roman" w:cs="Times New Roman"/>
          <w:iCs/>
          <w:sz w:val="24"/>
          <w:szCs w:val="24"/>
        </w:rPr>
        <w:t xml:space="preserve"> may not</w:t>
      </w:r>
      <w:r w:rsidR="00BE0A52">
        <w:rPr>
          <w:rFonts w:ascii="Times New Roman" w:hAnsi="Times New Roman" w:cs="Times New Roman"/>
          <w:iCs/>
          <w:sz w:val="24"/>
          <w:szCs w:val="24"/>
        </w:rPr>
        <w:t xml:space="preserve"> vary according to reasons for nonadherence</w:t>
      </w:r>
      <w:r w:rsidR="003858BB">
        <w:rPr>
          <w:rFonts w:ascii="Times New Roman" w:hAnsi="Times New Roman" w:cs="Times New Roman"/>
          <w:iCs/>
          <w:sz w:val="24"/>
          <w:szCs w:val="24"/>
        </w:rPr>
        <w:t>.</w:t>
      </w:r>
      <w:r w:rsidR="008620C6">
        <w:rPr>
          <w:rFonts w:ascii="Times New Roman" w:hAnsi="Times New Roman" w:cs="Times New Roman"/>
          <w:iCs/>
          <w:sz w:val="24"/>
          <w:szCs w:val="24"/>
        </w:rPr>
        <w:t xml:space="preserve"> </w:t>
      </w:r>
    </w:p>
    <w:p w14:paraId="2A20A34F" w14:textId="6C21DA8A" w:rsidR="0018191F" w:rsidRDefault="0018191F" w:rsidP="00DF4CA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lack of association between CRN and mortality in respondents interviewed after 2010 is also notable. Although </w:t>
      </w:r>
      <w:r w:rsidR="002C5E6F">
        <w:rPr>
          <w:rFonts w:ascii="Times New Roman" w:hAnsi="Times New Roman" w:cs="Times New Roman"/>
          <w:iCs/>
          <w:sz w:val="24"/>
          <w:szCs w:val="24"/>
        </w:rPr>
        <w:t xml:space="preserve">I </w:t>
      </w:r>
      <w:r>
        <w:rPr>
          <w:rFonts w:ascii="Times New Roman" w:hAnsi="Times New Roman" w:cs="Times New Roman"/>
          <w:iCs/>
          <w:sz w:val="24"/>
          <w:szCs w:val="24"/>
        </w:rPr>
        <w:t>anticipated that CRN identified in 2011 and later would be associated with stronger mortality associations given the greater specificity in NHIS survey items,</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ZOTERO_ITEM CSL_CITATION {"citationID":"qgKtp5Dt","properties":{"formattedCitation":"\\super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Pr>
          <w:rFonts w:ascii="Times New Roman" w:hAnsi="Times New Roman" w:cs="Times New Roman"/>
          <w:iCs/>
          <w:sz w:val="24"/>
          <w:szCs w:val="24"/>
        </w:rPr>
        <w:fldChar w:fldCharType="separate"/>
      </w:r>
      <w:r w:rsidRPr="006F4468">
        <w:rPr>
          <w:rFonts w:ascii="Times New Roman" w:hAnsi="Times New Roman" w:cs="Times New Roman"/>
          <w:sz w:val="24"/>
          <w:szCs w:val="24"/>
          <w:vertAlign w:val="superscript"/>
        </w:rPr>
        <w:t>16</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it may be that important dimensions of CRN were not captured by the new questions. Alternatively, the null findings may be a result of the shorter follow-up times and substantially lower sample size in the later survey years. Negative consequences of nonadherence depend on the disease, medication, and severity and duration of restriction,</w:t>
      </w:r>
      <w:r>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{"citationID":"gYPTq1Fb","properties":{"formattedCitation":"\\super 32,51\\nosupersub{}","plainCitation":"32,51","noteIndex":0},"citationItems":[{"id":652,"uris":["http://zotero.org/users/5917738/items/NY2ET4KV"],"uri":["http://zotero.org/users/5917738/items/NY2ET4KV"],"itemData":{"id":652,"type":"article-journal","abstract":"Background: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P."}],"issued":{"date-parts":[["2014",5]]}}},{"id":1190,"uris":["http://zotero.org/users/5917738/items/SBQHAW63"],"uri":["http://zotero.org/users/5917738/items/SBQHAW63"],"itemData":{"id":1190,"type":"article-journal","abstract":"Objective\nWe sought to determine lifetime costs, morbidity, and mortality associated with varying adherence to antihypertensive and 3-hydroxy-3-methylglutaryl-coenzyme A reductase inhibitors (statin) therapy in a hypertensive population.\nMethods\nA model was constructed to compare costs and outcomes under three adherence scenarios: no treatment, ideal adherence, and real-world adherence. Simulated patients’ characteristics matched those of participants in the Anglo-Scandinavian Cardiac Outcomes Trial–Lipid-Lowering Arm and event probabilities were calculated with Framingham Heart Study risk equations. The real-world adherence scenario employed adherence data from an observational study of a US population; risk reductions at each level of adherence were based on linear extrapolations from clinical trials. Outputs included life expectancy, frequencies of primary and secondary coronary heart disease and stroke, and direct medical costs in 2006 US$. The incremental cost per life-year gained and incremental cost per event avoided were calculated comparing the three adherence scenarios.\nResults\nMean life expectancy was 14.73 years (no-treatment scenario), 15.07 (real-world adherence), and 15.49 (ideal adherence). The average number of cardiovascular events per patients was 0.738 (no treatment), 0.610 (real-world adherence), and 0.441 (ideal adherence). The incremental cost of real-world adherence versus no treatment is $30,585 per life-year gained, and ideal adherence versus real-world adherence is $22,121 per life-year gained.\nConclusions\nHypertensive patients taking antihypertensive and statin therapy at real-world adherence levels can be expected to receive approximately 50% of the potential benefit seen in clinical trials. Depending on its cost, the incremental benefits of an effective adherence intervention program could make it an attractive value.","container-title":"Value in Health","DOI":"10.1111/j.1524-4733.2008.00447.x","ISSN":"1098-3015","issue":"4","journalAbbreviation":"Value in Health","language":"en","page":"489-497","source":"ScienceDirect","title":"The Clinical and Economic Burden of Nonadherence with Antihypertensive and Lipid-Lowering Therapy in Hypertensive Patients","volume":"12","author":[{"family":"Cherry","given":"Spencer B."},{"family":"Benner","given":"Joshua S."},{"family":"Hussein","given":"Mohamed A."},{"family":"Tang","given":"Simon S. K."},{"family":"Nichol","given":"Michael B."}],"issued":{"date-parts":[["2009",6,1]]}}}],"schema":"https://github.com/citation-style-language/schema/raw/master/csl-citation.json"} </w:instrText>
      </w:r>
      <w:r>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32,51</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thus, it is possible that with </w:t>
      </w:r>
      <w:r>
        <w:rPr>
          <w:rFonts w:ascii="Times New Roman" w:hAnsi="Times New Roman" w:cs="Times New Roman"/>
          <w:iCs/>
          <w:sz w:val="24"/>
          <w:szCs w:val="24"/>
        </w:rPr>
        <w:lastRenderedPageBreak/>
        <w:t xml:space="preserve">longer follow-up </w:t>
      </w:r>
      <w:r w:rsidR="002C5E6F">
        <w:rPr>
          <w:rFonts w:ascii="Times New Roman" w:hAnsi="Times New Roman" w:cs="Times New Roman"/>
          <w:iCs/>
          <w:sz w:val="24"/>
          <w:szCs w:val="24"/>
        </w:rPr>
        <w:t xml:space="preserve">I </w:t>
      </w:r>
      <w:r>
        <w:rPr>
          <w:rFonts w:ascii="Times New Roman" w:hAnsi="Times New Roman" w:cs="Times New Roman"/>
          <w:iCs/>
          <w:sz w:val="24"/>
          <w:szCs w:val="24"/>
        </w:rPr>
        <w:t>would observe similar risks of mortality in those interviewed before 2011. Finally, period effects such as the implementation of the Affordable Care Act in 2010 may have mitigated the risks associated with CRN, such as by increasing access to primary care physicians, prevention services, and Medicaid expansion.</w:t>
      </w:r>
      <w:r>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{"citationID":"pu5lOXJt","properties":{"formattedCitation":"\\super 52\\uc0\\u8211{}54\\nosupersub{}","plainCitation":"52–54","noteIndex":0},"citationItems":[{"id":1195,"uris":["http://zotero.org/users/5917738/items/HBU9EBT5"],"uri":["http://zotero.org/users/5917738/items/HBU9EBT5"],"itemData":{"id":1195,"type":"article-journal","abstract":"&lt;h3&gt;Importance&lt;/h3&gt;&lt;p&gt;The Affordable Care Act (ACA) completed its second open enrollment period in February 2015. Assessing the law’s effects has major policy implications.&lt;/p&gt;&lt;h3&gt;Objectives&lt;/h3&gt;&lt;p&gt;To estimate national changes in self-reported coverage, access to care, and health during the ACA’s first 2 open enrollment periods and to assess differences between low-income adults in states that expanded Medicaid and in states that did not expand Medicaid.&lt;/p&gt;&lt;h3&gt;Design, Setting, and Participants&lt;/h3&gt;&lt;p&gt;Analysis of the 2012-2015 Gallup-Healthways Well-Being Index, a daily national telephone survey. Using multivariable regression to adjust for pre-ACA trends and sociodemographics, we examined changes in outcomes for the nonelderly US adult population aged 18 through 64 years (n = 507 055) since the first open enrollment period began in October 2013. Linear regressions were used to model each outcome as a function of a linear monthly time trend and quarterly indicators. Then, pre-ACA (January 2012-September 2013) and post-ACA (January 2014-March 2015) changes for adults with incomes below 138% of the poverty level in Medicaid expansion states (n = 48 905 among 28 states and Washington, DC) vs nonexpansion states (n = 37 283 among 22 states) were compared using a differences-in-differences approach.&lt;/p&gt;&lt;h3&gt;Exposures&lt;/h3&gt;&lt;p&gt;Beginning of the ACA’s first open enrollment period (October 2013).&lt;/p&gt;&lt;h3&gt;Main Outcomes and Measures&lt;/h3&gt;&lt;p&gt;Self-reported rates of being uninsured, lacking a personal physician, lacking easy access to medicine, inability to afford needed care, overall health status, and health-related activity limitations.&lt;/p&gt;&lt;h3&gt;Results&lt;/h3&gt;&lt;p&gt;Among the 507 055 adults in this survey, pre-ACA trends were significantly worsening for all outcomes. Compared with the pre-ACA trends, by the first quarter of 2015, the adjusted proportions who were uninsured decreased by 7.9 percentage points (95% CI, −9.1 to −6.7); who lacked a personal physician, −3.5 percentage points (95% CI, −4.8 to −2.2); who lacked easy access to medicine, −2.4 percentage points (95% CI, −3.3 to −1.5); who were unable to afford care, −5.5 percentage points (95% CI, −6.7 to −4.2); who reported fair/poor health, −3.4 percentage points (95% CI, −4.6 to −2.2); and the percentage of days with activities limited by health, −1.7 percentage points (95% CI, −2.4 to −0.9). Coverage changes were largest among minorities; for example, the decrease in the uninsured rate was larger among Latino adults (−11.9 percentage points [95% CI, −15.3 to −8.5]) than white adults (−6.1 percentage points [95% CI, −7.3 to −4.8]). Medicaid expansion was associated with significant reductions among low-income adults in the uninsured rate (differences-in-differences estimate, −5.2 percentage points [95% CI, −7.9 to −2.6]), lacking a personal physician (−1.8 percentage points [95% CI, −3.4 to −0.3]), and difficulty accessing medicine (−2.2 percentage points [95% CI, −3.8 to −0.7]).&lt;/p&gt;&lt;h3&gt;Conclusions and Relevance&lt;/h3&gt;&lt;p&gt;The ACA’s first 2 open enrollment periods were associated with significantly improved trends in self-reported coverage, access to primary care and medications, affordability, and health. Low-income adults in states that expanded Medicaid reported significant gains in insurance coverage and access compared with adults in states that did not expand Medicaid.&lt;/p&gt;","container-title":"JAMA","DOI":"10.1001/jama.2015.8421","ISSN":"0098-7484","issue":"4","journalAbbreviation":"JAMA","language":"en","page":"366-374","source":"jamanetwork.com","title":"Changes in Self-reported Insurance Coverage, Access to Care, and Health Under the Affordable Care Act","volume":"314","author":[{"family":"Sommers","given":"Benjamin D."},{"family":"Gunja","given":"Munira Z."},{"family":"Finegold","given":"Kenneth"},{"family":"Musco","given":"Thomas"}],"issued":{"date-parts":[["2015",7,28]]}}},{"id":1198,"uris":["http://zotero.org/users/5917738/items/33A5NPBU"],"uri":["http://zotero.org/users/5917738/items/33A5NPBU"],"itemData":{"id":1198,"type":"article-journal","container-title":"Public Health Reports","DOI":"10.1177/003335491112600118","ISSN":"0033-3549","issue":"1","journalAbbreviation":"Public Health Rep","page":"130-135","source":"SAGE Journals","title":"The Patient Protection and Affordable Care Act: Implications for Public Health Policy and Practice","title-short":"The Patient Protection and Affordable Care Act","volume":"126","author":[{"family":"Rosenbaum","given":"Sara"}],"issued":{"date-parts":[["2011",1,1]]}}},{"id":1200,"uris":["http://zotero.org/users/5917738/items/9QSWJYHM"],"uri":["http://zotero.org/users/5917738/items/9QSWJYHM"],"itemData":{"id":1200,"type":"report","number":"0898-2937","publisher":"National Bureau of Economic Research","title":"Medicaid and mortality: new evidence from linked survey and administrative data","author":[{"family":"Miller","given":"Sarah"},{"family":"Altekruse","given":"Sean"},{"family":"Johnson","given":"Norman"},{"family":"Wherry","given":"Laura R"}],"issued":{"date-parts":[["2019"]]}}}],"schema":"https://github.com/citation-style-language/schema/raw/master/csl-citation.json"} </w:instrText>
      </w:r>
      <w:r>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52–54</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For instance, previous analyses have also shown lower rates of CRN and corresponding improvements in management of chronic disease among seniors following passage of the Affordable Care Act and closing of the Medicare Part D coverage gap.</w:t>
      </w:r>
      <w:r>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{"citationID":"K3GGfjMs","properties":{"formattedCitation":"\\super 55,56\\nosupersub{}","plainCitation":"55,56","noteIndex":0},"citationItems":[{"id":717,"uris":["http://zotero.org/users/5917738/items/HVSK9KPH"],"uri":["http://zotero.org/users/5917738/items/HVSK9KPH"],"itemData":{"id":717,"type":"article-journal","abstract":"Background: Cost-related nonadherence (CRN) among Medicare beneficiaries declined after the implementation of the Part D program, but it is unknown whether CRN changes varied on the basis of beneficiaries' change in drug coverage. Objective: To determine how CRN changed with the introduction of Part D, and whether CRN changes from 2005 to 2006 varied between newly insured beneficiaries, continuously insured beneficiaries, and continuously uninsured beneficiaries. Methods: CRN, drug coverage, and beneficiary characteristics in 2005 and 2006 were constructed from merged Medicare Current Beneficiary Survey Access to Care files (sample, n = 8935). Change in CRN was modeled using multinomial logistic regression to identify predictors of resolved CRN (reported in 2005 but not in 2006), unresolved CRN (reported in 2005 and 2006), and new CRN (reported in 2006 but not in 2005), relative to no CRN (not reported in 2005 or 2006). Results: Rates of CRN declined from 2005 to 2006 for all beneficiaries, with the greatest reductions (from 22.1% in 2005 to 14.3% in 2006) for newly insured beneficiaries who gained drug coverage through Part D. In adjusted analyses, newly insured beneficiaries were more likely to have resolved CRN (adjusted odds ratio [AOR] = 1.7; 95% confidence interval, 1.3-2.2). Younger beneficiaries (under the age of 65 years) and beneficiaries with multiple chronic conditions, poor health, and depression were significantly more likely to report CRN. Conclusions: Part D coverage reduced but did not eliminate CRN for newly insured beneficiaries. Unresolved CRN persisted for newly insured and continuously uninsured beneficiaries, particularly among disabled beneficiaries.","archive":"JSTOR","container-title":"Medical Care","ISSN":"0025-7079","issue":"5","page":"522-526","source":"JSTOR","title":"Cost-Related Nonadherence in the Medicare Program: The Impact of Part D","title-short":"Cost-Related Nonadherence in the Medicare Program","volume":"49","author":[{"family":"Kennedy","given":"James J."},{"family":"Maciejewski","given":"Matthew"},{"family":"Liu","given":"Darren"},{"family":"Blodgett","given":"Elizabeth"}],"issued":{"date-parts":[["2011"]]}}},{"id":1201,"uris":["http://zotero.org/users/5917738/items/HZD6Y69N"],"uri":["http://zotero.org/users/5917738/items/HZD6Y69N"],"itemData":{"id":1201,"type":"article-journal","abstract":"Objective To update a past systematic review on whether Medicare Part D changed drug utilization and out-of-pocket (OOP) costs overall and within subpopulations, and to identify evidence gaps. Data Sources/Study Setting Published and gray literature from 2010 to 2015 meeting prespecified screening criteria, including having a comparison group, and utilization or OOP cost outcomes. Study Design We conducted a systematic literature review with a quality assessment. Data Collection/Extraction Methods For each study, we extracted information on study design, data sources, analytic methods, outcomes, and limitations. Because outcome measures vary across studies, we did a qualitative synthesis rather than meta-analysis. Principal Findings Sixty-five studies met screening criteria. Overall, Medicare Part D enrollees have increased drug utilization and decreased OOP costs, but coverage gaps limit the program's impact. Beneficiaries whose insurance becomes more generous after enrollment had disproportionately increased drug utilization and decreased OOP costs. Outcomes among dual-eligibles were mixed. Conclusions There is strong evidence on how Medicare Part D and the donut hole coverage gap affect utilization and OOP costs, but weak evidence on how effects vary among dual-eligibles or across diseases. Findings suggest that the Affordable Care Act's provisions to expand coverage and reduce the donut hole should improve patient outcomes.","container-title":"Health Services Research","DOI":"10.1111/1475-6773.12534","ISSN":"1475-6773","issue":"5","language":"en","page":"1685-1728","source":"Wiley Online Library","title":"Medicare Part D's Effects on Drug Utilization and Out-of-Pocket Costs: A Systematic Review","title-short":"Medicare Part D's Effects on Drug Utilization and Out-of-Pocket Costs","volume":"52","author":[{"family":"Park","given":"Young Joo"},{"family":"Martin","given":"Erika G."}],"issued":{"date-parts":[["2017"]]}}}],"schema":"https://github.com/citation-style-language/schema/raw/master/csl-citation.json"} </w:instrText>
      </w:r>
      <w:r>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55,56</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w:t>
      </w:r>
    </w:p>
    <w:p w14:paraId="1F05C3A1" w14:textId="5452A150" w:rsidR="001C7F36" w:rsidRDefault="001C7F36"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There </w:t>
      </w:r>
      <w:r w:rsidR="00BB3D03">
        <w:rPr>
          <w:rFonts w:ascii="Times New Roman" w:hAnsi="Times New Roman" w:cs="Times New Roman"/>
          <w:iCs/>
          <w:sz w:val="24"/>
          <w:szCs w:val="24"/>
        </w:rPr>
        <w:t>most probable pathway</w:t>
      </w:r>
      <w:r>
        <w:rPr>
          <w:rFonts w:ascii="Times New Roman" w:hAnsi="Times New Roman" w:cs="Times New Roman"/>
          <w:iCs/>
          <w:sz w:val="24"/>
          <w:szCs w:val="24"/>
        </w:rPr>
        <w:t xml:space="preserve"> through which </w:t>
      </w:r>
      <w:r w:rsidR="00C66402">
        <w:rPr>
          <w:rFonts w:ascii="Times New Roman" w:hAnsi="Times New Roman" w:cs="Times New Roman"/>
          <w:iCs/>
          <w:sz w:val="24"/>
          <w:szCs w:val="24"/>
        </w:rPr>
        <w:t xml:space="preserve">CRN </w:t>
      </w:r>
      <w:r w:rsidR="00835DC8">
        <w:rPr>
          <w:rFonts w:ascii="Times New Roman" w:hAnsi="Times New Roman" w:cs="Times New Roman"/>
          <w:iCs/>
          <w:sz w:val="24"/>
          <w:szCs w:val="24"/>
        </w:rPr>
        <w:t>and</w:t>
      </w:r>
      <w:r w:rsidR="00E62B8F">
        <w:rPr>
          <w:rFonts w:ascii="Times New Roman" w:hAnsi="Times New Roman" w:cs="Times New Roman"/>
          <w:iCs/>
          <w:sz w:val="24"/>
          <w:szCs w:val="24"/>
        </w:rPr>
        <w:t xml:space="preserve"> higher mortality</w:t>
      </w:r>
      <w:r w:rsidR="00835DC8">
        <w:rPr>
          <w:rFonts w:ascii="Times New Roman" w:hAnsi="Times New Roman" w:cs="Times New Roman"/>
          <w:iCs/>
          <w:sz w:val="24"/>
          <w:szCs w:val="24"/>
        </w:rPr>
        <w:t xml:space="preserve"> could be associated</w:t>
      </w:r>
      <w:r w:rsidR="005A410D">
        <w:rPr>
          <w:rFonts w:ascii="Times New Roman" w:hAnsi="Times New Roman" w:cs="Times New Roman"/>
          <w:iCs/>
          <w:sz w:val="24"/>
          <w:szCs w:val="24"/>
        </w:rPr>
        <w:t xml:space="preserve"> is increase</w:t>
      </w:r>
      <w:r w:rsidR="00596869">
        <w:rPr>
          <w:rFonts w:ascii="Times New Roman" w:hAnsi="Times New Roman" w:cs="Times New Roman"/>
          <w:iCs/>
          <w:sz w:val="24"/>
          <w:szCs w:val="24"/>
        </w:rPr>
        <w:t>s in disease complications and severity</w:t>
      </w:r>
      <w:r w:rsidR="00E62B8F">
        <w:rPr>
          <w:rFonts w:ascii="Times New Roman" w:hAnsi="Times New Roman" w:cs="Times New Roman"/>
          <w:iCs/>
          <w:sz w:val="24"/>
          <w:szCs w:val="24"/>
        </w:rPr>
        <w:t>.</w:t>
      </w:r>
      <w:r w:rsidR="00E1515E">
        <w:rPr>
          <w:rFonts w:ascii="Times New Roman" w:hAnsi="Times New Roman" w:cs="Times New Roman"/>
          <w:iCs/>
          <w:sz w:val="24"/>
          <w:szCs w:val="24"/>
        </w:rPr>
        <w:t xml:space="preserve"> </w:t>
      </w:r>
      <w:r w:rsidR="00596869">
        <w:rPr>
          <w:rFonts w:ascii="Times New Roman" w:hAnsi="Times New Roman" w:cs="Times New Roman"/>
          <w:iCs/>
          <w:sz w:val="24"/>
          <w:szCs w:val="24"/>
        </w:rPr>
        <w:t>I</w:t>
      </w:r>
      <w:r w:rsidR="00DC7AB8">
        <w:rPr>
          <w:rFonts w:ascii="Times New Roman" w:hAnsi="Times New Roman" w:cs="Times New Roman"/>
          <w:iCs/>
          <w:sz w:val="24"/>
          <w:szCs w:val="24"/>
        </w:rPr>
        <w:t>nconsistent adherence</w:t>
      </w:r>
      <w:r w:rsidR="009D294D">
        <w:rPr>
          <w:rFonts w:ascii="Times New Roman" w:hAnsi="Times New Roman" w:cs="Times New Roman"/>
          <w:iCs/>
          <w:sz w:val="24"/>
          <w:szCs w:val="24"/>
        </w:rPr>
        <w:t xml:space="preserve"> </w:t>
      </w:r>
      <w:r w:rsidR="00835DC8">
        <w:rPr>
          <w:rFonts w:ascii="Times New Roman" w:hAnsi="Times New Roman" w:cs="Times New Roman"/>
          <w:iCs/>
          <w:sz w:val="24"/>
          <w:szCs w:val="24"/>
        </w:rPr>
        <w:t xml:space="preserve">has been shown to increase </w:t>
      </w:r>
      <w:r w:rsidR="00596869">
        <w:rPr>
          <w:rFonts w:ascii="Times New Roman" w:hAnsi="Times New Roman" w:cs="Times New Roman"/>
          <w:iCs/>
          <w:sz w:val="24"/>
          <w:szCs w:val="24"/>
        </w:rPr>
        <w:t>a variety of adverse outcomes in</w:t>
      </w:r>
      <w:r w:rsidR="00F6773F">
        <w:rPr>
          <w:rFonts w:ascii="Times New Roman" w:hAnsi="Times New Roman" w:cs="Times New Roman"/>
          <w:iCs/>
          <w:sz w:val="24"/>
          <w:szCs w:val="24"/>
        </w:rPr>
        <w:t xml:space="preserve"> patients with diabetes and CVD</w:t>
      </w:r>
      <w:r w:rsidR="008E71CC">
        <w:rPr>
          <w:rFonts w:ascii="Times New Roman" w:hAnsi="Times New Roman" w:cs="Times New Roman"/>
          <w:iCs/>
          <w:sz w:val="24"/>
          <w:szCs w:val="24"/>
        </w:rPr>
        <w:t>, including retinopathy</w:t>
      </w:r>
      <w:r w:rsidR="00A7554B">
        <w:rPr>
          <w:rFonts w:ascii="Times New Roman" w:hAnsi="Times New Roman" w:cs="Times New Roman"/>
          <w:iCs/>
          <w:sz w:val="24"/>
          <w:szCs w:val="24"/>
        </w:rPr>
        <w:t>,</w:t>
      </w:r>
      <w:r w:rsidR="00502C05">
        <w:rPr>
          <w:rFonts w:ascii="Times New Roman" w:hAnsi="Times New Roman" w:cs="Times New Roman"/>
          <w:iCs/>
          <w:sz w:val="24"/>
          <w:szCs w:val="24"/>
        </w:rPr>
        <w:t xml:space="preserve"> nephropathy,</w:t>
      </w:r>
      <w:r w:rsidR="00A7554B">
        <w:rPr>
          <w:rFonts w:ascii="Times New Roman" w:hAnsi="Times New Roman" w:cs="Times New Roman"/>
          <w:iCs/>
          <w:sz w:val="24"/>
          <w:szCs w:val="24"/>
        </w:rPr>
        <w:t xml:space="preserve"> microvascular complications</w:t>
      </w:r>
      <w:r w:rsidR="006B73BC">
        <w:rPr>
          <w:rFonts w:ascii="Times New Roman" w:hAnsi="Times New Roman" w:cs="Times New Roman"/>
          <w:iCs/>
          <w:sz w:val="24"/>
          <w:szCs w:val="24"/>
        </w:rPr>
        <w:t>,</w:t>
      </w:r>
      <w:r w:rsidR="00932A16">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{"citationID":"J28rhhu2","properties":{"formattedCitation":"\\super 57\\nosupersub{}","plainCitation":"57","noteIndex":0},"citationItems":[{"id":1330,"uris":["http://zotero.org/users/5917738/items/SULKG7XM"],"uri":["http://zotero.org/users/5917738/items/SULKG7XM"],"itemData":{"id":1330,"type":"article-journal","abstract":"Aims\nTo investigate the association between nonadherence to diabetes treatment and the occurrence of diabetes complications.\nMethods\nOur study retrospectively identified adherence and nonadherence to diabetes treatment in patients during the first year of observation after new diagnoses of type 2 diabetes enrolled in commercial database from 52 health insurers in Japan. Participants were insurance enrollees with type 2 diabetes who received healthcare between 2005 and 2013, and who could be tracked for more than 12months from the initiation of diabetes treatment. We compared the occurrence of diabetes-related complications (retinopathy, nephropathy, neuropathy, ischemic heart disease, cerebrovascular disease, and chronic arterial occlusion) and all-cause healthcare expenditure during the second to eighth years.\nResults\nWe identified 1784 nonadherent patients and 9547 adherent patients. Cox proportional hazard models showed that the occurrence of microvascular complications was significantly higher in the nonadherent group: the hazard ratios (95% confidence intervals) for retinopathy, nephropathy, and neuropathy were 2.04 (1.57–2.66), 1.91 (1.35–2.72), and 1.83 (1.02–3.27), respectively. However, no significant differences were observed between the adherent and nonadherent groups for the macrovascular complications (ischemic heart disease, cerebrovascular disease, and chronic arterial occlusion). In addition, the nonadherent group had a significantly higher cumulative healthcare expenditure than the adherent group during the second-to-fifth-year period (p=0.029) and the second-to-sixth-year period (p=0.009) after treatment initiation.\nConclusions\nNonadherence in the first year of diabetes may increase the incidence of complications and result in higher expenditures for patients and payers.","container-title":"Diabetes Research and Clinical Practice","DOI":"10.1016/j.diabres.2016.11.007","ISSN":"0168-8227","journalAbbreviation":"Diabetes Research and Clinical Practice","language":"en","page":"55-62","source":"ScienceDirect","title":"Impact of nonadherence on complication risks and healthcare costs in patients newly-diagnosed with diabetes","volume":"123","author":[{"family":"Fukuda","given":"Haruhisa"},{"family":"Mizobe","given":"Miki"}],"issued":{"date-parts":[["2017",1,1]]}}}],"schema":"https://github.com/citation-style-language/schema/raw/master/csl-citation.json"} </w:instrText>
      </w:r>
      <w:r w:rsidR="00932A16">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57</w:t>
      </w:r>
      <w:r w:rsidR="00932A16">
        <w:rPr>
          <w:rFonts w:ascii="Times New Roman" w:hAnsi="Times New Roman" w:cs="Times New Roman"/>
          <w:iCs/>
          <w:sz w:val="24"/>
          <w:szCs w:val="24"/>
        </w:rPr>
        <w:fldChar w:fldCharType="end"/>
      </w:r>
      <w:r w:rsidR="00E707F6">
        <w:rPr>
          <w:rFonts w:ascii="Times New Roman" w:hAnsi="Times New Roman" w:cs="Times New Roman"/>
          <w:iCs/>
          <w:sz w:val="24"/>
          <w:szCs w:val="24"/>
        </w:rPr>
        <w:t xml:space="preserve"> uncontrolled hypertension</w:t>
      </w:r>
      <w:r w:rsidR="008006B4">
        <w:rPr>
          <w:rFonts w:ascii="Times New Roman" w:hAnsi="Times New Roman" w:cs="Times New Roman"/>
          <w:iCs/>
          <w:sz w:val="24"/>
          <w:szCs w:val="24"/>
        </w:rPr>
        <w:t xml:space="preserve"> and coronary revascularization.</w:t>
      </w:r>
      <w:r w:rsidR="005A13CC">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{"citationID":"BkuD8wwT","properties":{"formattedCitation":"\\super 34\\nosupersub{}","plainCitation":"34","noteIndex":0},"citationItems":[{"id":701,"uris":["http://zotero.org/users/5917738/items/P6YLAKRG"],"uri":["http://zotero.org/users/5917738/items/P6YLAKRG"],"itemData":{"id":701,"type":"article-journal","abstract":"Background\nLittle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S."}],"issued":{"date-parts":[["2008",4,1]]}}}],"schema":"https://github.com/citation-style-language/schema/raw/master/csl-citation.json"} </w:instrText>
      </w:r>
      <w:r w:rsidR="005A13CC">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34</w:t>
      </w:r>
      <w:r w:rsidR="005A13CC">
        <w:rPr>
          <w:rFonts w:ascii="Times New Roman" w:hAnsi="Times New Roman" w:cs="Times New Roman"/>
          <w:iCs/>
          <w:sz w:val="24"/>
          <w:szCs w:val="24"/>
        </w:rPr>
        <w:fldChar w:fldCharType="end"/>
      </w:r>
      <w:r w:rsidR="00D87617">
        <w:rPr>
          <w:rFonts w:ascii="Times New Roman" w:hAnsi="Times New Roman" w:cs="Times New Roman"/>
          <w:iCs/>
          <w:sz w:val="24"/>
          <w:szCs w:val="24"/>
        </w:rPr>
        <w:t xml:space="preserve"> </w:t>
      </w:r>
      <w:r w:rsidR="00A853C1">
        <w:rPr>
          <w:rFonts w:ascii="Times New Roman" w:hAnsi="Times New Roman" w:cs="Times New Roman"/>
          <w:iCs/>
          <w:sz w:val="24"/>
          <w:szCs w:val="24"/>
        </w:rPr>
        <w:t xml:space="preserve">In addition to direct effects of complications on mortality, </w:t>
      </w:r>
      <w:r w:rsidR="00E1398E">
        <w:rPr>
          <w:rFonts w:ascii="Times New Roman" w:hAnsi="Times New Roman" w:cs="Times New Roman"/>
          <w:iCs/>
          <w:sz w:val="24"/>
          <w:szCs w:val="24"/>
        </w:rPr>
        <w:t xml:space="preserve">greater disease severity often necessitates </w:t>
      </w:r>
      <w:r w:rsidR="00C565EE">
        <w:rPr>
          <w:rFonts w:ascii="Times New Roman" w:hAnsi="Times New Roman" w:cs="Times New Roman"/>
          <w:iCs/>
          <w:sz w:val="24"/>
          <w:szCs w:val="24"/>
        </w:rPr>
        <w:t>additional treatment regimens</w:t>
      </w:r>
      <w:r w:rsidR="00CE6724">
        <w:rPr>
          <w:rFonts w:ascii="Times New Roman" w:hAnsi="Times New Roman" w:cs="Times New Roman"/>
          <w:iCs/>
          <w:sz w:val="24"/>
          <w:szCs w:val="24"/>
        </w:rPr>
        <w:t xml:space="preserve"> and higher financial costs</w:t>
      </w:r>
      <w:r w:rsidR="00780723">
        <w:rPr>
          <w:rFonts w:ascii="Times New Roman" w:hAnsi="Times New Roman" w:cs="Times New Roman"/>
          <w:iCs/>
          <w:sz w:val="24"/>
          <w:szCs w:val="24"/>
        </w:rPr>
        <w:t xml:space="preserve">, thereby potentially reinforcing the likelihood of CRN and </w:t>
      </w:r>
      <w:r w:rsidR="006D4A8C">
        <w:rPr>
          <w:rFonts w:ascii="Times New Roman" w:hAnsi="Times New Roman" w:cs="Times New Roman"/>
          <w:iCs/>
          <w:sz w:val="24"/>
          <w:szCs w:val="24"/>
        </w:rPr>
        <w:t>additional adverse consequences.</w:t>
      </w:r>
      <w:r w:rsidR="00E1398E">
        <w:rPr>
          <w:rFonts w:ascii="Times New Roman" w:hAnsi="Times New Roman" w:cs="Times New Roman"/>
          <w:iCs/>
          <w:sz w:val="24"/>
          <w:szCs w:val="24"/>
        </w:rPr>
        <w:t xml:space="preserve">  </w:t>
      </w:r>
      <w:r w:rsidR="006721C8">
        <w:rPr>
          <w:rFonts w:ascii="Times New Roman" w:hAnsi="Times New Roman" w:cs="Times New Roman"/>
          <w:iCs/>
          <w:sz w:val="24"/>
          <w:szCs w:val="24"/>
        </w:rPr>
        <w:t>As noted elsewhere, from both a patient and provider standpoint, it is often more cost effective</w:t>
      </w:r>
      <w:r w:rsidR="00D01DB1">
        <w:rPr>
          <w:rFonts w:ascii="Times New Roman" w:hAnsi="Times New Roman" w:cs="Times New Roman"/>
          <w:iCs/>
          <w:sz w:val="24"/>
          <w:szCs w:val="24"/>
        </w:rPr>
        <w:t>,</w:t>
      </w:r>
      <w:r w:rsidR="00A93D39">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{"citationID":"aN2lO4AW","properties":{"formattedCitation":"\\super 58\\nosupersub{}","plainCitation":"58","noteIndex":0},"citationItems":[{"id":1335,"uris":["http://zotero.org/users/5917738/items/KSW72SDK"],"uri":["http://zotero.org/users/5917738/items/KSW72SDK"],"itemData":{"id":1335,"type":"article-journal","abstract":"BACKGROUND: Adherence to drugs that are prescribed after myocardial infarction remains suboptimal. Although eliminating patient cost sharing for secondary prevention increases adherence and reduces rates of major cardiovascular events, the long-term clinical and economic implications of this approach have not been adequately evaluated.\nMETHODS AND RESULTS: We developed a Markov model simulating a hypothetical cohort of commercially insured patients who were discharged from the hospital after myocardial infarction. Patients received β-blockers, renin-angiotensin system antagonists, and statins without cost sharing (full coverage) or at the current level of insurance coverage (usual coverage). Model inputs were extracted from the Post Myocardial Infarction Free Rx Event and Economic Evaluation trial and other published literature. The main outcome was an incremental cost-effectiveness ratio as measured by cost per quality-adjusted life year gained. Patients receiving usual coverage lived an average of 9.46 quality-adjusted life years after their event and incurred costs of $171,412. Patients receiving full coverage lived an average of 9.60 quality-adjusted life years and incurred costs of $167,401. Compared with usual coverage, full coverage would result in greater quality-adjusted survival (0.14 quality-adjusted life years) and less resource use ($4011) per patient. Our results were sensitive to alterations in the risk reduction for post-myocardial infarction events from full coverage.\nCONCLUSIONS: Providing full prescription drug coverage for evidence-based pharmacotherapy to commercially insured post-myocardial infarction patients has the potential to improve health outcomes and save money from the societal perspective over the long-term.\nCLINICAL TRIAL REGISTRATION INFORMATION: https://www.clinicaltrials.gov. Unique identifier: NCT00566774.","container-title":"Circulation. Cardiovascular Quality and Outcomes","DOI":"10.1161/CIRCOUTCOMES.114.001330","ISSN":"1941-7705","issue":"3","journalAbbreviation":"Circ Cardiovasc Qual Outcomes","language":"eng","note":"PMID: 25944633","page":"252-259","source":"PubMed","title":"Long-term cost-effectiveness of providing full coverage for preventive medications after myocardial infarction","volume":"8","author":[{"family":"Ito","given":"Kouta"},{"family":"Avorn","given":"Jerry"},{"family":"Shrank","given":"William H."},{"family":"Toscano","given":"Michele"},{"family":"Spettel","given":"Claire"},{"family":"Brennan","given":"Troyen"},{"family":"Choudhry","given":"Niteesh K."}],"issued":{"date-parts":[["2015",5]]}}}],"schema":"https://github.com/citation-style-language/schema/raw/master/csl-citation.json"} </w:instrText>
      </w:r>
      <w:r w:rsidR="00A93D39">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58</w:t>
      </w:r>
      <w:r w:rsidR="00A93D3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though not necessarily cost-saving,</w:t>
      </w:r>
      <w:r w:rsidR="00F440F9">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{"citationID":"PIUlxpsq","properties":{"formattedCitation":"\\super 59\\nosupersub{}","plainCitation":"59","noteIndex":0},"citationItems":[{"id":1338,"uris":["http://zotero.org/users/5917738/items/928D5JES"],"uri":["http://zotero.org/users/5917738/items/928D5JES"],"itemData":{"id":1338,"type":"article-journal","abstract":"Background— Effective therapies for the secondary prevention of coronary heart disease–related events are significantly underused, and attempts to improve adherence have often yielded disappointing results. Elimination of patient out-of-pocket costs may be an effective strategy to enhance medication use. We sought to estimate the incremental cost-effectiveness of providing full coverage for aspirin, β-blockers, angiotensin-converting enzyme inhibitors or angiotensin receptor blockers, and statins (combination pharmacotherapy) to individuals enrolled in the Medicare drug benefit program after acute myocardial infarction.Methods and Results— We created a Markov cost-effectiveness model to estimate the incremental cost-effectiveness of providing Medicare beneficiaries with full coverage for combination pharmacotherapy compared with current coverage under the Medicare Part D program. Our analysis was conducted from the societal perspective and considered a lifetime time horizon. In a sensitivity analysis, we repeated our analysis from the perspective of Medicare. In the model, post–myocardial infarction Medicare beneficiaries who received usual prescription drug coverage under the Part D program lived an average of 8.21 quality-adjusted life-years after their initial event, incurring coronary heart disease–related medical costs of $114 000. Those who received prescription drug coverage without deductibles or copayments lived an average of 8.56 quality-adjusted life-years and incurred $111 600 in coronary heart disease–related costs. Compared with current prescription drug coverage, full coverage for post–myocardial infarction secondary prevention therapies would result in greater functional life expectancy (0.35 quality-adjusted life-year) and less resource use ($2500). From the perspective of Medicare, full drug coverage was highly cost-effective ($7182/quality-adjusted life-year) but not cost saving.Conclusions— Our analysis suggests that providing full coverage for combination therapy to post–myocardial infarction Medicare beneficiaries would save both lives and money from the societal perspective.","container-title":"Circulation","DOI":"10.1161/CIRCULATIONAHA.107.735605","issue":"10","journalAbbreviation":"Circulation","page":"1261-1268","source":"ahajournals.org (Atypon)","title":"Cost-Effectiveness of Providing Full Drug Coverage to Increase Medication Adherence in Post–Myocardial Infarction Medicare Beneficiaries","volume":"117","author":[{"literal":"Choudhry Niteesh K."},{"literal":"Patrick Amanda R."},{"literal":"Antman Elliott M."},{"literal":"Avorn Jerry"},{"literal":"Shrank William H."}],"issued":{"date-parts":[["2008",3,11]]}}}],"schema":"https://github.com/citation-style-language/schema/raw/master/csl-citation.json"} </w:instrText>
      </w:r>
      <w:r w:rsidR="00F440F9">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59</w:t>
      </w:r>
      <w:r w:rsidR="00F440F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to provide</w:t>
      </w:r>
      <w:r w:rsidR="0018191F">
        <w:rPr>
          <w:rFonts w:ascii="Times New Roman" w:hAnsi="Times New Roman" w:cs="Times New Roman"/>
          <w:iCs/>
          <w:sz w:val="24"/>
          <w:szCs w:val="24"/>
        </w:rPr>
        <w:t xml:space="preserve"> full prescription coverage to patients at risk of nonadherence</w:t>
      </w:r>
      <w:r w:rsidR="00127E63">
        <w:rPr>
          <w:rFonts w:ascii="Times New Roman" w:hAnsi="Times New Roman" w:cs="Times New Roman"/>
          <w:iCs/>
          <w:sz w:val="24"/>
          <w:szCs w:val="24"/>
        </w:rPr>
        <w:t xml:space="preserve"> than to treat future </w:t>
      </w:r>
      <w:r w:rsidR="0033540A">
        <w:rPr>
          <w:rFonts w:ascii="Times New Roman" w:hAnsi="Times New Roman" w:cs="Times New Roman"/>
          <w:iCs/>
          <w:sz w:val="24"/>
          <w:szCs w:val="24"/>
        </w:rPr>
        <w:t>complications.</w:t>
      </w:r>
    </w:p>
    <w:p w14:paraId="69C5474A" w14:textId="37646C16" w:rsidR="00242231" w:rsidRPr="00242231" w:rsidRDefault="00A77286" w:rsidP="0018191F">
      <w:pPr>
        <w:spacing w:line="480" w:lineRule="auto"/>
        <w:rPr>
          <w:rFonts w:ascii="Times New Roman" w:hAnsi="Times New Roman" w:cs="Times New Roman"/>
          <w:bCs/>
          <w:iCs/>
          <w:sz w:val="24"/>
          <w:szCs w:val="24"/>
        </w:rPr>
      </w:pPr>
      <w:r>
        <w:rPr>
          <w:rFonts w:ascii="Times New Roman" w:hAnsi="Times New Roman" w:cs="Times New Roman"/>
          <w:iCs/>
          <w:sz w:val="24"/>
          <w:szCs w:val="24"/>
        </w:rPr>
        <w:tab/>
      </w:r>
      <w:r w:rsidR="003D2039">
        <w:rPr>
          <w:rFonts w:ascii="Times New Roman" w:hAnsi="Times New Roman" w:cs="Times New Roman"/>
          <w:iCs/>
          <w:sz w:val="24"/>
          <w:szCs w:val="24"/>
        </w:rPr>
        <w:t xml:space="preserve"> </w:t>
      </w:r>
      <w:r w:rsidR="004001B6">
        <w:rPr>
          <w:rFonts w:ascii="Times New Roman" w:hAnsi="Times New Roman" w:cs="Times New Roman"/>
          <w:iCs/>
          <w:sz w:val="24"/>
          <w:szCs w:val="24"/>
        </w:rPr>
        <w:t xml:space="preserve">Though not necessarily motivated by </w:t>
      </w:r>
      <w:r w:rsidR="0030642B">
        <w:rPr>
          <w:rFonts w:ascii="Times New Roman" w:hAnsi="Times New Roman" w:cs="Times New Roman"/>
          <w:iCs/>
          <w:sz w:val="24"/>
          <w:szCs w:val="24"/>
        </w:rPr>
        <w:t xml:space="preserve">net </w:t>
      </w:r>
      <w:r w:rsidR="004001B6">
        <w:rPr>
          <w:rFonts w:ascii="Times New Roman" w:hAnsi="Times New Roman" w:cs="Times New Roman"/>
          <w:iCs/>
          <w:sz w:val="24"/>
          <w:szCs w:val="24"/>
        </w:rPr>
        <w:t xml:space="preserve">cost considerations, several states have </w:t>
      </w:r>
      <w:r w:rsidR="00C72843">
        <w:rPr>
          <w:rFonts w:ascii="Times New Roman" w:hAnsi="Times New Roman" w:cs="Times New Roman"/>
          <w:iCs/>
          <w:sz w:val="24"/>
          <w:szCs w:val="24"/>
        </w:rPr>
        <w:t xml:space="preserve">begun to consider </w:t>
      </w:r>
      <w:r w:rsidR="0062647A">
        <w:rPr>
          <w:rFonts w:ascii="Times New Roman" w:hAnsi="Times New Roman" w:cs="Times New Roman"/>
          <w:iCs/>
          <w:sz w:val="24"/>
          <w:szCs w:val="24"/>
        </w:rPr>
        <w:t xml:space="preserve">drug pricing policies that will make medication more </w:t>
      </w:r>
      <w:r w:rsidR="0051356F">
        <w:rPr>
          <w:rFonts w:ascii="Times New Roman" w:hAnsi="Times New Roman" w:cs="Times New Roman"/>
          <w:iCs/>
          <w:sz w:val="24"/>
          <w:szCs w:val="24"/>
        </w:rPr>
        <w:t>affordable for</w:t>
      </w:r>
      <w:r w:rsidR="0062647A">
        <w:rPr>
          <w:rFonts w:ascii="Times New Roman" w:hAnsi="Times New Roman" w:cs="Times New Roman"/>
          <w:iCs/>
          <w:sz w:val="24"/>
          <w:szCs w:val="24"/>
        </w:rPr>
        <w:t xml:space="preserve"> </w:t>
      </w:r>
      <w:r w:rsidR="00B67610">
        <w:rPr>
          <w:rFonts w:ascii="Times New Roman" w:hAnsi="Times New Roman" w:cs="Times New Roman"/>
          <w:iCs/>
          <w:sz w:val="24"/>
          <w:szCs w:val="24"/>
        </w:rPr>
        <w:t>individuals with diabetes</w:t>
      </w:r>
      <w:r w:rsidR="00242231">
        <w:rPr>
          <w:rFonts w:ascii="Times New Roman" w:hAnsi="Times New Roman" w:cs="Times New Roman"/>
          <w:bCs/>
          <w:iCs/>
          <w:sz w:val="24"/>
          <w:szCs w:val="24"/>
        </w:rPr>
        <w:t xml:space="preserve">. As of February 2020, two states (Colorado and Illinois) have instituted $100 monthly price caps on insulin </w:t>
      </w:r>
      <w:r w:rsidR="002D2138">
        <w:rPr>
          <w:rFonts w:ascii="Times New Roman" w:hAnsi="Times New Roman" w:cs="Times New Roman"/>
          <w:bCs/>
          <w:iCs/>
          <w:sz w:val="24"/>
          <w:szCs w:val="24"/>
        </w:rPr>
        <w:t>co-</w:t>
      </w:r>
      <w:r w:rsidR="00242231">
        <w:rPr>
          <w:rFonts w:ascii="Times New Roman" w:hAnsi="Times New Roman" w:cs="Times New Roman"/>
          <w:bCs/>
          <w:iCs/>
          <w:sz w:val="24"/>
          <w:szCs w:val="24"/>
        </w:rPr>
        <w:t>payments,</w:t>
      </w:r>
      <w:r w:rsidR="00132AD0">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{"citationID":"uQNb11nx","properties":{"formattedCitation":"\\super 60,61\\nosupersub{}","plainCitation":"60,61","noteIndex":0},"citationItems":[{"id":1157,"uris":["http://zotero.org/users/5917738/items/UWL6FWI3"],"uri":["http://zotero.org/users/5917738/items/UWL6FWI3"],"itemData":{"id":1157,"type":"webpage","title":"Reduce Insulin Prices | Colorado General Assembly","URL":"https://leg.colorado.gov/bills/hb19-1216","accessed":{"date-parts":[["2020",2,8]]}}},{"id":1160,"uris":["http://zotero.org/users/5917738/items/T9T7IZ3Y"],"uri":["http://zotero.org/users/5917738/items/T9T7IZ3Y"],"itemData":{"id":1160,"type":"webpage","title":"Illinois General Assembly - Bill Status for SB0667","URL":"http://www.ilga.gov/legislation/BillStatus.asp?GA=101&amp;DocTypeID=SB&amp;DocNum=667&amp;GAID=15&amp;SessionID=108&amp;LegID=116604","accessed":{"date-parts":[["2020",2,8]]}}}],"schema":"https://github.com/citation-style-language/schema/raw/master/csl-citation.json"} </w:instrText>
      </w:r>
      <w:r w:rsidR="00132AD0">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60,61</w:t>
      </w:r>
      <w:r w:rsidR="00132AD0">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with </w:t>
      </w:r>
      <w:r w:rsidR="00164855">
        <w:rPr>
          <w:rFonts w:ascii="Times New Roman" w:hAnsi="Times New Roman" w:cs="Times New Roman"/>
          <w:bCs/>
          <w:iCs/>
          <w:sz w:val="24"/>
          <w:szCs w:val="24"/>
        </w:rPr>
        <w:t xml:space="preserve">several others </w:t>
      </w:r>
      <w:r w:rsidR="00242231">
        <w:rPr>
          <w:rFonts w:ascii="Times New Roman" w:hAnsi="Times New Roman" w:cs="Times New Roman"/>
          <w:bCs/>
          <w:iCs/>
          <w:sz w:val="24"/>
          <w:szCs w:val="24"/>
        </w:rPr>
        <w:t>considering similar legislation.</w:t>
      </w:r>
      <w:r w:rsidR="000711C3">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{"citationID":"StUqx9IW","properties":{"formattedCitation":"\\super 62\\uc0\\u8211{}66\\nosupersub{}","plainCitation":"62–66","noteIndex":0},"citationItems":[{"id":1379,"uris":["http://zotero.org/users/5917738/items/W633C9WM"],"uri":["http://zotero.org/users/5917738/items/W633C9WM"],"itemData":{"id":1379,"type":"bill","authority":"Florida Senate","container-title":"HB","number":"109","title":"Prescription Insulin Drugs","URL":"https://www.flsenate.gov/Session/Bill/2020/109","author":[{"family":"Casello","given":"Duran"}],"issued":{"date-parts":[["2020"]]}}},{"id":1377,"uris":["http://zotero.org/users/5917738/items/E8AWSP94"],"uri":["http://zotero.org/users/5917738/items/E8AWSP94"],"itemData":{"id":1377,"type":"webpage","abstract":"Leaders of the General Assembly's insurance committee are taking special aim at insulin prices, which can costs upwards of $1,000 a month.","container-title":"Connecticut Post","title":"Lawmakers moving toward payment caps for insulin and other drugs","URL":"https://www.ctpost.com/politics/article/Lawmakers-moving-toward-payment-caps-for-insulin-14951512.php","author":[{"family":"Krasselt","given":"Kaitlyn"}],"accessed":{"date-parts":[["2020",2,19]]},"issued":{"date-parts":[["2020",1,3]]}}},{"id":1380,"uris":["http://zotero.org/users/5917738/items/UN9SFXVR"],"uri":["http://zotero.org/users/5917738/items/UN9SFXVR"],"itemData":{"id":1380,"type":"bill","authority":"Kansas Senate","container-title":"HB","number":"2557","title":"Establishing a $100 maximum out of pocket cost share per month per covered person for prescription insulin drugs","author":[{"family":"Committee on Insurance","given":""}],"issued":{"date-parts":[["2020"]]}}},{"id":1164,"uris":["http://zotero.org/users/5917738/items/YH2XHZN4"],"uri":["http://zotero.org/users/5917738/items/YH2XHZN4"],"itemData":{"id":1164,"type":"webpage","title":"A5786","URL":"https://www.njleg.state.nj.us/2018/Bills/A9999/5786_I1.HTM","accessed":{"date-parts":[["2020",2,8]]}}},{"id":1166,"uris":["http://zotero.org/users/5917738/items/RZ4CMF3K"],"uri":["http://zotero.org/users/5917738/items/RZ4CMF3K"],"itemData":{"id":1166,"type":"webpage","title":"Michigan Legislature - House Bill 4701 (2019)","URL":"http://www.legislature.mi.gov/(S(t0pchkesswpua5ra3nx2klwk))/mileg.aspx?page=GetObject&amp;objectname=2019-HB-4701","accessed":{"date-parts":[["2020",2,8]]}}}],"schema":"https://github.com/citation-style-language/schema/raw/master/csl-citation.json"} </w:instrText>
      </w:r>
      <w:r w:rsidR="000711C3">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62–66</w:t>
      </w:r>
      <w:r w:rsidR="000711C3">
        <w:rPr>
          <w:rFonts w:ascii="Times New Roman" w:hAnsi="Times New Roman" w:cs="Times New Roman"/>
          <w:bCs/>
          <w:iCs/>
          <w:sz w:val="24"/>
          <w:szCs w:val="24"/>
        </w:rPr>
        <w:fldChar w:fldCharType="end"/>
      </w:r>
      <w:r w:rsidR="00132AD0">
        <w:rPr>
          <w:rFonts w:ascii="Times New Roman" w:hAnsi="Times New Roman" w:cs="Times New Roman"/>
          <w:bCs/>
          <w:iCs/>
          <w:sz w:val="24"/>
          <w:szCs w:val="24"/>
        </w:rPr>
        <w:t xml:space="preserve"> </w:t>
      </w:r>
      <w:r w:rsidR="00242231">
        <w:rPr>
          <w:rFonts w:ascii="Times New Roman" w:hAnsi="Times New Roman" w:cs="Times New Roman"/>
          <w:bCs/>
          <w:iCs/>
          <w:sz w:val="24"/>
          <w:szCs w:val="24"/>
        </w:rPr>
        <w:t>At the federal level, the Prescription Drug Pricing Act of 2019 would redesign spending and reimbursement for Medicare Parts B and D, including penalties for</w:t>
      </w:r>
      <w:r w:rsidR="007857A8">
        <w:rPr>
          <w:rFonts w:ascii="Times New Roman" w:hAnsi="Times New Roman" w:cs="Times New Roman"/>
          <w:bCs/>
          <w:iCs/>
          <w:sz w:val="24"/>
          <w:szCs w:val="24"/>
        </w:rPr>
        <w:t xml:space="preserve"> medications with prices</w:t>
      </w:r>
      <w:r w:rsidR="00242231">
        <w:rPr>
          <w:rFonts w:ascii="Times New Roman" w:hAnsi="Times New Roman" w:cs="Times New Roman"/>
          <w:bCs/>
          <w:iCs/>
          <w:sz w:val="24"/>
          <w:szCs w:val="24"/>
        </w:rPr>
        <w:t xml:space="preserve"> </w:t>
      </w:r>
      <w:r w:rsidR="00242231">
        <w:rPr>
          <w:rFonts w:ascii="Times New Roman" w:hAnsi="Times New Roman" w:cs="Times New Roman"/>
          <w:bCs/>
          <w:iCs/>
          <w:sz w:val="24"/>
          <w:szCs w:val="24"/>
        </w:rPr>
        <w:lastRenderedPageBreak/>
        <w:t>rising faster than inflation.</w:t>
      </w:r>
      <w:r w:rsidR="0093024E">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{"citationID":"AE1GFqoj","properties":{"formattedCitation":"\\super 67\\nosupersub{}","plainCitation":"67","noteIndex":0},"citationItems":[{"id":1359,"uris":["http://zotero.org/users/5917738/items/JJQEFYKB"],"uri":["http://zotero.org/users/5917738/items/JJQEFYKB"],"itemData":{"id":1359,"type":"bill","authority":"U.S. Senate","chapter-number":"116th","number":"S.2453","title":"Prescription Drug Pricing Reduction Act of 2019","URL":"https://www.congress.gov/bill/116th-congress/senate-bill/2543/all-info","author":[{"family":"Grassley","given":"Chuck"}]}}],"schema":"https://github.com/citation-style-language/schema/raw/master/csl-citation.json"} </w:instrText>
      </w:r>
      <w:r w:rsidR="0093024E">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67</w:t>
      </w:r>
      <w:r w:rsidR="0093024E">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t>
      </w:r>
      <w:r w:rsidR="00A17477">
        <w:rPr>
          <w:rFonts w:ascii="Times New Roman" w:hAnsi="Times New Roman" w:cs="Times New Roman"/>
          <w:bCs/>
          <w:iCs/>
          <w:sz w:val="24"/>
          <w:szCs w:val="24"/>
        </w:rPr>
        <w:t xml:space="preserve">Implicit in these policies is the assumption that </w:t>
      </w:r>
      <w:r w:rsidR="00FB239D">
        <w:rPr>
          <w:rFonts w:ascii="Times New Roman" w:hAnsi="Times New Roman" w:cs="Times New Roman"/>
          <w:bCs/>
          <w:iCs/>
          <w:sz w:val="24"/>
          <w:szCs w:val="24"/>
        </w:rPr>
        <w:t xml:space="preserve">lower prescription drug prices </w:t>
      </w:r>
      <w:r w:rsidR="00553420">
        <w:rPr>
          <w:rFonts w:ascii="Times New Roman" w:hAnsi="Times New Roman" w:cs="Times New Roman"/>
          <w:bCs/>
          <w:iCs/>
          <w:sz w:val="24"/>
          <w:szCs w:val="24"/>
        </w:rPr>
        <w:t xml:space="preserve">will </w:t>
      </w:r>
      <w:r w:rsidR="00C77713">
        <w:rPr>
          <w:rFonts w:ascii="Times New Roman" w:hAnsi="Times New Roman" w:cs="Times New Roman"/>
          <w:bCs/>
          <w:iCs/>
          <w:sz w:val="24"/>
          <w:szCs w:val="24"/>
        </w:rPr>
        <w:t>have a positive impact on patients</w:t>
      </w:r>
      <w:r w:rsidR="006B43E9">
        <w:rPr>
          <w:rFonts w:ascii="Times New Roman" w:hAnsi="Times New Roman" w:cs="Times New Roman"/>
          <w:bCs/>
          <w:iCs/>
          <w:sz w:val="24"/>
          <w:szCs w:val="24"/>
        </w:rPr>
        <w:t xml:space="preserve"> </w:t>
      </w:r>
      <w:r w:rsidR="00A412BA">
        <w:rPr>
          <w:rFonts w:ascii="Times New Roman" w:hAnsi="Times New Roman" w:cs="Times New Roman"/>
          <w:bCs/>
          <w:iCs/>
          <w:sz w:val="24"/>
          <w:szCs w:val="24"/>
        </w:rPr>
        <w:t xml:space="preserve">by </w:t>
      </w:r>
      <w:r w:rsidR="00C77713">
        <w:rPr>
          <w:rFonts w:ascii="Times New Roman" w:hAnsi="Times New Roman" w:cs="Times New Roman"/>
          <w:bCs/>
          <w:iCs/>
          <w:sz w:val="24"/>
          <w:szCs w:val="24"/>
        </w:rPr>
        <w:t>d</w:t>
      </w:r>
      <w:r w:rsidR="00A412BA">
        <w:rPr>
          <w:rFonts w:ascii="Times New Roman" w:hAnsi="Times New Roman" w:cs="Times New Roman"/>
          <w:bCs/>
          <w:iCs/>
          <w:sz w:val="24"/>
          <w:szCs w:val="24"/>
        </w:rPr>
        <w:t>ecreasing</w:t>
      </w:r>
      <w:r w:rsidR="00C77713">
        <w:rPr>
          <w:rFonts w:ascii="Times New Roman" w:hAnsi="Times New Roman" w:cs="Times New Roman"/>
          <w:bCs/>
          <w:iCs/>
          <w:sz w:val="24"/>
          <w:szCs w:val="24"/>
        </w:rPr>
        <w:t xml:space="preserve"> financial burden, </w:t>
      </w:r>
      <w:r w:rsidR="0094759B">
        <w:rPr>
          <w:rFonts w:ascii="Times New Roman" w:hAnsi="Times New Roman" w:cs="Times New Roman"/>
          <w:bCs/>
          <w:iCs/>
          <w:sz w:val="24"/>
          <w:szCs w:val="24"/>
        </w:rPr>
        <w:t>improv</w:t>
      </w:r>
      <w:r w:rsidR="00A412BA">
        <w:rPr>
          <w:rFonts w:ascii="Times New Roman" w:hAnsi="Times New Roman" w:cs="Times New Roman"/>
          <w:bCs/>
          <w:iCs/>
          <w:sz w:val="24"/>
          <w:szCs w:val="24"/>
        </w:rPr>
        <w:t>ing</w:t>
      </w:r>
      <w:r w:rsidR="0094759B">
        <w:rPr>
          <w:rFonts w:ascii="Times New Roman" w:hAnsi="Times New Roman" w:cs="Times New Roman"/>
          <w:bCs/>
          <w:iCs/>
          <w:sz w:val="24"/>
          <w:szCs w:val="24"/>
        </w:rPr>
        <w:t xml:space="preserve"> health, </w:t>
      </w:r>
      <w:r w:rsidR="00C77713">
        <w:rPr>
          <w:rFonts w:ascii="Times New Roman" w:hAnsi="Times New Roman" w:cs="Times New Roman"/>
          <w:bCs/>
          <w:iCs/>
          <w:sz w:val="24"/>
          <w:szCs w:val="24"/>
        </w:rPr>
        <w:t>or both</w:t>
      </w:r>
      <w:r w:rsidR="004935C5">
        <w:rPr>
          <w:rFonts w:ascii="Times New Roman" w:hAnsi="Times New Roman" w:cs="Times New Roman"/>
          <w:bCs/>
          <w:iCs/>
          <w:sz w:val="24"/>
          <w:szCs w:val="24"/>
        </w:rPr>
        <w:t xml:space="preserve">. </w:t>
      </w:r>
      <w:r w:rsidR="00764CF8">
        <w:rPr>
          <w:rFonts w:ascii="Times New Roman" w:hAnsi="Times New Roman" w:cs="Times New Roman"/>
          <w:bCs/>
          <w:iCs/>
          <w:sz w:val="24"/>
          <w:szCs w:val="24"/>
        </w:rPr>
        <w:t>The</w:t>
      </w:r>
      <w:r w:rsidR="001F34A9">
        <w:rPr>
          <w:rFonts w:ascii="Times New Roman" w:hAnsi="Times New Roman" w:cs="Times New Roman"/>
          <w:bCs/>
          <w:iCs/>
          <w:sz w:val="24"/>
          <w:szCs w:val="24"/>
        </w:rPr>
        <w:t xml:space="preserve"> common counterargument i</w:t>
      </w:r>
      <w:r w:rsidR="00E77D1D">
        <w:rPr>
          <w:rFonts w:ascii="Times New Roman" w:hAnsi="Times New Roman" w:cs="Times New Roman"/>
          <w:bCs/>
          <w:iCs/>
          <w:sz w:val="24"/>
          <w:szCs w:val="24"/>
        </w:rPr>
        <w:t xml:space="preserve">s </w:t>
      </w:r>
      <w:r w:rsidR="00961F13">
        <w:rPr>
          <w:rFonts w:ascii="Times New Roman" w:hAnsi="Times New Roman" w:cs="Times New Roman"/>
          <w:bCs/>
          <w:iCs/>
          <w:sz w:val="24"/>
          <w:szCs w:val="24"/>
        </w:rPr>
        <w:t xml:space="preserve">that </w:t>
      </w:r>
      <w:r w:rsidR="00C44E88">
        <w:rPr>
          <w:rFonts w:ascii="Times New Roman" w:hAnsi="Times New Roman" w:cs="Times New Roman"/>
          <w:bCs/>
          <w:iCs/>
          <w:sz w:val="24"/>
          <w:szCs w:val="24"/>
        </w:rPr>
        <w:t xml:space="preserve">price controls </w:t>
      </w:r>
      <w:r w:rsidR="00961F13">
        <w:rPr>
          <w:rFonts w:ascii="Times New Roman" w:hAnsi="Times New Roman" w:cs="Times New Roman"/>
          <w:bCs/>
          <w:iCs/>
          <w:sz w:val="24"/>
          <w:szCs w:val="24"/>
        </w:rPr>
        <w:t>w</w:t>
      </w:r>
      <w:r w:rsidR="00C44E88">
        <w:rPr>
          <w:rFonts w:ascii="Times New Roman" w:hAnsi="Times New Roman" w:cs="Times New Roman"/>
          <w:bCs/>
          <w:iCs/>
          <w:sz w:val="24"/>
          <w:szCs w:val="24"/>
        </w:rPr>
        <w:t>ould have negative implications for pharmaceutical research and development</w:t>
      </w:r>
      <w:r w:rsidR="001E07CD">
        <w:rPr>
          <w:rFonts w:ascii="Times New Roman" w:hAnsi="Times New Roman" w:cs="Times New Roman"/>
          <w:bCs/>
          <w:iCs/>
          <w:sz w:val="24"/>
          <w:szCs w:val="24"/>
        </w:rPr>
        <w:t>,</w:t>
      </w:r>
      <w:r w:rsidR="00187BE6">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{"citationID":"8hQsI1zF","properties":{"formattedCitation":"\\super 68\\nosupersub{}","plainCitation":"68","noteIndex":0},"citationItems":[{"id":1371,"uris":["http://zotero.org/users/5917738/items/AZQEW753"],"uri":["http://zotero.org/users/5917738/items/AZQEW753"],"itemData":{"id":1371,"type":"article-journal","abstract":"This paper examines the link between price regulation and pharmaceutical research and development (R&amp;D) investment. I identify two mechanisms through which price regulation may exert an influence on R&amp;D: an expected-profit effect and a cash-flow effect. Using established models of the determinants of pharmaceutical R&amp;D, I exploit a unique fact to quantify firm exposure to pharmaceutical price regulation: relative to the rest of the world, the U.S. pharmaceutical market is largely unregulated with respect to price. Using this fact within the context of a system of quasi-structural equations, I simulate how a new policy regulating pharmaceutical prices in the U.S. will affect R&amp;D investment. I find that such a policy will lead to a decline in industry R&amp;D by between 23.4 and 32.7%. This prediction, however, is accompanied by several caveats. Moreover, it says nothing about the implications for social welfare; therefore, these issues are also discussed. Copyright © 2004 John Wiley &amp; Sons, Ltd.","container-title":"Health Economics","DOI":"10.1002/hec.897","ISSN":"1099-1050","issue":"1","language":"en","page":"1-16","source":"Wiley Online Library","title":"Examining the link between price regulation and pharmaceutical R&amp;D investment","volume":"14","author":[{"family":"Vernon","given":"John A."}],"issued":{"date-parts":[["2005"]]}}}],"schema":"https://github.com/citation-style-language/schema/raw/master/csl-citation.json"} </w:instrText>
      </w:r>
      <w:r w:rsidR="00187BE6">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68</w:t>
      </w:r>
      <w:r w:rsidR="00187BE6">
        <w:rPr>
          <w:rFonts w:ascii="Times New Roman" w:hAnsi="Times New Roman" w:cs="Times New Roman"/>
          <w:bCs/>
          <w:iCs/>
          <w:sz w:val="24"/>
          <w:szCs w:val="24"/>
        </w:rPr>
        <w:fldChar w:fldCharType="end"/>
      </w:r>
      <w:r w:rsidR="00124D70">
        <w:rPr>
          <w:rFonts w:ascii="Times New Roman" w:hAnsi="Times New Roman" w:cs="Times New Roman"/>
          <w:bCs/>
          <w:iCs/>
          <w:sz w:val="24"/>
          <w:szCs w:val="24"/>
        </w:rPr>
        <w:t xml:space="preserve"> </w:t>
      </w:r>
      <w:r w:rsidR="008451F0">
        <w:rPr>
          <w:rFonts w:ascii="Times New Roman" w:hAnsi="Times New Roman" w:cs="Times New Roman"/>
          <w:bCs/>
          <w:iCs/>
          <w:sz w:val="24"/>
          <w:szCs w:val="24"/>
        </w:rPr>
        <w:t>howeve</w:t>
      </w:r>
      <w:r w:rsidR="0072712A">
        <w:rPr>
          <w:rFonts w:ascii="Times New Roman" w:hAnsi="Times New Roman" w:cs="Times New Roman"/>
          <w:bCs/>
          <w:iCs/>
          <w:sz w:val="24"/>
          <w:szCs w:val="24"/>
        </w:rPr>
        <w:t xml:space="preserve">r, </w:t>
      </w:r>
      <w:r w:rsidR="004D43C3">
        <w:rPr>
          <w:rFonts w:ascii="Times New Roman" w:hAnsi="Times New Roman" w:cs="Times New Roman"/>
          <w:bCs/>
          <w:iCs/>
          <w:sz w:val="24"/>
          <w:szCs w:val="24"/>
        </w:rPr>
        <w:t>these considerations should be balanced</w:t>
      </w:r>
      <w:r w:rsidR="006373F1">
        <w:rPr>
          <w:rFonts w:ascii="Times New Roman" w:hAnsi="Times New Roman" w:cs="Times New Roman"/>
          <w:bCs/>
          <w:iCs/>
          <w:sz w:val="24"/>
          <w:szCs w:val="24"/>
        </w:rPr>
        <w:t xml:space="preserve"> against the necessity</w:t>
      </w:r>
      <w:r w:rsidR="009A0935">
        <w:rPr>
          <w:rFonts w:ascii="Times New Roman" w:hAnsi="Times New Roman" w:cs="Times New Roman"/>
          <w:bCs/>
          <w:iCs/>
          <w:sz w:val="24"/>
          <w:szCs w:val="24"/>
        </w:rPr>
        <w:t xml:space="preserve"> of </w:t>
      </w:r>
      <w:r w:rsidR="00F30515">
        <w:rPr>
          <w:rFonts w:ascii="Times New Roman" w:hAnsi="Times New Roman" w:cs="Times New Roman"/>
          <w:bCs/>
          <w:iCs/>
          <w:sz w:val="24"/>
          <w:szCs w:val="24"/>
        </w:rPr>
        <w:t>the drug</w:t>
      </w:r>
      <w:r w:rsidR="008D0613">
        <w:rPr>
          <w:rFonts w:ascii="Times New Roman" w:hAnsi="Times New Roman" w:cs="Times New Roman"/>
          <w:bCs/>
          <w:iCs/>
          <w:sz w:val="24"/>
          <w:szCs w:val="24"/>
        </w:rPr>
        <w:t xml:space="preserve"> (demand </w:t>
      </w:r>
      <w:r w:rsidR="00892CDC">
        <w:rPr>
          <w:rFonts w:ascii="Times New Roman" w:hAnsi="Times New Roman" w:cs="Times New Roman"/>
          <w:bCs/>
          <w:iCs/>
          <w:sz w:val="24"/>
          <w:szCs w:val="24"/>
        </w:rPr>
        <w:t>in</w:t>
      </w:r>
      <w:r w:rsidR="008D0613">
        <w:rPr>
          <w:rFonts w:ascii="Times New Roman" w:hAnsi="Times New Roman" w:cs="Times New Roman"/>
          <w:bCs/>
          <w:iCs/>
          <w:sz w:val="24"/>
          <w:szCs w:val="24"/>
        </w:rPr>
        <w:t>elasticity)</w:t>
      </w:r>
      <w:r w:rsidR="003B6E43">
        <w:rPr>
          <w:rFonts w:ascii="Times New Roman" w:hAnsi="Times New Roman" w:cs="Times New Roman"/>
          <w:bCs/>
          <w:iCs/>
          <w:sz w:val="24"/>
          <w:szCs w:val="24"/>
        </w:rPr>
        <w:t xml:space="preserve"> and</w:t>
      </w:r>
      <w:r w:rsidR="00F30515">
        <w:rPr>
          <w:rFonts w:ascii="Times New Roman" w:hAnsi="Times New Roman" w:cs="Times New Roman"/>
          <w:bCs/>
          <w:iCs/>
          <w:sz w:val="24"/>
          <w:szCs w:val="24"/>
        </w:rPr>
        <w:t xml:space="preserve"> </w:t>
      </w:r>
      <w:r w:rsidR="005A5527">
        <w:rPr>
          <w:rFonts w:ascii="Times New Roman" w:hAnsi="Times New Roman" w:cs="Times New Roman"/>
          <w:bCs/>
          <w:iCs/>
          <w:sz w:val="24"/>
          <w:szCs w:val="24"/>
        </w:rPr>
        <w:t xml:space="preserve">availability of </w:t>
      </w:r>
      <w:r w:rsidR="00837CB9">
        <w:rPr>
          <w:rFonts w:ascii="Times New Roman" w:hAnsi="Times New Roman" w:cs="Times New Roman"/>
          <w:bCs/>
          <w:iCs/>
          <w:sz w:val="24"/>
          <w:szCs w:val="24"/>
        </w:rPr>
        <w:t>substitutes. In the case of insulin, a 100-year old dr</w:t>
      </w:r>
      <w:r w:rsidR="00B7087E">
        <w:rPr>
          <w:rFonts w:ascii="Times New Roman" w:hAnsi="Times New Roman" w:cs="Times New Roman"/>
          <w:bCs/>
          <w:iCs/>
          <w:sz w:val="24"/>
          <w:szCs w:val="24"/>
        </w:rPr>
        <w:t xml:space="preserve">ug that is essential </w:t>
      </w:r>
      <w:r w:rsidR="003C7184">
        <w:rPr>
          <w:rFonts w:ascii="Times New Roman" w:hAnsi="Times New Roman" w:cs="Times New Roman"/>
          <w:bCs/>
          <w:iCs/>
          <w:sz w:val="24"/>
          <w:szCs w:val="24"/>
        </w:rPr>
        <w:t>for individuals with Type 1 diabetes</w:t>
      </w:r>
      <w:r w:rsidR="003F4640">
        <w:rPr>
          <w:rFonts w:ascii="Times New Roman" w:hAnsi="Times New Roman" w:cs="Times New Roman"/>
          <w:bCs/>
          <w:iCs/>
          <w:sz w:val="24"/>
          <w:szCs w:val="24"/>
        </w:rPr>
        <w:t xml:space="preserve"> and </w:t>
      </w:r>
      <w:r w:rsidR="00B14591">
        <w:rPr>
          <w:rFonts w:ascii="Times New Roman" w:hAnsi="Times New Roman" w:cs="Times New Roman"/>
          <w:bCs/>
          <w:iCs/>
          <w:sz w:val="24"/>
          <w:szCs w:val="24"/>
        </w:rPr>
        <w:t>requires</w:t>
      </w:r>
      <w:r w:rsidR="003F4640">
        <w:rPr>
          <w:rFonts w:ascii="Times New Roman" w:hAnsi="Times New Roman" w:cs="Times New Roman"/>
          <w:bCs/>
          <w:iCs/>
          <w:sz w:val="24"/>
          <w:szCs w:val="24"/>
        </w:rPr>
        <w:t xml:space="preserve"> little capital outlay</w:t>
      </w:r>
      <w:r w:rsidR="00B14591">
        <w:rPr>
          <w:rFonts w:ascii="Times New Roman" w:hAnsi="Times New Roman" w:cs="Times New Roman"/>
          <w:bCs/>
          <w:iCs/>
          <w:sz w:val="24"/>
          <w:szCs w:val="24"/>
        </w:rPr>
        <w:t xml:space="preserve"> on </w:t>
      </w:r>
      <w:r w:rsidR="00050910">
        <w:rPr>
          <w:rFonts w:ascii="Times New Roman" w:hAnsi="Times New Roman" w:cs="Times New Roman"/>
          <w:bCs/>
          <w:iCs/>
          <w:sz w:val="24"/>
          <w:szCs w:val="24"/>
        </w:rPr>
        <w:t>the production side</w:t>
      </w:r>
      <w:r w:rsidR="00D14CAE">
        <w:rPr>
          <w:rFonts w:ascii="Times New Roman" w:hAnsi="Times New Roman" w:cs="Times New Roman"/>
          <w:bCs/>
          <w:iCs/>
          <w:sz w:val="24"/>
          <w:szCs w:val="24"/>
        </w:rPr>
        <w:t>,</w:t>
      </w:r>
      <w:r w:rsidR="00CD1383">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{"citationID":"XJRZCole","properties":{"formattedCitation":"\\super 69\\nosupersub{}","plainCitation":"69","noteIndex":0},"citationItems":[{"id":1374,"uris":["http://zotero.org/users/5917738/items/K9Q9ZYT9"],"uri":["http://zotero.org/users/5917738/items/K9Q9ZYT9"],"itemData":{"id":1374,"type":"article-journal","abstract":"Introduction High prices for insulin pose a barrier to treatment for people living with diabetes, with an estimated 50% of 100 million patients needing insulin lacking reliable access. As insulin analogues replace regular human insulin (RHI) globally, their relative prices will become increasingly important. Three originator companies control 96% of the global insulin market, and few biosimilar insulins are available. We estimated the price reductions that could be achieved if numerous biosimilar manufacturers entered the insulin market.\nMethods Data on the price of active pharmaceutical ingredient (API) exported from India were retrieved from an online customs database. Manufacturers of insulins were contacted for price quotes. Where market API prices could not be identified, prices were estimated based on comparison of similarity, in terms of manufacturing process, with APIs for which prices were available. Potential biosimilar prices were estimated by adding costs of excipients, formulation, transport, development and regulatory costs, and a profit margin.\nResults The manufacturing processes for RHI and insulin analogues are similar. API prices were US$24 750/kg for RHI, US$68 757/kg for insulin glargine and an estimated US$100 000/kg for other analogues. Estimated biosimilar prices were US$48–71 per patient per year for RHI, US$49–72 for neutral protamine Hagedorn (NPH) insulin and US$78–133 for analogues (except detemir: US$283–365).\nConclusion Treatment with biosimilar RHI and insulin NPH could cost ≤US$72 per year and with insulin analogues ≤US$133 per year. Estimated biosimilar prices were markedly lower than the current prices for insulin analogues. Widespread availability at estimated prices may allow substantial savings globally.","container-title":"BMJ Global Health","DOI":"10.1136/bmjgh-2018-000850","ISSN":"2059-7908","issue":"5","language":"en","source":"gh.bmj.com","title":"Production costs and potential prices for biosimilars of human insulin and insulin analogues","URL":"https://gh.bmj.com/content/3/5/e000850","volume":"3","author":[{"family":"Gotham","given":"Dzintars"},{"family":"Barber","given":"Melissa J."},{"family":"Hill","given":"Andrew"}],"accessed":{"date-parts":[["2020",2,19]]},"issued":{"date-parts":[["2018",9,1]]}}}],"schema":"https://github.com/citation-style-language/schema/raw/master/csl-citation.json"} </w:instrText>
      </w:r>
      <w:r w:rsidR="00CD1383">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69</w:t>
      </w:r>
      <w:r w:rsidR="00CD1383">
        <w:rPr>
          <w:rFonts w:ascii="Times New Roman" w:hAnsi="Times New Roman" w:cs="Times New Roman"/>
          <w:bCs/>
          <w:iCs/>
          <w:sz w:val="24"/>
          <w:szCs w:val="24"/>
        </w:rPr>
        <w:fldChar w:fldCharType="end"/>
      </w:r>
      <w:r w:rsidR="008D5323">
        <w:rPr>
          <w:rFonts w:ascii="Times New Roman" w:hAnsi="Times New Roman" w:cs="Times New Roman"/>
          <w:bCs/>
          <w:iCs/>
          <w:sz w:val="24"/>
          <w:szCs w:val="24"/>
        </w:rPr>
        <w:t xml:space="preserve"> small reductions in innovation are likely justified by </w:t>
      </w:r>
      <w:r w:rsidR="00620CAF">
        <w:rPr>
          <w:rFonts w:ascii="Times New Roman" w:hAnsi="Times New Roman" w:cs="Times New Roman"/>
          <w:bCs/>
          <w:iCs/>
          <w:sz w:val="24"/>
          <w:szCs w:val="24"/>
        </w:rPr>
        <w:t xml:space="preserve">increasing </w:t>
      </w:r>
      <w:r w:rsidR="00565151">
        <w:rPr>
          <w:rFonts w:ascii="Times New Roman" w:hAnsi="Times New Roman" w:cs="Times New Roman"/>
          <w:bCs/>
          <w:iCs/>
          <w:sz w:val="24"/>
          <w:szCs w:val="24"/>
        </w:rPr>
        <w:t>prescription accessibility, especially for those in greatest financial need.</w:t>
      </w:r>
      <w:r w:rsidR="00DB7826">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{"citationID":"tboQUpZh","properties":{"formattedCitation":"\\super 70\\nosupersub{}","plainCitation":"70","noteIndex":0},"citationItems":[{"id":1363,"uris":["http://zotero.org/users/5917738/items/TH782BSH"],"uri":["http://zotero.org/users/5917738/items/TH782BSH"],"itemData":{"id":1363,"type":"article-journal","abstract":"We study the relationship between regulatory regimes and pharmaceutical firms’ pricing strategies using a unique policy experiment in Norway, which in 2003 introduced a reference price (RP) system called “index pricing” for a sub-sample of off-patent pharmaceuticals, replacing the existing price cap (PC) regulation. We estimate the effect of the reform using a product level panel dataset, covering the drugs exposed to RP and a large number of drugs still under PC regulation in the time before and after the policy change. Our results show that RP significantly reduces both brand-name and generic prices within the reference group, with the effect being stronger for brand-names. We also identify a negative cross-price effect on therapeutic substitutes not included in the RP system. In terms of policy implications, the results suggest that RP is more effective than PC regulation in lowering drug prices, while the cross-price effect raises a concern about patent protection.","container-title":"European Economic Review","DOI":"10.1016/j.euroecorev.2008.03.004","ISSN":"0014-2921","issue":"2","journalAbbreviation":"European Economic Review","language":"en","page":"170-185","source":"ScienceDirect","title":"Regulation and pricing of pharmaceuticals: Reference pricing or price cap regulation?","title-short":"Regulation and pricing of pharmaceuticals","volume":"53","author":[{"family":"Brekke","given":"Kurt R."},{"family":"Grasdal","given":"Astrid L."},{"family":"Holmås","given":"Tor Helge"}],"issued":{"date-parts":[["2009",2,1]]}}}],"schema":"https://github.com/citation-style-language/schema/raw/master/csl-citation.json"} </w:instrText>
      </w:r>
      <w:r w:rsidR="00DB7826">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70</w:t>
      </w:r>
      <w:r w:rsidR="00DB7826">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0E0A76">
        <w:rPr>
          <w:rFonts w:ascii="Times New Roman" w:hAnsi="Times New Roman" w:cs="Times New Roman"/>
          <w:bCs/>
          <w:iCs/>
          <w:sz w:val="24"/>
          <w:szCs w:val="24"/>
        </w:rPr>
        <w:t xml:space="preserve">Moreover, </w:t>
      </w:r>
      <w:r w:rsidR="001C6721">
        <w:rPr>
          <w:rFonts w:ascii="Times New Roman" w:hAnsi="Times New Roman" w:cs="Times New Roman"/>
          <w:bCs/>
          <w:iCs/>
          <w:sz w:val="24"/>
          <w:szCs w:val="24"/>
        </w:rPr>
        <w:t>most evidence has focused on the effects of reference pricing (limiting the price of a specific drug to a range within that of common competitors) rather than price caps (also called ‘maximum pricing,’ as in the proposed insulin legislation) and nearly all research</w:t>
      </w:r>
      <w:r w:rsidR="000E0A76">
        <w:rPr>
          <w:rFonts w:ascii="Times New Roman" w:hAnsi="Times New Roman" w:cs="Times New Roman"/>
          <w:bCs/>
          <w:iCs/>
          <w:sz w:val="24"/>
          <w:szCs w:val="24"/>
        </w:rPr>
        <w:t xml:space="preserve"> has been</w:t>
      </w:r>
      <w:r w:rsidR="001C6721">
        <w:rPr>
          <w:rFonts w:ascii="Times New Roman" w:hAnsi="Times New Roman" w:cs="Times New Roman"/>
          <w:bCs/>
          <w:iCs/>
          <w:sz w:val="24"/>
          <w:szCs w:val="24"/>
        </w:rPr>
        <w:t xml:space="preserve"> conducted in European markets.</w:t>
      </w:r>
      <w:r w:rsidR="001C6721">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{"citationID":"lcrpx54h","properties":{"formattedCitation":"\\super 71\\nosupersub{}","plainCitation":"71","noteIndex":0},"citationItems":[{"id":1360,"uris":["http://zotero.org/users/5917738/items/DMG6ER7W"],"uri":["http://zotero.org/users/5917738/items/DMG6ER7W"],"itemData":{"id":1360,"type":"article-journal","container-title":"Cochrane Database of Systematic Reviews","DOI":"10.1002/14651858.CD005979.pub2","ISSN":"1465-1858","issue":"10","language":"en","source":"www.cochranelibrary.com","title":"Pharmaceutical policies: effects of reference pricing, other pricing, and purchasing policies","title-short":"Pharmaceutical policies","URL":"https://www.cochranelibrary.com/cdsr/doi/10.1002/14651858.CD005979.pub2/full","author":[{"family":"Acosta","given":"Angela"},{"family":"Ciapponi","given":"Agustín"},{"family":"Aaserud","given":"Morten"},{"family":"Vietto","given":"Valeria"},{"family":"Austvoll‐Dahlgren","given":"Astrid"},{"family":"Kösters","given":"Jan Peter"},{"family":"Vacca","given":"Claudia"},{"family":"Machado","given":"Manuel"},{"family":"Ayala","given":"Diana Hazbeydy Diaz"},{"family":"Oxman","given":"Andrew D."}],"accessed":{"date-parts":[["2020",2,18]]},"issued":{"date-parts":[["2014"]]}}}],"schema":"https://github.com/citation-style-language/schema/raw/master/csl-citation.json"} </w:instrText>
      </w:r>
      <w:r w:rsidR="001C6721">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71</w:t>
      </w:r>
      <w:r w:rsidR="001C6721">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AF7534">
        <w:rPr>
          <w:rFonts w:ascii="Times New Roman" w:hAnsi="Times New Roman" w:cs="Times New Roman"/>
          <w:bCs/>
          <w:iCs/>
          <w:sz w:val="24"/>
          <w:szCs w:val="24"/>
        </w:rPr>
        <w:t>Though an evaluation of these policies was beyond the scope of the present analysis</w:t>
      </w:r>
      <w:r w:rsidR="002911D2">
        <w:rPr>
          <w:rFonts w:ascii="Times New Roman" w:hAnsi="Times New Roman" w:cs="Times New Roman"/>
          <w:bCs/>
          <w:iCs/>
          <w:sz w:val="24"/>
          <w:szCs w:val="24"/>
        </w:rPr>
        <w:t xml:space="preserve">, </w:t>
      </w:r>
      <w:r w:rsidR="001B2C6E">
        <w:rPr>
          <w:rFonts w:ascii="Times New Roman" w:hAnsi="Times New Roman" w:cs="Times New Roman"/>
          <w:bCs/>
          <w:iCs/>
          <w:sz w:val="24"/>
          <w:szCs w:val="24"/>
        </w:rPr>
        <w:t xml:space="preserve">these </w:t>
      </w:r>
      <w:r w:rsidR="000C345F">
        <w:rPr>
          <w:rFonts w:ascii="Times New Roman" w:hAnsi="Times New Roman" w:cs="Times New Roman"/>
          <w:bCs/>
          <w:iCs/>
          <w:sz w:val="24"/>
          <w:szCs w:val="24"/>
        </w:rPr>
        <w:t xml:space="preserve">results </w:t>
      </w:r>
      <w:r w:rsidR="003D537D">
        <w:rPr>
          <w:rFonts w:ascii="Times New Roman" w:hAnsi="Times New Roman" w:cs="Times New Roman"/>
          <w:bCs/>
          <w:iCs/>
          <w:sz w:val="24"/>
          <w:szCs w:val="24"/>
        </w:rPr>
        <w:t xml:space="preserve">do lend </w:t>
      </w:r>
      <w:r w:rsidR="00055665">
        <w:rPr>
          <w:rFonts w:ascii="Times New Roman" w:hAnsi="Times New Roman" w:cs="Times New Roman"/>
          <w:bCs/>
          <w:iCs/>
          <w:sz w:val="24"/>
          <w:szCs w:val="24"/>
        </w:rPr>
        <w:t>support</w:t>
      </w:r>
      <w:r w:rsidR="000C345F">
        <w:rPr>
          <w:rFonts w:ascii="Times New Roman" w:hAnsi="Times New Roman" w:cs="Times New Roman"/>
          <w:bCs/>
          <w:iCs/>
          <w:sz w:val="24"/>
          <w:szCs w:val="24"/>
        </w:rPr>
        <w:t xml:space="preserve"> </w:t>
      </w:r>
      <w:r w:rsidR="003D537D">
        <w:rPr>
          <w:rFonts w:ascii="Times New Roman" w:hAnsi="Times New Roman" w:cs="Times New Roman"/>
          <w:bCs/>
          <w:iCs/>
          <w:sz w:val="24"/>
          <w:szCs w:val="24"/>
        </w:rPr>
        <w:t>to some form of</w:t>
      </w:r>
      <w:r w:rsidR="00E93AF7">
        <w:rPr>
          <w:rFonts w:ascii="Times New Roman" w:hAnsi="Times New Roman" w:cs="Times New Roman"/>
          <w:bCs/>
          <w:iCs/>
          <w:sz w:val="24"/>
          <w:szCs w:val="24"/>
        </w:rPr>
        <w:t xml:space="preserve"> price protection</w:t>
      </w:r>
      <w:r w:rsidR="001105FB">
        <w:rPr>
          <w:rFonts w:ascii="Times New Roman" w:hAnsi="Times New Roman" w:cs="Times New Roman"/>
          <w:bCs/>
          <w:iCs/>
          <w:sz w:val="24"/>
          <w:szCs w:val="24"/>
        </w:rPr>
        <w:t xml:space="preserve"> as a means to</w:t>
      </w:r>
      <w:r w:rsidR="00B864E8">
        <w:rPr>
          <w:rFonts w:ascii="Times New Roman" w:hAnsi="Times New Roman" w:cs="Times New Roman"/>
          <w:bCs/>
          <w:iCs/>
          <w:sz w:val="24"/>
          <w:szCs w:val="24"/>
        </w:rPr>
        <w:t xml:space="preserve"> </w:t>
      </w:r>
      <w:r w:rsidR="001105FB">
        <w:rPr>
          <w:rFonts w:ascii="Times New Roman" w:hAnsi="Times New Roman" w:cs="Times New Roman"/>
          <w:bCs/>
          <w:iCs/>
          <w:sz w:val="24"/>
          <w:szCs w:val="24"/>
        </w:rPr>
        <w:t>health improvemen</w:t>
      </w:r>
      <w:r w:rsidR="005273F1">
        <w:rPr>
          <w:rFonts w:ascii="Times New Roman" w:hAnsi="Times New Roman" w:cs="Times New Roman"/>
          <w:bCs/>
          <w:iCs/>
          <w:sz w:val="24"/>
          <w:szCs w:val="24"/>
        </w:rPr>
        <w:t>t</w:t>
      </w:r>
      <w:r w:rsidR="00AB17FB">
        <w:rPr>
          <w:rFonts w:ascii="Times New Roman" w:hAnsi="Times New Roman" w:cs="Times New Roman"/>
          <w:bCs/>
          <w:iCs/>
          <w:sz w:val="24"/>
          <w:szCs w:val="24"/>
        </w:rPr>
        <w:t xml:space="preserve"> </w:t>
      </w:r>
      <w:r w:rsidR="007B5BEC">
        <w:rPr>
          <w:rFonts w:ascii="Times New Roman" w:hAnsi="Times New Roman" w:cs="Times New Roman"/>
          <w:bCs/>
          <w:iCs/>
          <w:sz w:val="24"/>
          <w:szCs w:val="24"/>
        </w:rPr>
        <w:t>in individuals with diabetes</w:t>
      </w:r>
      <w:r w:rsidR="00FB093F">
        <w:rPr>
          <w:rFonts w:ascii="Times New Roman" w:hAnsi="Times New Roman" w:cs="Times New Roman"/>
          <w:bCs/>
          <w:iCs/>
          <w:sz w:val="24"/>
          <w:szCs w:val="24"/>
        </w:rPr>
        <w:t xml:space="preserve">, </w:t>
      </w:r>
      <w:r w:rsidR="003D537D">
        <w:rPr>
          <w:rFonts w:ascii="Times New Roman" w:hAnsi="Times New Roman" w:cs="Times New Roman"/>
          <w:bCs/>
          <w:iCs/>
          <w:sz w:val="24"/>
          <w:szCs w:val="24"/>
        </w:rPr>
        <w:t xml:space="preserve">provided that </w:t>
      </w:r>
      <w:r w:rsidR="00491AE2">
        <w:rPr>
          <w:rFonts w:ascii="Times New Roman" w:hAnsi="Times New Roman" w:cs="Times New Roman"/>
          <w:bCs/>
          <w:iCs/>
          <w:sz w:val="24"/>
          <w:szCs w:val="24"/>
        </w:rPr>
        <w:t>caps</w:t>
      </w:r>
      <w:r w:rsidR="003E1C07">
        <w:rPr>
          <w:rFonts w:ascii="Times New Roman" w:hAnsi="Times New Roman" w:cs="Times New Roman"/>
          <w:bCs/>
          <w:iCs/>
          <w:sz w:val="24"/>
          <w:szCs w:val="24"/>
        </w:rPr>
        <w:t xml:space="preserve"> are able to</w:t>
      </w:r>
      <w:r w:rsidR="00491AE2">
        <w:rPr>
          <w:rFonts w:ascii="Times New Roman" w:hAnsi="Times New Roman" w:cs="Times New Roman"/>
          <w:bCs/>
          <w:iCs/>
          <w:sz w:val="24"/>
          <w:szCs w:val="24"/>
        </w:rPr>
        <w:t xml:space="preserve"> reduce CRN, </w:t>
      </w:r>
      <w:r w:rsidR="00FB093F">
        <w:rPr>
          <w:rFonts w:ascii="Times New Roman" w:hAnsi="Times New Roman" w:cs="Times New Roman"/>
          <w:bCs/>
          <w:iCs/>
          <w:sz w:val="24"/>
          <w:szCs w:val="24"/>
        </w:rPr>
        <w:t xml:space="preserve">and </w:t>
      </w:r>
      <w:r w:rsidR="002C5E6F">
        <w:rPr>
          <w:rFonts w:ascii="Times New Roman" w:hAnsi="Times New Roman" w:cs="Times New Roman"/>
          <w:bCs/>
          <w:iCs/>
          <w:sz w:val="24"/>
          <w:szCs w:val="24"/>
        </w:rPr>
        <w:t xml:space="preserve">I </w:t>
      </w:r>
      <w:r w:rsidR="00FB093F">
        <w:rPr>
          <w:rFonts w:ascii="Times New Roman" w:hAnsi="Times New Roman" w:cs="Times New Roman"/>
          <w:bCs/>
          <w:iCs/>
          <w:sz w:val="24"/>
          <w:szCs w:val="24"/>
        </w:rPr>
        <w:t>a</w:t>
      </w:r>
      <w:r w:rsidR="00555420">
        <w:rPr>
          <w:rFonts w:ascii="Times New Roman" w:hAnsi="Times New Roman" w:cs="Times New Roman"/>
          <w:bCs/>
          <w:iCs/>
          <w:sz w:val="24"/>
          <w:szCs w:val="24"/>
        </w:rPr>
        <w:t>m</w:t>
      </w:r>
      <w:r w:rsidR="00FB093F">
        <w:rPr>
          <w:rFonts w:ascii="Times New Roman" w:hAnsi="Times New Roman" w:cs="Times New Roman"/>
          <w:bCs/>
          <w:iCs/>
          <w:sz w:val="24"/>
          <w:szCs w:val="24"/>
        </w:rPr>
        <w:t xml:space="preserve"> optimistic about the </w:t>
      </w:r>
      <w:r w:rsidR="0052606D">
        <w:rPr>
          <w:rFonts w:ascii="Times New Roman" w:hAnsi="Times New Roman" w:cs="Times New Roman"/>
          <w:bCs/>
          <w:iCs/>
          <w:sz w:val="24"/>
          <w:szCs w:val="24"/>
        </w:rPr>
        <w:t xml:space="preserve">potential of </w:t>
      </w:r>
      <w:r w:rsidR="000305B6">
        <w:rPr>
          <w:rFonts w:ascii="Times New Roman" w:hAnsi="Times New Roman" w:cs="Times New Roman"/>
          <w:bCs/>
          <w:iCs/>
          <w:sz w:val="24"/>
          <w:szCs w:val="24"/>
        </w:rPr>
        <w:t>new legis</w:t>
      </w:r>
      <w:r w:rsidR="005A1694">
        <w:rPr>
          <w:rFonts w:ascii="Times New Roman" w:hAnsi="Times New Roman" w:cs="Times New Roman"/>
          <w:bCs/>
          <w:iCs/>
          <w:sz w:val="24"/>
          <w:szCs w:val="24"/>
        </w:rPr>
        <w:t xml:space="preserve">lation to make access to </w:t>
      </w:r>
      <w:r w:rsidR="00A2081F">
        <w:rPr>
          <w:rFonts w:ascii="Times New Roman" w:hAnsi="Times New Roman" w:cs="Times New Roman"/>
          <w:bCs/>
          <w:iCs/>
          <w:sz w:val="24"/>
          <w:szCs w:val="24"/>
        </w:rPr>
        <w:t>essential</w:t>
      </w:r>
      <w:r w:rsidR="004F483F">
        <w:rPr>
          <w:rFonts w:ascii="Times New Roman" w:hAnsi="Times New Roman" w:cs="Times New Roman"/>
          <w:bCs/>
          <w:iCs/>
          <w:sz w:val="24"/>
          <w:szCs w:val="24"/>
        </w:rPr>
        <w:t xml:space="preserve"> care</w:t>
      </w:r>
      <w:r w:rsidR="005A1694">
        <w:rPr>
          <w:rFonts w:ascii="Times New Roman" w:hAnsi="Times New Roman" w:cs="Times New Roman"/>
          <w:bCs/>
          <w:iCs/>
          <w:sz w:val="24"/>
          <w:szCs w:val="24"/>
        </w:rPr>
        <w:t xml:space="preserve"> more equitable</w:t>
      </w:r>
      <w:r w:rsidR="002D0EAC">
        <w:rPr>
          <w:rFonts w:ascii="Times New Roman" w:hAnsi="Times New Roman" w:cs="Times New Roman"/>
          <w:bCs/>
          <w:iCs/>
          <w:sz w:val="24"/>
          <w:szCs w:val="24"/>
        </w:rPr>
        <w:t xml:space="preserve"> for </w:t>
      </w:r>
      <w:r w:rsidR="00A2081F">
        <w:rPr>
          <w:rFonts w:ascii="Times New Roman" w:hAnsi="Times New Roman" w:cs="Times New Roman"/>
          <w:bCs/>
          <w:iCs/>
          <w:sz w:val="24"/>
          <w:szCs w:val="24"/>
        </w:rPr>
        <w:t>patients most</w:t>
      </w:r>
      <w:r w:rsidR="002D0EAC">
        <w:rPr>
          <w:rFonts w:ascii="Times New Roman" w:hAnsi="Times New Roman" w:cs="Times New Roman"/>
          <w:bCs/>
          <w:iCs/>
          <w:sz w:val="24"/>
          <w:szCs w:val="24"/>
        </w:rPr>
        <w:t xml:space="preserve"> in need</w:t>
      </w:r>
      <w:r w:rsidR="00E93AF7">
        <w:rPr>
          <w:rFonts w:ascii="Times New Roman" w:hAnsi="Times New Roman" w:cs="Times New Roman"/>
          <w:bCs/>
          <w:iCs/>
          <w:sz w:val="24"/>
          <w:szCs w:val="24"/>
        </w:rPr>
        <w:t>.</w:t>
      </w:r>
      <w:r w:rsidR="005C38BF">
        <w:rPr>
          <w:rFonts w:ascii="Times New Roman" w:hAnsi="Times New Roman" w:cs="Times New Roman"/>
          <w:bCs/>
          <w:iCs/>
          <w:sz w:val="24"/>
          <w:szCs w:val="24"/>
        </w:rPr>
        <w:t xml:space="preserve"> </w:t>
      </w:r>
      <w:r w:rsidR="00E93AF7">
        <w:rPr>
          <w:rFonts w:ascii="Times New Roman" w:hAnsi="Times New Roman" w:cs="Times New Roman"/>
          <w:bCs/>
          <w:iCs/>
          <w:sz w:val="24"/>
          <w:szCs w:val="24"/>
        </w:rPr>
        <w:t>I</w:t>
      </w:r>
      <w:r w:rsidR="005C38BF">
        <w:rPr>
          <w:rFonts w:ascii="Times New Roman" w:hAnsi="Times New Roman" w:cs="Times New Roman"/>
          <w:bCs/>
          <w:iCs/>
          <w:sz w:val="24"/>
          <w:szCs w:val="24"/>
        </w:rPr>
        <w:t>mprovements would be especially pronounced among</w:t>
      </w:r>
      <w:r w:rsidR="00AB17FB">
        <w:rPr>
          <w:rFonts w:ascii="Times New Roman" w:hAnsi="Times New Roman" w:cs="Times New Roman"/>
          <w:bCs/>
          <w:iCs/>
          <w:sz w:val="24"/>
          <w:szCs w:val="24"/>
        </w:rPr>
        <w:t xml:space="preserve"> those with </w:t>
      </w:r>
      <w:r w:rsidR="006F1CFF">
        <w:rPr>
          <w:rFonts w:ascii="Times New Roman" w:hAnsi="Times New Roman" w:cs="Times New Roman"/>
          <w:bCs/>
          <w:iCs/>
          <w:sz w:val="24"/>
          <w:szCs w:val="24"/>
        </w:rPr>
        <w:t xml:space="preserve">demonstrated financial need </w:t>
      </w:r>
      <w:r w:rsidR="008111A8">
        <w:rPr>
          <w:rFonts w:ascii="Times New Roman" w:hAnsi="Times New Roman" w:cs="Times New Roman"/>
          <w:bCs/>
          <w:iCs/>
          <w:sz w:val="24"/>
          <w:szCs w:val="24"/>
        </w:rPr>
        <w:t>and high risk of CRN</w:t>
      </w:r>
      <w:r w:rsidR="008603A9">
        <w:rPr>
          <w:rFonts w:ascii="Times New Roman" w:hAnsi="Times New Roman" w:cs="Times New Roman"/>
          <w:bCs/>
          <w:iCs/>
          <w:sz w:val="24"/>
          <w:szCs w:val="24"/>
        </w:rPr>
        <w:t>. Nonetheless,</w:t>
      </w:r>
      <w:r w:rsidR="00F65621">
        <w:rPr>
          <w:rFonts w:ascii="Times New Roman" w:hAnsi="Times New Roman" w:cs="Times New Roman"/>
          <w:bCs/>
          <w:iCs/>
          <w:sz w:val="24"/>
          <w:szCs w:val="24"/>
        </w:rPr>
        <w:t xml:space="preserve"> </w:t>
      </w:r>
      <w:r w:rsidR="008603A9">
        <w:rPr>
          <w:rFonts w:ascii="Times New Roman" w:hAnsi="Times New Roman" w:cs="Times New Roman"/>
          <w:bCs/>
          <w:iCs/>
          <w:sz w:val="24"/>
          <w:szCs w:val="24"/>
        </w:rPr>
        <w:t>c</w:t>
      </w:r>
      <w:r w:rsidR="008D52E4">
        <w:rPr>
          <w:rFonts w:ascii="Times New Roman" w:hAnsi="Times New Roman" w:cs="Times New Roman"/>
          <w:bCs/>
          <w:iCs/>
          <w:sz w:val="24"/>
          <w:szCs w:val="24"/>
        </w:rPr>
        <w:t>ontinued assessment is needed to monitor policy reach, effectiveness</w:t>
      </w:r>
      <w:r w:rsidR="00877706">
        <w:rPr>
          <w:rFonts w:ascii="Times New Roman" w:hAnsi="Times New Roman" w:cs="Times New Roman"/>
          <w:bCs/>
          <w:iCs/>
          <w:sz w:val="24"/>
          <w:szCs w:val="24"/>
        </w:rPr>
        <w:t>, and potential for translation to CVD</w:t>
      </w:r>
      <w:r w:rsidR="00C432F1">
        <w:rPr>
          <w:rFonts w:ascii="Times New Roman" w:hAnsi="Times New Roman" w:cs="Times New Roman"/>
          <w:bCs/>
          <w:iCs/>
          <w:sz w:val="24"/>
          <w:szCs w:val="24"/>
        </w:rPr>
        <w:t>, hypertension, and other chronic conditions</w:t>
      </w:r>
      <w:r w:rsidR="007E5F02">
        <w:rPr>
          <w:rFonts w:ascii="Times New Roman" w:hAnsi="Times New Roman" w:cs="Times New Roman"/>
          <w:bCs/>
          <w:iCs/>
          <w:sz w:val="24"/>
          <w:szCs w:val="24"/>
        </w:rPr>
        <w:t>.</w:t>
      </w:r>
      <w:r w:rsidR="0057028B">
        <w:rPr>
          <w:rFonts w:ascii="Times New Roman" w:hAnsi="Times New Roman" w:cs="Times New Roman"/>
          <w:bCs/>
          <w:iCs/>
          <w:sz w:val="24"/>
          <w:szCs w:val="24"/>
        </w:rPr>
        <w:t xml:space="preserve"> </w:t>
      </w:r>
    </w:p>
    <w:p w14:paraId="3623CE2E" w14:textId="5B34B7FF" w:rsidR="00155A3F" w:rsidRPr="009D5742" w:rsidRDefault="00155A3F"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25E61">
        <w:rPr>
          <w:rFonts w:ascii="Times New Roman" w:hAnsi="Times New Roman" w:cs="Times New Roman"/>
          <w:iCs/>
          <w:sz w:val="24"/>
          <w:szCs w:val="24"/>
        </w:rPr>
        <w:t xml:space="preserve">The major strengths of </w:t>
      </w:r>
      <w:r w:rsidR="00585A5E">
        <w:rPr>
          <w:rFonts w:ascii="Times New Roman" w:hAnsi="Times New Roman" w:cs="Times New Roman"/>
          <w:iCs/>
          <w:sz w:val="24"/>
          <w:szCs w:val="24"/>
        </w:rPr>
        <w:t>this</w:t>
      </w:r>
      <w:r w:rsidR="00A25E61">
        <w:rPr>
          <w:rFonts w:ascii="Times New Roman" w:hAnsi="Times New Roman" w:cs="Times New Roman"/>
          <w:iCs/>
          <w:sz w:val="24"/>
          <w:szCs w:val="24"/>
        </w:rPr>
        <w:t xml:space="preserve"> study were the use of a large and nationally representative sample</w:t>
      </w:r>
      <w:r w:rsidR="005C0821">
        <w:rPr>
          <w:rFonts w:ascii="Times New Roman" w:hAnsi="Times New Roman" w:cs="Times New Roman"/>
          <w:iCs/>
          <w:sz w:val="24"/>
          <w:szCs w:val="24"/>
        </w:rPr>
        <w:t>, detailed adjustment for and identification of confounding variables, and</w:t>
      </w:r>
      <w:r w:rsidR="00A92006">
        <w:rPr>
          <w:rFonts w:ascii="Times New Roman" w:hAnsi="Times New Roman" w:cs="Times New Roman"/>
          <w:iCs/>
          <w:sz w:val="24"/>
          <w:szCs w:val="24"/>
        </w:rPr>
        <w:t xml:space="preserve"> thorough robustness checks </w:t>
      </w:r>
      <w:r w:rsidR="00A26659">
        <w:rPr>
          <w:rFonts w:ascii="Times New Roman" w:hAnsi="Times New Roman" w:cs="Times New Roman"/>
          <w:iCs/>
          <w:sz w:val="24"/>
          <w:szCs w:val="24"/>
        </w:rPr>
        <w:t xml:space="preserve">for </w:t>
      </w:r>
      <w:r w:rsidR="00B41CCD">
        <w:rPr>
          <w:rFonts w:ascii="Times New Roman" w:hAnsi="Times New Roman" w:cs="Times New Roman"/>
          <w:iCs/>
          <w:sz w:val="24"/>
          <w:szCs w:val="24"/>
        </w:rPr>
        <w:t>potential threats to internal validity.</w:t>
      </w:r>
      <w:r w:rsidR="00313E9C">
        <w:rPr>
          <w:rFonts w:ascii="Times New Roman" w:hAnsi="Times New Roman" w:cs="Times New Roman"/>
          <w:iCs/>
          <w:sz w:val="24"/>
          <w:szCs w:val="24"/>
        </w:rPr>
        <w:t xml:space="preserve"> </w:t>
      </w:r>
      <w:r w:rsidR="00172A90">
        <w:rPr>
          <w:rFonts w:ascii="Times New Roman" w:hAnsi="Times New Roman" w:cs="Times New Roman"/>
          <w:iCs/>
          <w:sz w:val="24"/>
          <w:szCs w:val="24"/>
        </w:rPr>
        <w:t xml:space="preserve">Given the nature of the sample, </w:t>
      </w:r>
      <w:r w:rsidR="002C5E6F">
        <w:rPr>
          <w:rFonts w:ascii="Times New Roman" w:hAnsi="Times New Roman" w:cs="Times New Roman"/>
          <w:iCs/>
          <w:sz w:val="24"/>
          <w:szCs w:val="24"/>
        </w:rPr>
        <w:t xml:space="preserve">I </w:t>
      </w:r>
      <w:r w:rsidR="00FE2E89">
        <w:rPr>
          <w:rFonts w:ascii="Times New Roman" w:hAnsi="Times New Roman" w:cs="Times New Roman"/>
          <w:iCs/>
          <w:sz w:val="24"/>
          <w:szCs w:val="24"/>
        </w:rPr>
        <w:t xml:space="preserve">was </w:t>
      </w:r>
      <w:r w:rsidR="00172A90">
        <w:rPr>
          <w:rFonts w:ascii="Times New Roman" w:hAnsi="Times New Roman" w:cs="Times New Roman"/>
          <w:iCs/>
          <w:sz w:val="24"/>
          <w:szCs w:val="24"/>
        </w:rPr>
        <w:t>also able to investigate consequences of CRN in</w:t>
      </w:r>
      <w:r w:rsidR="00403DB7">
        <w:rPr>
          <w:rFonts w:ascii="Times New Roman" w:hAnsi="Times New Roman" w:cs="Times New Roman"/>
          <w:iCs/>
          <w:sz w:val="24"/>
          <w:szCs w:val="24"/>
        </w:rPr>
        <w:t xml:space="preserve"> </w:t>
      </w:r>
      <w:r w:rsidR="00412A05">
        <w:rPr>
          <w:rFonts w:ascii="Times New Roman" w:hAnsi="Times New Roman" w:cs="Times New Roman"/>
          <w:iCs/>
          <w:sz w:val="24"/>
          <w:szCs w:val="24"/>
        </w:rPr>
        <w:t>adults with all ranges of health insurance,</w:t>
      </w:r>
      <w:r w:rsidR="004E29EE">
        <w:rPr>
          <w:rFonts w:ascii="Times New Roman" w:hAnsi="Times New Roman" w:cs="Times New Roman"/>
          <w:iCs/>
          <w:sz w:val="24"/>
          <w:szCs w:val="24"/>
        </w:rPr>
        <w:t xml:space="preserve"> </w:t>
      </w:r>
      <w:r w:rsidR="004E29EE">
        <w:rPr>
          <w:rFonts w:ascii="Times New Roman" w:hAnsi="Times New Roman" w:cs="Times New Roman"/>
          <w:iCs/>
          <w:sz w:val="24"/>
          <w:szCs w:val="24"/>
        </w:rPr>
        <w:lastRenderedPageBreak/>
        <w:t xml:space="preserve">including </w:t>
      </w:r>
      <w:r w:rsidR="00412A05">
        <w:rPr>
          <w:rFonts w:ascii="Times New Roman" w:hAnsi="Times New Roman" w:cs="Times New Roman"/>
          <w:iCs/>
          <w:sz w:val="24"/>
          <w:szCs w:val="24"/>
        </w:rPr>
        <w:t>those covered</w:t>
      </w:r>
      <w:r w:rsidR="00C259BA">
        <w:rPr>
          <w:rFonts w:ascii="Times New Roman" w:hAnsi="Times New Roman" w:cs="Times New Roman"/>
          <w:iCs/>
          <w:sz w:val="24"/>
          <w:szCs w:val="24"/>
        </w:rPr>
        <w:t xml:space="preserve"> through public and private</w:t>
      </w:r>
      <w:r w:rsidR="00154169">
        <w:rPr>
          <w:rFonts w:ascii="Times New Roman" w:hAnsi="Times New Roman" w:cs="Times New Roman"/>
          <w:iCs/>
          <w:sz w:val="24"/>
          <w:szCs w:val="24"/>
        </w:rPr>
        <w:t xml:space="preserve"> sources. </w:t>
      </w:r>
      <w:r w:rsidR="0045300C">
        <w:rPr>
          <w:rFonts w:ascii="Times New Roman" w:hAnsi="Times New Roman" w:cs="Times New Roman"/>
          <w:iCs/>
          <w:sz w:val="24"/>
          <w:szCs w:val="24"/>
        </w:rPr>
        <w:t>Previous</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analyses</w:t>
      </w:r>
      <w:r w:rsidR="00154169">
        <w:rPr>
          <w:rFonts w:ascii="Times New Roman" w:hAnsi="Times New Roman" w:cs="Times New Roman"/>
          <w:iCs/>
          <w:sz w:val="24"/>
          <w:szCs w:val="24"/>
        </w:rPr>
        <w:t xml:space="preserve"> </w:t>
      </w:r>
      <w:r w:rsidR="004B5662">
        <w:rPr>
          <w:rFonts w:ascii="Times New Roman" w:hAnsi="Times New Roman" w:cs="Times New Roman"/>
          <w:iCs/>
          <w:sz w:val="24"/>
          <w:szCs w:val="24"/>
        </w:rPr>
        <w:t xml:space="preserve">with </w:t>
      </w:r>
      <w:r w:rsidR="00F732BE">
        <w:rPr>
          <w:rFonts w:ascii="Times New Roman" w:hAnsi="Times New Roman" w:cs="Times New Roman"/>
          <w:iCs/>
          <w:sz w:val="24"/>
          <w:szCs w:val="24"/>
        </w:rPr>
        <w:t xml:space="preserve">comparable sample sizes to </w:t>
      </w:r>
      <w:r w:rsidR="009E6292">
        <w:rPr>
          <w:rFonts w:ascii="Times New Roman" w:hAnsi="Times New Roman" w:cs="Times New Roman"/>
          <w:iCs/>
          <w:sz w:val="24"/>
          <w:szCs w:val="24"/>
        </w:rPr>
        <w:t>this</w:t>
      </w:r>
      <w:r w:rsidR="00F732BE">
        <w:rPr>
          <w:rFonts w:ascii="Times New Roman" w:hAnsi="Times New Roman" w:cs="Times New Roman"/>
          <w:iCs/>
          <w:sz w:val="24"/>
          <w:szCs w:val="24"/>
        </w:rPr>
        <w:t xml:space="preserve"> study</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have been drawn limited to Medicare beneficiaries only</w:t>
      </w:r>
      <w:r w:rsidR="003B0D19">
        <w:rPr>
          <w:rFonts w:ascii="Times New Roman" w:hAnsi="Times New Roman" w:cs="Times New Roman"/>
          <w:iCs/>
          <w:sz w:val="24"/>
          <w:szCs w:val="24"/>
        </w:rPr>
        <w:t>,</w:t>
      </w:r>
      <w:r w:rsidR="00B22B75">
        <w:rPr>
          <w:rFonts w:ascii="Times New Roman" w:hAnsi="Times New Roman" w:cs="Times New Roman"/>
          <w:iCs/>
          <w:sz w:val="24"/>
          <w:szCs w:val="24"/>
        </w:rPr>
        <w:fldChar w:fldCharType="begin"/>
      </w:r>
      <w:r w:rsidR="00B364C6">
        <w:rPr>
          <w:rFonts w:ascii="Times New Roman" w:hAnsi="Times New Roman" w:cs="Times New Roman"/>
          <w:iCs/>
          <w:sz w:val="24"/>
          <w:szCs w:val="24"/>
        </w:rPr>
        <w:instrText xml:space="preserve"> ADDIN ZOTERO_ITEM CSL_CITATION {"citationID":"8aVWH6RI","properties":{"formattedCitation":"\\super 44\\uc0\\u8211{}46\\nosupersub{}","plainCitation":"44–46","dontUpdate":true,"noteIndex":0},"citationItems":[{"id":591,"uris":["http://zotero.org/users/5917738/items/BDFBFE9G"],"uri":["http://zotero.org/users/5917738/items/BDFBFE9G"],"itemData":{"id":591,"type":"article-journal","abstract":"&lt;h3&gt;Context&lt;/h3&gt;Cost-related medication nonadherence (CRN) has been a persistent problem for individuals who are elderly and disabled in the United States. The impact of Medicare prescription drug coverage (Part D) on CRN is unknown.&lt;h3&gt;Objective&lt;/h3&gt;To estimate changes in CRN and forgoing basic needs to pay for drugs following Part D implementation.&lt;h3&gt;Design, Setting, and Participants&lt;/h3&gt;In a population-level study design, changes in study outcomes between 2005 and 2006 before and after Medicare Part D implementation were compared with historical changes between 2004 and 2005. The community-dwelling sample of the nationally representative Medicare Current Beneficiary Survey (unweighted unique n = 24 234; response rate, 72.3%) was used, and logistic regression analyses were controlled for demographic characteristics, health status, and historical trends.&lt;h3&gt;Main Outcome Measures&lt;/h3&gt;Self-reports of CRN (skipping or reducing doses, not obtaining prescriptions) and spending less on basic needs to afford medicines.&lt;h3&gt;Results&lt;/h3&gt;The unadjusted, weighted prevalence of CRN was 15.2% in 2004, 14.1% in 2005, and 11.5% after Part D implementation in 2006. The prevalence of spending less on basic needs was 10.6% in 2004, 11.1% in 2005, and 7.6% in 2006. Adjusted analyses comparing 2006 with 2005 and controlling for historical changes (2005 vs 2004) demonstrated significant decreases in the odds of CRN (ratio of odds ratios [ORs], 0.85; 95% confidence interval [CI], 0.74-0.98; P = .03) and spending less on basic needs (ratio of ORs, 0.59; 95% CI, 0.48-0.72; P &amp;lt; .001). No significant changes in CRN were observed among beneficiaries with fair to poor health (ratio of ORs, 1.00; 95% CI, 0.82-1.21; P = .97), despite high baseline CRN prevalence for this group (22.2% in 2005) and significant decreases among beneficiaries with good to excellent health (ratio of ORs, 0.77; 95% CI, 0.63-0.95; P = .02). However, significant reductions in spending less on basic needs were observed in both groups (fair to poor health: ratio of ORs, 0.60; 95% CI, 0.47-0.75; P &amp;lt; .001; and good to excellent health: ratio of ORs, 0.57; 95% CI, 0.44-0.75; P &amp;lt; .001).&lt;h3&gt;Conclusions&lt;/h3&gt;In this survey population, there was evidence for a small but significant overall decrease in CRN and forgoing basic needs following Part D implementation. However, no net decrease in CRN after Part D was observed among the sickest beneficiaries, who continued to experience higher rates of CRN.","container-title":"JAMA","DOI":"10.1001/jama.299.16.1922","ISSN":"0098-7484","issue":"16","journalAbbreviation":"JAMA","language":"en","page":"1922-1928","source":"jamanetwork.com","title":"Cost-Related Medication Nonadherence and Spending on Basic Needs Following Implementation of Medicare Part D","volume":"299","author":[{"family":"Madden","given":"Jeanne M."},{"family":"Graves","given":"Amy J."},{"family":"Zhang","given":"Fang"},{"family":"Adams","given":"Alyce S."},{"family":"Briesacher","given":"Becky A."},{"family":"Ross-Degnan","given":"Dennis"},{"family":"Gurwitz","given":"Jerry H."},{"family":"Pierre-Jacques","given":"Marsha"},{"family":"Safran","given":"Dana Gelb"},{"family":"Adler","given":"Gerald S."},{"family":"Soumerai","given":"Stephen B."}],"issued":{"date-parts":[["2008",4,23]]}}},{"id":1181,"uris":["http://zotero.org/users/5917738/items/LGZ9PBLF"],"uri":["http://zotero.org/users/5917738/items/LGZ9PBLF"],"itemData":{"id":1181,"type":"article-journal","abstract":"BACKGROUND: Despite the proven efficacy of prescription regimens in reducing disease symptoms and preventing or minimizing complications, poor medication adherence remains a significant public health problem. Medicare beneficiaries have high rates of chronic illness and prescription medication use, making this population particularly vulnerable to nonadherence. Failure to fill prescribed medication is a key component of nonadherence. OBJECTIVES: To (1) determine the rates of self-reported failure to fill at least 1 prescription among a sample of Medicare beneficiaries in 2004, (2) identify the reasons for not filling prescribed medication, (3) examine the characteristics of Medicare beneficiaries who failed to fill their prescription(s), and (4) identify the types of medications that were not obtained. METHODS: The study is a secondary analysis of the 2004 Medicare Current Beneficiary Survey (MCBS), an ongoing national panel survey conducted by the Centers for Medicare and Medicaid Services (CMS). Medicare beneficiaries living in the community (N = 14,464) were asked: During the current year [2004], were there any medicines prescribed for you that you did not get (please include refills of earlier prescriptions as well as prescriptions that were written or phoned in by a doctor)? Those who responded yes to this question (n = 664) were asked to identify the specific medication(s) not obtained. Rates of failure to fill were compared by demographic and income categories and for respondents with versus without self-reported chronic conditions, identified by asking respondents if they had ever been told by a doctor that they had the condition. Weighted population estimates for nonadherence were calculated using Professional Software for Survey Data Analysis for Multi-stage Sample Designs (SUDAAN) to account for the MCBS multistage stratified cluster sampling process. Unweighted counts of the prescriptions not filled by therapeutic class were calculated using Statistical Analysis Software (SAS). RESULTS: In 2004, an estimated 1.6 million Medicare beneficiaries (4.4%) failed to fill or refill 1 or more prescriptions. The most common reasons cited for failure to fill were: thought it would cost too much (55.5%), followed by medicine not covered by insurance (20.2%), didn't think medicine was necessary for the condition (18.0%), and was afraid of medicine reactions/contraindications (11.8%). Rates of failure to fill were significantly higher among Medicare beneficiaries aged 18 to 64 years eligible through Social Security Disability Insurance (10.4%) than among beneficiaries aged 65 years or older (3.3%, P less than 0.001). Rates were slightly higher for women than for men (5.0 vs. 3.6%, P = 0.001), for nonwhite than for white respondents (5.5% vs. 4.2%, P = 0.010), and for dually eligible Medicaid beneficiaries than for those who did not have Medicaid coverage (6.3% vs. 4.0% P = 0.001). Failure-to-fill rates were significantly higher among beneficiaries with psychiatric conditions (8.0%, P less than 0.001); arthritis (5.2%, P less than 0.001); cardiovascular disease (5.2%, P = 0.003); and emphysema, asthma, or chronic obstructive pulmonary disease (6.6%, P less than 0.001) than among respondents who did not report those conditions, and the rate for respondents who reported no chronic conditions was 2.5%. Rates were higher for those with more self-reported chronic conditions (3.2%, 4.0%, 4.3%, and 5.9% for those with 1, 2, 3, and 4 or more conditions, respectively, P less than 0.001). Among the prescriptions not filled (993 prescriptions indentified by 664 respondents), central nervous system agents, including nonsteroidal anti-inflammatory drugs, were most frequently identified (23.6%, n = 234), followed by cardiovascular agents (18.3%, n = 182) and endocrine/metabolic agents (6.5%, n = 65). Of the reported unfilled prescriptions, 8.1% were for antihyperlipidemic agents, 5.4% were for antidepressant drugs, 4.6% were for antibiotics, and 29.9% were for unidentified therapy classes. CONCLUSION: Most Medicare beneficiaries fill their prescriptions, but some subpopulations are at significantly higher risk for nonadherence associated with unfilled prescriptions, including working-age beneficiaries, dual-eligible beneficiaries, and beneficiaries with multiple chronic conditions. Self-reported unfilled prescriptions included critical medications for treatment of acute and chronic disease, including antihyperlipidemic agents, antidepressants, and antibiotics.","container-title":"Journal of Managed Care Pharmacy","DOI":"10.18553/jmcp.2008.14.6.553","ISSN":"1083-4087","issue":"6","journalAbbreviation":"JMCP","page":"553-560","source":"jmcp.org (Atypon)","title":"Unfilled Prescriptions of Medicare Beneficiaries: Prevalence, Reasons, and Types of Medicines Prescribed","title-short":"Unfilled Prescriptions of Medicare Beneficiaries","volume":"14","author":[{"family":"Kennedy","given":"Jae"},{"family":"Tuleu","given":"Iulia"},{"family":"Mackay","given":"Katherine"}],"issued":{"date-parts":[["2008",7,1]]}}},{"id":1175,"uris":["http://zotero.org/users/5917738/items/WUPJ5MCH"],"uri":["http://zotero.org/users/5917738/items/WUPJ5MCH"],"itemData":{"id":1175,"type":"article-journal","abstract":"&lt;h3&gt;Importance&lt;/h3&gt;&lt;p&gt;Understanding factors that lead to nonadherence to glaucoma treatment is important to diminish glaucoma-related disability.&lt;/p&gt;&lt;h3&gt;Objectives&lt;/h3&gt;&lt;p&gt;To determine whether the implementation of the Medicare Part D prescription drug benefit affected rates of cost-related nonadherence and cost-reduction strategies in Medicare beneficiaries with and without glaucoma and to evaluate associated risk factors for such nonadherence.&lt;/p&gt;&lt;h3&gt;Design, Setting, and Participants&lt;/h3&gt;&lt;p&gt;Serial cross-sectional study using 2004 to 2009 Medicare Current Beneficiary Survey data linked with Medicare claims. Coding to extract data started in January 2014 and analyses were performed between September and November of 2014. Participants were all Medicare beneficiaries, including those with a glaucoma-related diagnosis in the year prior to the collection of the survey data, those with a nonglaucomatous ophthalmic diagnosis in the year prior to the collection of the survey data, and those without a recent eye care professional claim.&lt;/p&gt;&lt;h3&gt;Intervention&lt;/h3&gt;&lt;p&gt;Effect of the implementation of the Medicare Part D drug benefit.&lt;/p&gt;&lt;h3&gt;Main Outcomes and Measures&lt;/h3&gt;&lt;p&gt;The change in cost-related nonadherence and the change in cost-reduction strategies.&lt;/p&gt;&lt;h3&gt;Results&lt;/h3&gt;&lt;p&gt;Between 2004 and 2009, the number of Medicare beneficiaries with glaucoma who reported taking smaller doses and skipping doses owing to cost dropped from 9.4% and 8.2% to 2.7% (&lt;i&gt;P&lt;/i&gt; &amp;lt; .001) and 2.8%, respectively (&lt;i&gt;P&lt;/i&gt; = .001). However, reports of failure to obtain prescriptions owing to cost did not improve in the same period (3.4% in 2004 and 2.1% in 2009;&lt;i&gt;P&lt;/i&gt; = .12). After Part D, patients with glaucoma had a decrease in several cost-reduction strategies, namely price shopping (26.2%-15.2%;&lt;i&gt;P&lt;/i&gt; &amp;lt; .001), purchasing outside the United States (6.9%-1.3%;&lt;i&gt;P&lt;/i&gt; &amp;lt; .001), and spending less money to save for medications (8.0% to 3.5%;&lt;i&gt;P&lt;/i&gt; &amp;lt; .001). Using a multivariate analysis, the main independent risk factors common to all cost-related nonadherence measures were female sex, younger age, lower income (&amp;lt;$30 000), self-reported visual disability, and a smaller Lawton index.&lt;/p&gt;&lt;h3&gt;Conclusions and Relevance&lt;/h3&gt;&lt;p&gt;After the implementation of Part D, there was a decrease in the rate that beneficiaries with glaucoma reported engaging in cost-saving measures. Although there was a decline in the rate of several cost-related nonadherence behaviors, patients reporting failure to fill prescriptions owing to cost remained stable. This suggests that efforts to improve cost-related nonadherence should focus both on financial hardship and medical therapy prioritization, particularly in certain high-risk sociodemographic groups.&lt;/p&gt;","container-title":"JAMA Ophthalmology","DOI":"10.1001/jamaophthalmol.2015.1671","ISSN":"2168-6165","issue":"9","journalAbbreviation":"JAMA Ophthalmol","language":"en","page":"985-996","source":"jamanetwork.com","title":"Cost-Related Medication Nonadherence and Cost-Saving Behaviors Among Patients With Glaucoma Before and After the Implementation of Medicare Part D","volume":"133","author":[{"family":"Blumberg","given":"Dana M."},{"family":"Prager","given":"Alisa J."},{"family":"Liebmann","given":"Jeffrey M."},{"family":"Cioffi","given":"George A."},{"family":"Moraes","given":"C. Gustavo De"}],"issued":{"date-parts":[["2015",9,1]]}}}],"schema":"https://github.com/citation-style-language/schema/raw/master/csl-citation.json"} </w:instrText>
      </w:r>
      <w:r w:rsidR="00B22B75">
        <w:rPr>
          <w:rFonts w:ascii="Times New Roman" w:hAnsi="Times New Roman" w:cs="Times New Roman"/>
          <w:iCs/>
          <w:sz w:val="24"/>
          <w:szCs w:val="24"/>
        </w:rPr>
        <w:fldChar w:fldCharType="separate"/>
      </w:r>
      <w:r w:rsidR="00544652" w:rsidRPr="00544652">
        <w:rPr>
          <w:rFonts w:ascii="Times New Roman" w:hAnsi="Times New Roman" w:cs="Times New Roman"/>
          <w:sz w:val="24"/>
          <w:szCs w:val="24"/>
          <w:vertAlign w:val="superscript"/>
        </w:rPr>
        <w:t>44–46</w:t>
      </w:r>
      <w:r w:rsidR="00B22B75">
        <w:rPr>
          <w:rFonts w:ascii="Times New Roman" w:hAnsi="Times New Roman" w:cs="Times New Roman"/>
          <w:iCs/>
          <w:sz w:val="24"/>
          <w:szCs w:val="24"/>
        </w:rPr>
        <w:fldChar w:fldCharType="end"/>
      </w:r>
      <w:r w:rsidR="009B14B7">
        <w:rPr>
          <w:rFonts w:ascii="Times New Roman" w:hAnsi="Times New Roman" w:cs="Times New Roman"/>
          <w:iCs/>
          <w:sz w:val="24"/>
          <w:szCs w:val="24"/>
        </w:rPr>
        <w:t xml:space="preserve"> who </w:t>
      </w:r>
      <w:r w:rsidR="00A87CA8">
        <w:rPr>
          <w:rFonts w:ascii="Times New Roman" w:hAnsi="Times New Roman" w:cs="Times New Roman"/>
          <w:iCs/>
          <w:sz w:val="24"/>
          <w:szCs w:val="24"/>
        </w:rPr>
        <w:t xml:space="preserve">are not representative of </w:t>
      </w:r>
      <w:r w:rsidR="00EC1CC4">
        <w:rPr>
          <w:rFonts w:ascii="Times New Roman" w:hAnsi="Times New Roman" w:cs="Times New Roman"/>
          <w:iCs/>
          <w:sz w:val="24"/>
          <w:szCs w:val="24"/>
        </w:rPr>
        <w:t xml:space="preserve">the younger population and may differ in medication adherence on other dimensions, such as positive medication </w:t>
      </w:r>
      <w:r w:rsidR="008A13E8">
        <w:rPr>
          <w:rFonts w:ascii="Times New Roman" w:hAnsi="Times New Roman" w:cs="Times New Roman"/>
          <w:iCs/>
          <w:sz w:val="24"/>
          <w:szCs w:val="24"/>
        </w:rPr>
        <w:t>values and beliefs.</w:t>
      </w:r>
      <w:r w:rsidR="008A13E8">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{"citationID":"zC6RkIRh","properties":{"formattedCitation":"\\super 75,76\\nosupersub{}","plainCitation":"75,76","noteIndex":0},"citationItems":[{"id":704,"uris":["http://zotero.org/users/5917738/items/AVM6FAXK"],"uri":["http://zotero.org/users/5917738/items/AVM6FAXK"],"itemData":{"id":704,"type":"article-journal","abstract":"Objective\nAlthough multiple noncost factors likely influence a patient’s propensity to forego treatment in the face of cost pressures, little is known about how patients’ sociodemographic characteristics, physical and behavioral health comorbidities, and prescription regimens influence cost-related nonadherence (CRN) to medications. We sought to determine both financial and nonfinancial factors associated with CRN in a nationally representative sample of older adults.\n\nMethods\nWe used a conceptual model developed by Piette and colleagues that describes financial and nonfinancial factors that could increase someone’s risk of CRN, including income, comorbidities, and medication regimen complexity. We used data from the 2004 wave of the Health and Retirement Study and the 2005 HRS Prescription Drug Study to examine the influence of factors within each of these domains on measures of CRN (including not filling, stopping, or skipping doses) in a nationally representative sample of Americans age 65+ in 2005.\n\nResults\nOf the 3071 respondents who met study criteria, 20% reported some form of CRN in 2005. As in prior studies, indicators of financial stress such as higher out-of-pocket payments for medications and lower net worth were significantly associated with CRN in multivariable analyses. Controlling for these economic pressures, relatively younger respondents (ages 65–74) and depressive symptoms were consistent independent risk factors for CRN.\n\nConclusions\nNoncost factors influenced patients’ propensity to forego treatment even in the context of cost concerns. Future research encompassing clinician and health system factors should identify additional determinants of CRN beyond patients’ cost pressures.","container-title":"Value in health : the journal of the International Society for Pharmacoeconomics and Outcomes Research","DOI":"10.1111/j.1524-4733.2009.00679.x","ISSN":"1098-3015","issue":"4","journalAbbreviation":"Value Health","note":"PMID: 20070641\nPMCID: PMC3013351","page":"338-345","source":"PubMed Central","title":"Factors Influencing Cost-Related Nonadherence to Medication in Older Adults: A Conceptually Based Approach","title-short":"Factors Influencing Cost-Related Nonadherence to Medication in Older Adults","volume":"13","author":[{"family":"Zivin","given":"Kara"},{"family":"Ratliff","given":"Scott"},{"family":"Heisler","given":"Michele M."},{"family":"Langa","given":"Kenneth M."},{"family":"Piette","given":"John D."}],"issued":{"date-parts":[["2010"]]}}},{"id":622,"uris":["http://zotero.org/users/5917738/items/FC2E43R8"],"uri":["http://zotero.org/users/5917738/items/FC2E43R8"],"itemData":{"id":622,"type":"article-journal","abstract":"Background and objective\nSome patients continue taking their medication as prescribed despite serious financial pressures, while others with the ability to pay forego treatment due to cost concerns. The primary goal of this study was to explore how patients’ beliefs about the necessity of treatment and treatment side effects, influence cost-related non-adherence (CRN).\n\nMethods\n27,302 participants in the Harris Interactive Chronic Illness Panel completed an internet survey. The current study focused on two subsamples representing: (a) the most economically-vulnerable survey respondents (ie, individuals with household incomes of US$25,000 per year or less and monthly out-of-pocket medication costs of at least US$60, n = 1321); and (b) respondents who were the most likely to have the financial resources to pay for medications (ie, those with incomes of US$125,000 or more and monthly medication costs of less than US$60.00, n = 1195). Multivariate models were constructed for each group to determine the independent impact on CRN of perceived need for medications and side-effect concerns. Increased risk for CRN associated with depression and asthma diagnoses also was examined.\n\nResults\nTwenty-one percent of economically vulnerable respondents reported continuing to take their medication as prescribed despite serious cost pressures, while 14% of high-income respondents reported CRN despite apparently manageable out-of-pocket costs. Both low perceived need for medications and concerns about side-effects affected CRN risk in low-income and high-income groups. Within groups of both low-income and high-income respondents, depression and asthma significantly increased patients’ odds of reporting CRN.\n\nConclusion\nBeyond objective financial measures, CRN is influenced by patient beliefs, which can influence the perceived value of prescription drugs. Addressing these beliefs, as well as the unique adherence concerns of patients with depression and asthma, could decrease CRN rates even if cost pressures themselves cannot be reduced.","container-title":"Patient preference and adherence","DOI":"10.2147/PPA.S23111","ISSN":"1177-889X","journalAbbreviation":"Patient Prefer Adherence","note":"PMID: 21949602\nPMCID: PMC3176178","page":"389-396","source":"PubMed Central","title":"Beliefs that influence cost-related medication non-adherence among the “haves” and “have nots” with chronic diseases","volume":"5","author":[{"family":"Piette","given":"John D"},{"family":"Beard","given":"Ashley"},{"family":"Rosland","given":"Ann Marie"},{"family":"McHorney","given":"Colleen A"}],"issued":{"date-parts":[["2011",8,3]]}}}],"schema":"https://github.com/citation-style-language/schema/raw/master/csl-citation.json"} </w:instrText>
      </w:r>
      <w:r w:rsidR="008A13E8">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75,76</w:t>
      </w:r>
      <w:r w:rsidR="008A13E8">
        <w:rPr>
          <w:rFonts w:ascii="Times New Roman" w:hAnsi="Times New Roman" w:cs="Times New Roman"/>
          <w:iCs/>
          <w:sz w:val="24"/>
          <w:szCs w:val="24"/>
        </w:rPr>
        <w:fldChar w:fldCharType="end"/>
      </w:r>
    </w:p>
    <w:p w14:paraId="17EAAD8B" w14:textId="267EABFD" w:rsidR="00924422" w:rsidRDefault="00C403F2" w:rsidP="00924422">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Still, </w:t>
      </w:r>
      <w:r w:rsidR="00FE2E89">
        <w:rPr>
          <w:rFonts w:ascii="Times New Roman" w:hAnsi="Times New Roman" w:cs="Times New Roman"/>
          <w:bCs/>
          <w:iCs/>
          <w:sz w:val="24"/>
          <w:szCs w:val="24"/>
        </w:rPr>
        <w:t xml:space="preserve">my </w:t>
      </w:r>
      <w:r>
        <w:rPr>
          <w:rFonts w:ascii="Times New Roman" w:hAnsi="Times New Roman" w:cs="Times New Roman"/>
          <w:bCs/>
          <w:iCs/>
          <w:sz w:val="24"/>
          <w:szCs w:val="24"/>
        </w:rPr>
        <w:t xml:space="preserve">findings should be interpreted </w:t>
      </w:r>
      <w:r w:rsidR="00F82583">
        <w:rPr>
          <w:rFonts w:ascii="Times New Roman" w:hAnsi="Times New Roman" w:cs="Times New Roman"/>
          <w:bCs/>
          <w:iCs/>
          <w:sz w:val="24"/>
          <w:szCs w:val="24"/>
        </w:rPr>
        <w:t>in light of</w:t>
      </w:r>
      <w:r w:rsidR="0021330C">
        <w:rPr>
          <w:rFonts w:ascii="Times New Roman" w:hAnsi="Times New Roman" w:cs="Times New Roman"/>
          <w:bCs/>
          <w:iCs/>
          <w:sz w:val="24"/>
          <w:szCs w:val="24"/>
        </w:rPr>
        <w:t xml:space="preserve"> </w:t>
      </w:r>
      <w:r w:rsidR="00A25E61">
        <w:rPr>
          <w:rFonts w:ascii="Times New Roman" w:hAnsi="Times New Roman" w:cs="Times New Roman"/>
          <w:bCs/>
          <w:iCs/>
          <w:sz w:val="24"/>
          <w:szCs w:val="24"/>
        </w:rPr>
        <w:t xml:space="preserve">several </w:t>
      </w:r>
      <w:r w:rsidR="00790ACF">
        <w:rPr>
          <w:rFonts w:ascii="Times New Roman" w:hAnsi="Times New Roman" w:cs="Times New Roman"/>
          <w:bCs/>
          <w:iCs/>
          <w:sz w:val="24"/>
          <w:szCs w:val="24"/>
        </w:rPr>
        <w:t>limitations.</w:t>
      </w:r>
      <w:r w:rsidR="000635FE">
        <w:rPr>
          <w:rFonts w:ascii="Times New Roman" w:hAnsi="Times New Roman" w:cs="Times New Roman"/>
          <w:bCs/>
          <w:iCs/>
          <w:sz w:val="24"/>
          <w:szCs w:val="24"/>
        </w:rPr>
        <w:t xml:space="preserve"> First,</w:t>
      </w:r>
      <w:r w:rsidR="008D05D0">
        <w:rPr>
          <w:rFonts w:ascii="Times New Roman" w:hAnsi="Times New Roman" w:cs="Times New Roman"/>
          <w:bCs/>
          <w:iCs/>
          <w:sz w:val="24"/>
          <w:szCs w:val="24"/>
        </w:rPr>
        <w:t xml:space="preserve"> because interview</w:t>
      </w:r>
      <w:r w:rsidR="00AE1EBF">
        <w:rPr>
          <w:rFonts w:ascii="Times New Roman" w:hAnsi="Times New Roman" w:cs="Times New Roman"/>
          <w:bCs/>
          <w:iCs/>
          <w:sz w:val="24"/>
          <w:szCs w:val="24"/>
        </w:rPr>
        <w:t>s were conducted cross-sectionally,</w:t>
      </w:r>
      <w:r w:rsidR="000635FE">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AE1EBF">
        <w:rPr>
          <w:rFonts w:ascii="Times New Roman" w:hAnsi="Times New Roman" w:cs="Times New Roman"/>
          <w:bCs/>
          <w:iCs/>
          <w:sz w:val="24"/>
          <w:szCs w:val="24"/>
        </w:rPr>
        <w:t>only</w:t>
      </w:r>
      <w:r w:rsidR="0005007A">
        <w:rPr>
          <w:rFonts w:ascii="Times New Roman" w:hAnsi="Times New Roman" w:cs="Times New Roman"/>
          <w:bCs/>
          <w:iCs/>
          <w:sz w:val="24"/>
          <w:szCs w:val="24"/>
        </w:rPr>
        <w:t xml:space="preserve"> had access to a single </w:t>
      </w:r>
      <w:r w:rsidR="000466C3">
        <w:rPr>
          <w:rFonts w:ascii="Times New Roman" w:hAnsi="Times New Roman" w:cs="Times New Roman"/>
          <w:bCs/>
          <w:iCs/>
          <w:sz w:val="24"/>
          <w:szCs w:val="24"/>
        </w:rPr>
        <w:t>assessment</w:t>
      </w:r>
      <w:r w:rsidR="0005007A">
        <w:rPr>
          <w:rFonts w:ascii="Times New Roman" w:hAnsi="Times New Roman" w:cs="Times New Roman"/>
          <w:bCs/>
          <w:iCs/>
          <w:sz w:val="24"/>
          <w:szCs w:val="24"/>
        </w:rPr>
        <w:t xml:space="preserve"> of CR</w:t>
      </w:r>
      <w:r w:rsidR="000466C3">
        <w:rPr>
          <w:rFonts w:ascii="Times New Roman" w:hAnsi="Times New Roman" w:cs="Times New Roman"/>
          <w:bCs/>
          <w:iCs/>
          <w:sz w:val="24"/>
          <w:szCs w:val="24"/>
        </w:rPr>
        <w:t xml:space="preserve">N, leading to probable immortal time bias in </w:t>
      </w:r>
      <w:r w:rsidR="009E6292">
        <w:rPr>
          <w:rFonts w:ascii="Times New Roman" w:hAnsi="Times New Roman" w:cs="Times New Roman"/>
          <w:bCs/>
          <w:iCs/>
          <w:sz w:val="24"/>
          <w:szCs w:val="24"/>
        </w:rPr>
        <w:t>the</w:t>
      </w:r>
      <w:r w:rsidR="000466C3">
        <w:rPr>
          <w:rFonts w:ascii="Times New Roman" w:hAnsi="Times New Roman" w:cs="Times New Roman"/>
          <w:bCs/>
          <w:iCs/>
          <w:sz w:val="24"/>
          <w:szCs w:val="24"/>
        </w:rPr>
        <w:t xml:space="preserve"> measure of the exposure</w:t>
      </w:r>
      <w:r w:rsidR="0096256F">
        <w:rPr>
          <w:rFonts w:ascii="Times New Roman" w:hAnsi="Times New Roman" w:cs="Times New Roman"/>
          <w:bCs/>
          <w:iCs/>
          <w:sz w:val="24"/>
          <w:szCs w:val="24"/>
        </w:rPr>
        <w:t>.</w:t>
      </w:r>
      <w:r w:rsidR="002A56E1">
        <w:rPr>
          <w:rFonts w:ascii="Times New Roman" w:hAnsi="Times New Roman" w:cs="Times New Roman"/>
          <w:bCs/>
          <w:iCs/>
          <w:sz w:val="24"/>
          <w:szCs w:val="24"/>
        </w:rPr>
        <w:t xml:space="preserve"> </w:t>
      </w:r>
      <w:r w:rsidR="005874E1">
        <w:rPr>
          <w:rFonts w:ascii="Times New Roman" w:hAnsi="Times New Roman" w:cs="Times New Roman"/>
          <w:bCs/>
          <w:iCs/>
          <w:sz w:val="24"/>
          <w:szCs w:val="24"/>
        </w:rPr>
        <w:t xml:space="preserve">Participants who did not report CRN </w:t>
      </w:r>
      <w:r w:rsidR="007E06BB">
        <w:rPr>
          <w:rFonts w:ascii="Times New Roman" w:hAnsi="Times New Roman" w:cs="Times New Roman"/>
          <w:bCs/>
          <w:iCs/>
          <w:sz w:val="24"/>
          <w:szCs w:val="24"/>
        </w:rPr>
        <w:t xml:space="preserve">at baseline may have </w:t>
      </w:r>
      <w:r w:rsidR="00B337EE">
        <w:rPr>
          <w:rFonts w:ascii="Times New Roman" w:hAnsi="Times New Roman" w:cs="Times New Roman"/>
          <w:bCs/>
          <w:iCs/>
          <w:sz w:val="24"/>
          <w:szCs w:val="24"/>
        </w:rPr>
        <w:t xml:space="preserve">experienced CRN </w:t>
      </w:r>
      <w:r w:rsidR="00124E07">
        <w:rPr>
          <w:rFonts w:ascii="Times New Roman" w:hAnsi="Times New Roman" w:cs="Times New Roman"/>
          <w:bCs/>
          <w:iCs/>
          <w:sz w:val="24"/>
          <w:szCs w:val="24"/>
        </w:rPr>
        <w:t xml:space="preserve">later in the follow-up period; conversely, those reporting CRN </w:t>
      </w:r>
      <w:r w:rsidR="00911B38">
        <w:rPr>
          <w:rFonts w:ascii="Times New Roman" w:hAnsi="Times New Roman" w:cs="Times New Roman"/>
          <w:bCs/>
          <w:iCs/>
          <w:sz w:val="24"/>
          <w:szCs w:val="24"/>
        </w:rPr>
        <w:t xml:space="preserve">at baseline did not necessarily </w:t>
      </w:r>
      <w:r w:rsidR="00A03E97">
        <w:rPr>
          <w:rFonts w:ascii="Times New Roman" w:hAnsi="Times New Roman" w:cs="Times New Roman"/>
          <w:bCs/>
          <w:iCs/>
          <w:sz w:val="24"/>
          <w:szCs w:val="24"/>
        </w:rPr>
        <w:t>have difficulty</w:t>
      </w:r>
      <w:r w:rsidR="00E31F58">
        <w:rPr>
          <w:rFonts w:ascii="Times New Roman" w:hAnsi="Times New Roman" w:cs="Times New Roman"/>
          <w:bCs/>
          <w:iCs/>
          <w:sz w:val="24"/>
          <w:szCs w:val="24"/>
        </w:rPr>
        <w:t xml:space="preserve"> afford</w:t>
      </w:r>
      <w:r w:rsidR="00A03E97">
        <w:rPr>
          <w:rFonts w:ascii="Times New Roman" w:hAnsi="Times New Roman" w:cs="Times New Roman"/>
          <w:bCs/>
          <w:iCs/>
          <w:sz w:val="24"/>
          <w:szCs w:val="24"/>
        </w:rPr>
        <w:t>ing</w:t>
      </w:r>
      <w:r w:rsidR="00E31F58">
        <w:rPr>
          <w:rFonts w:ascii="Times New Roman" w:hAnsi="Times New Roman" w:cs="Times New Roman"/>
          <w:bCs/>
          <w:iCs/>
          <w:sz w:val="24"/>
          <w:szCs w:val="24"/>
        </w:rPr>
        <w:t xml:space="preserve"> medication</w:t>
      </w:r>
      <w:r w:rsidR="00354D3E">
        <w:rPr>
          <w:rFonts w:ascii="Times New Roman" w:hAnsi="Times New Roman" w:cs="Times New Roman"/>
          <w:bCs/>
          <w:iCs/>
          <w:sz w:val="24"/>
          <w:szCs w:val="24"/>
        </w:rPr>
        <w:t xml:space="preserve"> throughout follow-up</w:t>
      </w:r>
      <w:r w:rsidR="002F61A2">
        <w:rPr>
          <w:rFonts w:ascii="Times New Roman" w:hAnsi="Times New Roman" w:cs="Times New Roman"/>
          <w:bCs/>
          <w:iCs/>
          <w:sz w:val="24"/>
          <w:szCs w:val="24"/>
        </w:rPr>
        <w:t>.</w:t>
      </w:r>
      <w:r w:rsidR="00A13DB6">
        <w:rPr>
          <w:rFonts w:ascii="Times New Roman" w:hAnsi="Times New Roman" w:cs="Times New Roman"/>
          <w:bCs/>
          <w:iCs/>
          <w:sz w:val="24"/>
          <w:szCs w:val="24"/>
        </w:rPr>
        <w:t xml:space="preserve"> </w:t>
      </w:r>
      <w:r w:rsidR="00B94233">
        <w:rPr>
          <w:rFonts w:ascii="Times New Roman" w:hAnsi="Times New Roman" w:cs="Times New Roman"/>
          <w:bCs/>
          <w:iCs/>
          <w:sz w:val="24"/>
          <w:szCs w:val="24"/>
        </w:rPr>
        <w:t xml:space="preserve">Second, </w:t>
      </w:r>
      <w:r w:rsidR="003806B1">
        <w:rPr>
          <w:rFonts w:ascii="Times New Roman" w:hAnsi="Times New Roman" w:cs="Times New Roman"/>
          <w:bCs/>
          <w:iCs/>
          <w:sz w:val="24"/>
          <w:szCs w:val="24"/>
        </w:rPr>
        <w:t xml:space="preserve">as discussed previously, </w:t>
      </w:r>
      <w:r w:rsidR="00B94233">
        <w:rPr>
          <w:rFonts w:ascii="Times New Roman" w:hAnsi="Times New Roman" w:cs="Times New Roman"/>
          <w:bCs/>
          <w:iCs/>
          <w:sz w:val="24"/>
          <w:szCs w:val="24"/>
        </w:rPr>
        <w:t xml:space="preserve">due to the </w:t>
      </w:r>
      <w:r w:rsidR="00CF2E3A">
        <w:rPr>
          <w:rFonts w:ascii="Times New Roman" w:hAnsi="Times New Roman" w:cs="Times New Roman"/>
          <w:bCs/>
          <w:iCs/>
          <w:sz w:val="24"/>
          <w:szCs w:val="24"/>
        </w:rPr>
        <w:t>chang</w:t>
      </w:r>
      <w:r w:rsidR="002E15BD">
        <w:rPr>
          <w:rFonts w:ascii="Times New Roman" w:hAnsi="Times New Roman" w:cs="Times New Roman"/>
          <w:bCs/>
          <w:iCs/>
          <w:sz w:val="24"/>
          <w:szCs w:val="24"/>
        </w:rPr>
        <w:t xml:space="preserve">e </w:t>
      </w:r>
      <w:r w:rsidR="00B94233">
        <w:rPr>
          <w:rFonts w:ascii="Times New Roman" w:hAnsi="Times New Roman" w:cs="Times New Roman"/>
          <w:bCs/>
          <w:iCs/>
          <w:sz w:val="24"/>
          <w:szCs w:val="24"/>
        </w:rPr>
        <w:t xml:space="preserve">in </w:t>
      </w:r>
      <w:r w:rsidR="00E743A0">
        <w:rPr>
          <w:rFonts w:ascii="Times New Roman" w:hAnsi="Times New Roman" w:cs="Times New Roman"/>
          <w:bCs/>
          <w:iCs/>
          <w:sz w:val="24"/>
          <w:szCs w:val="24"/>
        </w:rPr>
        <w:t>survey questions</w:t>
      </w:r>
      <w:r w:rsidR="005D6A0C">
        <w:rPr>
          <w:rFonts w:ascii="Times New Roman" w:hAnsi="Times New Roman" w:cs="Times New Roman"/>
          <w:bCs/>
          <w:iCs/>
          <w:sz w:val="24"/>
          <w:szCs w:val="24"/>
        </w:rPr>
        <w:t xml:space="preserve"> about CRN behaviors</w:t>
      </w:r>
      <w:r w:rsidR="008B59A6">
        <w:rPr>
          <w:rFonts w:ascii="Times New Roman" w:hAnsi="Times New Roman" w:cs="Times New Roman"/>
          <w:bCs/>
          <w:iCs/>
          <w:sz w:val="24"/>
          <w:szCs w:val="24"/>
        </w:rPr>
        <w:t xml:space="preserve"> </w:t>
      </w:r>
      <w:r w:rsidR="006A5601">
        <w:rPr>
          <w:rFonts w:ascii="Times New Roman" w:hAnsi="Times New Roman" w:cs="Times New Roman"/>
          <w:bCs/>
          <w:iCs/>
          <w:sz w:val="24"/>
          <w:szCs w:val="24"/>
        </w:rPr>
        <w:t>beginning in 2011</w:t>
      </w:r>
      <w:r w:rsidR="008B59A6">
        <w:rPr>
          <w:rFonts w:ascii="Times New Roman" w:hAnsi="Times New Roman" w:cs="Times New Roman"/>
          <w:bCs/>
          <w:iCs/>
          <w:sz w:val="24"/>
          <w:szCs w:val="24"/>
        </w:rPr>
        <w:t>,</w:t>
      </w:r>
      <w:r w:rsidR="00B867F7">
        <w:rPr>
          <w:rFonts w:ascii="Times New Roman" w:hAnsi="Times New Roman" w:cs="Times New Roman"/>
          <w:bCs/>
          <w:iCs/>
          <w:sz w:val="24"/>
          <w:szCs w:val="24"/>
        </w:rPr>
        <w:t xml:space="preserve"> </w:t>
      </w:r>
      <w:r w:rsidR="00CF2E3A">
        <w:rPr>
          <w:rFonts w:ascii="Times New Roman" w:hAnsi="Times New Roman" w:cs="Times New Roman"/>
          <w:bCs/>
          <w:iCs/>
          <w:sz w:val="24"/>
          <w:szCs w:val="24"/>
        </w:rPr>
        <w:t>o</w:t>
      </w:r>
      <w:r w:rsidR="007644C4">
        <w:rPr>
          <w:rFonts w:ascii="Times New Roman" w:hAnsi="Times New Roman" w:cs="Times New Roman"/>
          <w:bCs/>
          <w:iCs/>
          <w:sz w:val="24"/>
          <w:szCs w:val="24"/>
        </w:rPr>
        <w:t>bser</w:t>
      </w:r>
      <w:r w:rsidR="00A76082">
        <w:rPr>
          <w:rFonts w:ascii="Times New Roman" w:hAnsi="Times New Roman" w:cs="Times New Roman"/>
          <w:bCs/>
          <w:iCs/>
          <w:sz w:val="24"/>
          <w:szCs w:val="24"/>
        </w:rPr>
        <w:t xml:space="preserve">ved differences in </w:t>
      </w:r>
      <w:r w:rsidR="001E32E6">
        <w:rPr>
          <w:rFonts w:ascii="Times New Roman" w:hAnsi="Times New Roman" w:cs="Times New Roman"/>
          <w:bCs/>
          <w:iCs/>
          <w:sz w:val="24"/>
          <w:szCs w:val="24"/>
        </w:rPr>
        <w:t xml:space="preserve">hazard ratios </w:t>
      </w:r>
      <w:r w:rsidR="000554C7">
        <w:rPr>
          <w:rFonts w:ascii="Times New Roman" w:hAnsi="Times New Roman" w:cs="Times New Roman"/>
          <w:bCs/>
          <w:iCs/>
          <w:sz w:val="24"/>
          <w:szCs w:val="24"/>
        </w:rPr>
        <w:t>by year of interview</w:t>
      </w:r>
      <w:r w:rsidR="00A76082">
        <w:rPr>
          <w:rFonts w:ascii="Times New Roman" w:hAnsi="Times New Roman" w:cs="Times New Roman"/>
          <w:bCs/>
          <w:iCs/>
          <w:sz w:val="24"/>
          <w:szCs w:val="24"/>
        </w:rPr>
        <w:t xml:space="preserve"> should be interpreted with caution</w:t>
      </w:r>
      <w:r w:rsidR="00B05E82">
        <w:rPr>
          <w:rFonts w:ascii="Times New Roman" w:hAnsi="Times New Roman" w:cs="Times New Roman"/>
          <w:bCs/>
          <w:iCs/>
          <w:sz w:val="24"/>
          <w:szCs w:val="24"/>
        </w:rPr>
        <w:t>.</w:t>
      </w:r>
      <w:r w:rsidR="00BB09EA">
        <w:rPr>
          <w:rFonts w:ascii="Times New Roman" w:hAnsi="Times New Roman" w:cs="Times New Roman"/>
          <w:bCs/>
          <w:iCs/>
          <w:sz w:val="24"/>
          <w:szCs w:val="24"/>
        </w:rPr>
        <w:t xml:space="preserve"> Inconsistencies </w:t>
      </w:r>
      <w:r w:rsidR="00B74A2D">
        <w:rPr>
          <w:rFonts w:ascii="Times New Roman" w:hAnsi="Times New Roman" w:cs="Times New Roman"/>
          <w:bCs/>
          <w:iCs/>
          <w:sz w:val="24"/>
          <w:szCs w:val="24"/>
        </w:rPr>
        <w:t>could</w:t>
      </w:r>
      <w:r w:rsidR="000554C7">
        <w:rPr>
          <w:rFonts w:ascii="Times New Roman" w:hAnsi="Times New Roman" w:cs="Times New Roman"/>
          <w:bCs/>
          <w:iCs/>
          <w:sz w:val="24"/>
          <w:szCs w:val="24"/>
        </w:rPr>
        <w:t xml:space="preserve"> be an artifact of measurement erro</w:t>
      </w:r>
      <w:r w:rsidR="00BB09EA">
        <w:rPr>
          <w:rFonts w:ascii="Times New Roman" w:hAnsi="Times New Roman" w:cs="Times New Roman"/>
          <w:bCs/>
          <w:iCs/>
          <w:sz w:val="24"/>
          <w:szCs w:val="24"/>
        </w:rPr>
        <w:t xml:space="preserve">r, </w:t>
      </w:r>
      <w:r w:rsidR="008F3D66">
        <w:rPr>
          <w:rFonts w:ascii="Times New Roman" w:hAnsi="Times New Roman" w:cs="Times New Roman"/>
          <w:bCs/>
          <w:iCs/>
          <w:sz w:val="24"/>
          <w:szCs w:val="24"/>
        </w:rPr>
        <w:t>shorter follow-up times, or</w:t>
      </w:r>
      <w:r w:rsidR="007B7708">
        <w:rPr>
          <w:rFonts w:ascii="Times New Roman" w:hAnsi="Times New Roman" w:cs="Times New Roman"/>
          <w:bCs/>
          <w:iCs/>
          <w:sz w:val="24"/>
          <w:szCs w:val="24"/>
        </w:rPr>
        <w:t xml:space="preserve"> period effects such as the passage of the Affordable Care Act</w:t>
      </w:r>
      <w:r w:rsidR="006B2737">
        <w:rPr>
          <w:rFonts w:ascii="Times New Roman" w:hAnsi="Times New Roman" w:cs="Times New Roman"/>
          <w:bCs/>
          <w:iCs/>
          <w:sz w:val="24"/>
          <w:szCs w:val="24"/>
        </w:rPr>
        <w:t>.</w:t>
      </w:r>
      <w:r w:rsidR="00A73935">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{"citationID":"9OfaKWks","properties":{"formattedCitation":"\\super 77,78\\nosupersub{}","plainCitation":"77,78","noteIndex":0},"citationItems":[{"id":1144,"uris":["http://zotero.org/users/5917738/items/FN97AW2V"],"uri":["http://zotero.org/users/5917738/items/FN97AW2V"],"itemData":{"id":1144,"type":"article-journal","container-title":"The American journal of managed care","ISSN":"1088-0224","issue":"4","page":"308—316","title":"Effects of coverage gap reform on adherence to diabetes medications","volume":"19","author":[{"family":"Zeng","given":"Feng"},{"family":"Patel","given":"Bimal V"},{"family":"Brunetti","given":"Louis"}],"issued":{"date-parts":[["2013",4]]}}},{"id":1145,"uris":["http://zotero.org/users/5917738/items/MLZ5WEXA"],"uri":["http://zotero.org/users/5917738/items/MLZ5WEXA"],"itemData":{"id":1145,"type":"article-journal","abstract":"A growing body of literature describes how the Affordable Care Act (ACA) has expanded health insurance coverage. What is less well known is how these coverage gains have affected populations that are at risk for high health spending. To investigate this issue, we used prescription transaction data for a panel of 6.7 million prescription drug users to compare changes in coverage, prescription fills, plan spending, and out-of-pocket spending before and after the implementation of the ACA’s coverage expansion. We found a 30 percent reduction in the proportion of this population that was uninsured in 2014 compared to 2013. Uninsured people who gained private coverage filled, on average, 28 percent more prescriptions and had 29 percent less out-of-pocket spending per prescription in 2014 compared to 2013. Those who gained Medicaid coverage had larger increases in fill rates (79 percent) and reductions in out-of-pocket spending per prescription (58 percent). People who gained coverage who had at least one of the chronic conditions detailed in our study saw larger decreases in out-of-pocket spending compared to those who did not have at least one condition. These results demonstrate that by reducing financial barriers to care, the ACA has increased treatment rates while reducing out-of-pocket spending, particularly for people with chronic conditions.","container-title":"Health Affairs","DOI":"10.1377/hlthaff.2016.0091","ISSN":"0278-2715","issue":"9","journalAbbreviation":"Health Affairs","page":"1725-1733","source":"healthaffairs.org (Atypon)","title":"Gaining Coverage Through Medicaid Or Private Insurance Increased Prescription Use And Lowered Out-Of-Pocket Spending","volume":"35","author":[{"family":"Mulcahy","given":"Andrew W."},{"family":"Eibner","given":"Christine"},{"family":"Finegold","given":"Kenneth"}],"issued":{"date-parts":[["2016",9,1]]}}}],"schema":"https://github.com/citation-style-language/schema/raw/master/csl-citation.json"} </w:instrText>
      </w:r>
      <w:r w:rsidR="00A73935">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77,78</w:t>
      </w:r>
      <w:r w:rsidR="00A73935">
        <w:rPr>
          <w:rFonts w:ascii="Times New Roman" w:hAnsi="Times New Roman" w:cs="Times New Roman"/>
          <w:bCs/>
          <w:iCs/>
          <w:sz w:val="24"/>
          <w:szCs w:val="24"/>
        </w:rPr>
        <w:fldChar w:fldCharType="end"/>
      </w:r>
      <w:r w:rsidR="002A1A75">
        <w:rPr>
          <w:rFonts w:ascii="Times New Roman" w:hAnsi="Times New Roman" w:cs="Times New Roman"/>
          <w:bCs/>
          <w:iCs/>
          <w:sz w:val="24"/>
          <w:szCs w:val="24"/>
        </w:rPr>
        <w:t xml:space="preserve"> </w:t>
      </w:r>
      <w:r w:rsidR="00691F84">
        <w:rPr>
          <w:rFonts w:ascii="Times New Roman" w:hAnsi="Times New Roman" w:cs="Times New Roman"/>
          <w:bCs/>
          <w:iCs/>
          <w:sz w:val="24"/>
          <w:szCs w:val="24"/>
        </w:rPr>
        <w:t xml:space="preserve">Similarly, </w:t>
      </w:r>
      <w:r w:rsidR="009E6292">
        <w:rPr>
          <w:rFonts w:ascii="Times New Roman" w:hAnsi="Times New Roman" w:cs="Times New Roman"/>
          <w:bCs/>
          <w:iCs/>
          <w:sz w:val="24"/>
          <w:szCs w:val="24"/>
        </w:rPr>
        <w:t xml:space="preserve">the </w:t>
      </w:r>
      <w:r w:rsidR="00E945C5">
        <w:rPr>
          <w:rFonts w:ascii="Times New Roman" w:hAnsi="Times New Roman" w:cs="Times New Roman"/>
          <w:bCs/>
          <w:iCs/>
          <w:sz w:val="24"/>
          <w:szCs w:val="24"/>
        </w:rPr>
        <w:t>measurement of CRN was non-spec</w:t>
      </w:r>
      <w:r w:rsidR="007D4062">
        <w:rPr>
          <w:rFonts w:ascii="Times New Roman" w:hAnsi="Times New Roman" w:cs="Times New Roman"/>
          <w:bCs/>
          <w:iCs/>
          <w:sz w:val="24"/>
          <w:szCs w:val="24"/>
        </w:rPr>
        <w:t xml:space="preserve">ific and may not have captured </w:t>
      </w:r>
      <w:r w:rsidR="00932453">
        <w:rPr>
          <w:rFonts w:ascii="Times New Roman" w:hAnsi="Times New Roman" w:cs="Times New Roman"/>
          <w:bCs/>
          <w:iCs/>
          <w:sz w:val="24"/>
          <w:szCs w:val="24"/>
        </w:rPr>
        <w:t>important variations</w:t>
      </w:r>
      <w:r w:rsidR="007F7B8D">
        <w:rPr>
          <w:rFonts w:ascii="Times New Roman" w:hAnsi="Times New Roman" w:cs="Times New Roman"/>
          <w:bCs/>
          <w:iCs/>
          <w:sz w:val="24"/>
          <w:szCs w:val="24"/>
        </w:rPr>
        <w:t xml:space="preserve"> in CRN </w:t>
      </w:r>
      <w:r w:rsidR="005D73F1">
        <w:rPr>
          <w:rFonts w:ascii="Times New Roman" w:hAnsi="Times New Roman" w:cs="Times New Roman"/>
          <w:bCs/>
          <w:iCs/>
          <w:sz w:val="24"/>
          <w:szCs w:val="24"/>
        </w:rPr>
        <w:t xml:space="preserve">behavior </w:t>
      </w:r>
      <w:r w:rsidR="007F7B8D">
        <w:rPr>
          <w:rFonts w:ascii="Times New Roman" w:hAnsi="Times New Roman" w:cs="Times New Roman"/>
          <w:bCs/>
          <w:iCs/>
          <w:sz w:val="24"/>
          <w:szCs w:val="24"/>
        </w:rPr>
        <w:t xml:space="preserve">with </w:t>
      </w:r>
      <w:r w:rsidR="00DC316E">
        <w:rPr>
          <w:rFonts w:ascii="Times New Roman" w:hAnsi="Times New Roman" w:cs="Times New Roman"/>
          <w:bCs/>
          <w:iCs/>
          <w:sz w:val="24"/>
          <w:szCs w:val="24"/>
        </w:rPr>
        <w:t>consequences</w:t>
      </w:r>
      <w:r w:rsidR="00350B4E">
        <w:rPr>
          <w:rFonts w:ascii="Times New Roman" w:hAnsi="Times New Roman" w:cs="Times New Roman"/>
          <w:bCs/>
          <w:iCs/>
          <w:sz w:val="24"/>
          <w:szCs w:val="24"/>
        </w:rPr>
        <w:t xml:space="preserve"> for</w:t>
      </w:r>
      <w:r w:rsidR="005D73F1">
        <w:rPr>
          <w:rFonts w:ascii="Times New Roman" w:hAnsi="Times New Roman" w:cs="Times New Roman"/>
          <w:bCs/>
          <w:iCs/>
          <w:sz w:val="24"/>
          <w:szCs w:val="24"/>
        </w:rPr>
        <w:t xml:space="preserve"> mortality</w:t>
      </w:r>
      <w:r w:rsidR="00932453">
        <w:rPr>
          <w:rFonts w:ascii="Times New Roman" w:hAnsi="Times New Roman" w:cs="Times New Roman"/>
          <w:bCs/>
          <w:iCs/>
          <w:sz w:val="24"/>
          <w:szCs w:val="24"/>
        </w:rPr>
        <w:t xml:space="preserve">. </w:t>
      </w:r>
      <w:r w:rsidR="005D73F1">
        <w:rPr>
          <w:rFonts w:ascii="Times New Roman" w:hAnsi="Times New Roman" w:cs="Times New Roman"/>
          <w:bCs/>
          <w:iCs/>
          <w:sz w:val="24"/>
          <w:szCs w:val="24"/>
        </w:rPr>
        <w:t xml:space="preserve">For instance, </w:t>
      </w:r>
      <w:r w:rsidR="00DC316E">
        <w:rPr>
          <w:rFonts w:ascii="Times New Roman" w:hAnsi="Times New Roman" w:cs="Times New Roman"/>
          <w:bCs/>
          <w:iCs/>
          <w:sz w:val="24"/>
          <w:szCs w:val="24"/>
        </w:rPr>
        <w:t>respondents</w:t>
      </w:r>
      <w:r w:rsidR="005B78FC">
        <w:rPr>
          <w:rFonts w:ascii="Times New Roman" w:hAnsi="Times New Roman" w:cs="Times New Roman"/>
          <w:bCs/>
          <w:iCs/>
          <w:sz w:val="24"/>
          <w:szCs w:val="24"/>
        </w:rPr>
        <w:t xml:space="preserve"> were also not asked about specific medications</w:t>
      </w:r>
      <w:r w:rsidR="00691F84">
        <w:rPr>
          <w:rFonts w:ascii="Times New Roman" w:hAnsi="Times New Roman" w:cs="Times New Roman"/>
          <w:bCs/>
          <w:iCs/>
          <w:sz w:val="24"/>
          <w:szCs w:val="24"/>
        </w:rPr>
        <w:t xml:space="preserve"> </w:t>
      </w:r>
      <w:r w:rsidR="00350B4E">
        <w:rPr>
          <w:rFonts w:ascii="Times New Roman" w:hAnsi="Times New Roman" w:cs="Times New Roman"/>
          <w:bCs/>
          <w:iCs/>
          <w:sz w:val="24"/>
          <w:szCs w:val="24"/>
        </w:rPr>
        <w:t xml:space="preserve">that </w:t>
      </w:r>
      <w:r w:rsidR="00691F84">
        <w:rPr>
          <w:rFonts w:ascii="Times New Roman" w:hAnsi="Times New Roman" w:cs="Times New Roman"/>
          <w:bCs/>
          <w:iCs/>
          <w:sz w:val="24"/>
          <w:szCs w:val="24"/>
        </w:rPr>
        <w:t>they restricted or could not afford</w:t>
      </w:r>
      <w:r w:rsidR="00842D64">
        <w:rPr>
          <w:rFonts w:ascii="Times New Roman" w:hAnsi="Times New Roman" w:cs="Times New Roman"/>
          <w:bCs/>
          <w:iCs/>
          <w:sz w:val="24"/>
          <w:szCs w:val="24"/>
        </w:rPr>
        <w:t>, so it is possible that individuals reporting CRN</w:t>
      </w:r>
      <w:r w:rsidR="00756C3A">
        <w:rPr>
          <w:rFonts w:ascii="Times New Roman" w:hAnsi="Times New Roman" w:cs="Times New Roman"/>
          <w:bCs/>
          <w:iCs/>
          <w:sz w:val="24"/>
          <w:szCs w:val="24"/>
        </w:rPr>
        <w:t xml:space="preserve"> were adherent to </w:t>
      </w:r>
      <w:r w:rsidR="007E75D7">
        <w:rPr>
          <w:rFonts w:ascii="Times New Roman" w:hAnsi="Times New Roman" w:cs="Times New Roman"/>
          <w:bCs/>
          <w:iCs/>
          <w:sz w:val="24"/>
          <w:szCs w:val="24"/>
        </w:rPr>
        <w:t>crucial medications (e.g. insulin</w:t>
      </w:r>
      <w:r w:rsidR="00CE1E68">
        <w:rPr>
          <w:rFonts w:ascii="Times New Roman" w:hAnsi="Times New Roman" w:cs="Times New Roman"/>
          <w:bCs/>
          <w:iCs/>
          <w:sz w:val="24"/>
          <w:szCs w:val="24"/>
        </w:rPr>
        <w:t>, statins)</w:t>
      </w:r>
      <w:r w:rsidR="00F73553">
        <w:rPr>
          <w:rFonts w:ascii="Times New Roman" w:hAnsi="Times New Roman" w:cs="Times New Roman"/>
          <w:bCs/>
          <w:iCs/>
          <w:sz w:val="24"/>
          <w:szCs w:val="24"/>
        </w:rPr>
        <w:t xml:space="preserve"> and </w:t>
      </w:r>
      <w:r w:rsidR="005C3195">
        <w:rPr>
          <w:rFonts w:ascii="Times New Roman" w:hAnsi="Times New Roman" w:cs="Times New Roman"/>
          <w:bCs/>
          <w:iCs/>
          <w:sz w:val="24"/>
          <w:szCs w:val="24"/>
        </w:rPr>
        <w:t xml:space="preserve">non-adherent to </w:t>
      </w:r>
      <w:r w:rsidR="008C2F78">
        <w:rPr>
          <w:rFonts w:ascii="Times New Roman" w:hAnsi="Times New Roman" w:cs="Times New Roman"/>
          <w:bCs/>
          <w:iCs/>
          <w:sz w:val="24"/>
          <w:szCs w:val="24"/>
        </w:rPr>
        <w:t>others</w:t>
      </w:r>
      <w:r w:rsidR="005B78FC">
        <w:rPr>
          <w:rFonts w:ascii="Times New Roman" w:hAnsi="Times New Roman" w:cs="Times New Roman"/>
          <w:bCs/>
          <w:iCs/>
          <w:sz w:val="24"/>
          <w:szCs w:val="24"/>
        </w:rPr>
        <w:t>.</w:t>
      </w:r>
      <w:r w:rsidR="008F30CC">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{"citationID":"KCkErHdm","properties":{"formattedCitation":"\\super 79\\nosupersub{}","plainCitation":"79","noteIndex":0},"citationItems":[{"id":1153,"uris":["http://zotero.org/users/5917738/items/UDSQJZZ8"],"uri":["http://zotero.org/users/5917738/items/UDSQJZZ8"],"itemData":{"id":1153,"type":"article-journal","abstract":"OBJECTIVE — In the face of ﬁnancial constraints, diabetic patients may forgo prescribed medications, causing negative health effects. This study examined how cost and noncost factors are associated with patterns of cost-related nonadherence to medications (CRN). RESEARCH DESIGN AND METHODS — This was a cross-sectional survey of patients using medications for both diabetes and chronic pain (n ϭ 245). Patients reported their income, out-of-pocket medication costs, education level, depressive symptoms, and medication-related beliefs and whether they cut back because of cost on 1) both diabetes and pain medications, 2) diabetes medications only, 3) pain medications only, or 4) neither. Multinomial logistic regression was used to model patients’ adjusted odds ratios (AORs) of falling into these four possible categories.\nRESULTS — Of the patients, 9% cut back on medications for both conditions, 13% cut back on diabetes medications alone, and 9% cut back on pain medications alone. Income Ͻ20,000 USD (AOR ϭ 5.7, P ϭ 0.008) and monthly medication costs Ͼ50 USD (AOR ϭ 3.9, P ϭ 0.02) increased patients’ odds of CRN for both conditions versus neither. Low-income patients also were more likely to selectively forgo pain medications (AOR ϭ 9.1, P ϭ 0.001) but not diabetes medications (AOR ϭ 2.1, P ϭ 0.12). More depressive symptoms (AOR ϭ 1.6, P ϭ 0.006) and negative medication-related beliefs (AOR ϭ 1.7, P ϭ 0.02) increased patients’ odds of cutting back selectively on medications for diabetes but not pain.\nCONCLUSIONS — Patients who forgo medications for both diabetes and chronic pain appear to be inﬂuenced primarily by economic pressures, whereas patients who cut back selectively on their diabetes treatments are inﬂuenced by their mood and medication beliefs. Our ﬁndings point toward more targeted strategies to assist diabetic patients who experience CRN.","container-title":"Diabetes Care","DOI":"10.2337/dc09-1059","ISSN":"0149-5992, 1935-5548","issue":"12","journalAbbreviation":"Diabetes Care","language":"en","page":"2143-2148","source":"DOI.org (Crossref)","title":"Cost-Related Nonadherence to Medications Among Patients With Diabetes and Chronic Pain: Factors beyond finances","title-short":"Cost-Related Nonadherence to Medications Among Patients With Diabetes and Chronic Pain","volume":"32","author":[{"family":"Kurlander","given":"J. E."},{"family":"Kerr","given":"E. A."},{"family":"Krein","given":"S."},{"family":"Heisler","given":"M."},{"family":"Piette","given":"J. D."}],"issued":{"date-parts":[["2009",12,1]]}}}],"schema":"https://github.com/citation-style-language/schema/raw/master/csl-citation.json"} </w:instrText>
      </w:r>
      <w:r w:rsidR="008F30CC">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79</w:t>
      </w:r>
      <w:r w:rsidR="008F30CC">
        <w:rPr>
          <w:rFonts w:ascii="Times New Roman" w:hAnsi="Times New Roman" w:cs="Times New Roman"/>
          <w:bCs/>
          <w:iCs/>
          <w:sz w:val="24"/>
          <w:szCs w:val="24"/>
        </w:rPr>
        <w:fldChar w:fldCharType="end"/>
      </w:r>
      <w:r w:rsidR="00597B35">
        <w:rPr>
          <w:rFonts w:ascii="Times New Roman" w:hAnsi="Times New Roman" w:cs="Times New Roman"/>
          <w:bCs/>
          <w:iCs/>
          <w:sz w:val="24"/>
          <w:szCs w:val="24"/>
        </w:rPr>
        <w:t xml:space="preserve"> However, </w:t>
      </w:r>
      <w:r w:rsidR="00594826">
        <w:rPr>
          <w:rFonts w:ascii="Times New Roman" w:hAnsi="Times New Roman" w:cs="Times New Roman"/>
          <w:bCs/>
          <w:iCs/>
          <w:sz w:val="24"/>
          <w:szCs w:val="24"/>
        </w:rPr>
        <w:t>lack of specificity in CRN measurement would likely bias results toward the null, as</w:t>
      </w:r>
      <w:r w:rsidR="00662D08">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662D08">
        <w:rPr>
          <w:rFonts w:ascii="Times New Roman" w:hAnsi="Times New Roman" w:cs="Times New Roman"/>
          <w:bCs/>
          <w:iCs/>
          <w:sz w:val="24"/>
          <w:szCs w:val="24"/>
        </w:rPr>
        <w:t>expect that</w:t>
      </w:r>
      <w:r w:rsidR="00A74F99">
        <w:rPr>
          <w:rFonts w:ascii="Times New Roman" w:hAnsi="Times New Roman" w:cs="Times New Roman"/>
          <w:bCs/>
          <w:iCs/>
          <w:sz w:val="24"/>
          <w:szCs w:val="24"/>
        </w:rPr>
        <w:t xml:space="preserve"> individuals with </w:t>
      </w:r>
      <w:r w:rsidR="00BD5AE9">
        <w:rPr>
          <w:rFonts w:ascii="Times New Roman" w:hAnsi="Times New Roman" w:cs="Times New Roman"/>
          <w:bCs/>
          <w:iCs/>
          <w:sz w:val="24"/>
          <w:szCs w:val="24"/>
        </w:rPr>
        <w:t xml:space="preserve">CRN to less </w:t>
      </w:r>
      <w:r w:rsidR="00177C30">
        <w:rPr>
          <w:rFonts w:ascii="Times New Roman" w:hAnsi="Times New Roman" w:cs="Times New Roman"/>
          <w:bCs/>
          <w:iCs/>
          <w:sz w:val="24"/>
          <w:szCs w:val="24"/>
        </w:rPr>
        <w:t>critical</w:t>
      </w:r>
      <w:r w:rsidR="00662D08">
        <w:rPr>
          <w:rFonts w:ascii="Times New Roman" w:hAnsi="Times New Roman" w:cs="Times New Roman"/>
          <w:bCs/>
          <w:iCs/>
          <w:sz w:val="24"/>
          <w:szCs w:val="24"/>
        </w:rPr>
        <w:t xml:space="preserve"> medications </w:t>
      </w:r>
      <w:r w:rsidR="00177C30">
        <w:rPr>
          <w:rFonts w:ascii="Times New Roman" w:hAnsi="Times New Roman" w:cs="Times New Roman"/>
          <w:bCs/>
          <w:iCs/>
          <w:sz w:val="24"/>
          <w:szCs w:val="24"/>
        </w:rPr>
        <w:t xml:space="preserve">would have better health </w:t>
      </w:r>
      <w:r w:rsidR="00540A11">
        <w:rPr>
          <w:rFonts w:ascii="Times New Roman" w:hAnsi="Times New Roman" w:cs="Times New Roman"/>
          <w:bCs/>
          <w:iCs/>
          <w:sz w:val="24"/>
          <w:szCs w:val="24"/>
        </w:rPr>
        <w:t>outcomes than those who were nonadherent to essenti</w:t>
      </w:r>
      <w:r w:rsidR="001200BC">
        <w:rPr>
          <w:rFonts w:ascii="Times New Roman" w:hAnsi="Times New Roman" w:cs="Times New Roman"/>
          <w:bCs/>
          <w:iCs/>
          <w:sz w:val="24"/>
          <w:szCs w:val="24"/>
        </w:rPr>
        <w:t>al</w:t>
      </w:r>
      <w:r w:rsidR="00E40D0D">
        <w:rPr>
          <w:rFonts w:ascii="Times New Roman" w:hAnsi="Times New Roman" w:cs="Times New Roman"/>
          <w:bCs/>
          <w:iCs/>
          <w:sz w:val="24"/>
          <w:szCs w:val="24"/>
        </w:rPr>
        <w:t xml:space="preserve"> prescriptions</w:t>
      </w:r>
      <w:r w:rsidR="00540A11">
        <w:rPr>
          <w:rFonts w:ascii="Times New Roman" w:hAnsi="Times New Roman" w:cs="Times New Roman"/>
          <w:bCs/>
          <w:iCs/>
          <w:sz w:val="24"/>
          <w:szCs w:val="24"/>
        </w:rPr>
        <w:t>.</w:t>
      </w:r>
      <w:r w:rsidR="008D58D2">
        <w:rPr>
          <w:rFonts w:ascii="Times New Roman" w:hAnsi="Times New Roman" w:cs="Times New Roman"/>
          <w:bCs/>
          <w:iCs/>
          <w:sz w:val="24"/>
          <w:szCs w:val="24"/>
        </w:rPr>
        <w:t xml:space="preserve"> </w:t>
      </w:r>
      <w:r w:rsidR="00047C5E">
        <w:rPr>
          <w:rFonts w:ascii="Times New Roman" w:hAnsi="Times New Roman" w:cs="Times New Roman"/>
          <w:bCs/>
          <w:iCs/>
          <w:sz w:val="24"/>
          <w:szCs w:val="24"/>
        </w:rPr>
        <w:t>Third</w:t>
      </w:r>
      <w:r w:rsidR="00E01D00">
        <w:rPr>
          <w:rFonts w:ascii="Times New Roman" w:hAnsi="Times New Roman" w:cs="Times New Roman"/>
          <w:bCs/>
          <w:iCs/>
          <w:sz w:val="24"/>
          <w:szCs w:val="24"/>
        </w:rPr>
        <w:t>,</w:t>
      </w:r>
      <w:r w:rsidR="008D58D2">
        <w:rPr>
          <w:rFonts w:ascii="Times New Roman" w:hAnsi="Times New Roman" w:cs="Times New Roman"/>
          <w:bCs/>
          <w:iCs/>
          <w:sz w:val="24"/>
          <w:szCs w:val="24"/>
        </w:rPr>
        <w:t xml:space="preserve"> althou</w:t>
      </w:r>
      <w:r w:rsidR="00376300">
        <w:rPr>
          <w:rFonts w:ascii="Times New Roman" w:hAnsi="Times New Roman" w:cs="Times New Roman"/>
          <w:bCs/>
          <w:iCs/>
          <w:sz w:val="24"/>
          <w:szCs w:val="24"/>
        </w:rPr>
        <w:t xml:space="preserve">gh </w:t>
      </w:r>
      <w:r w:rsidR="00230367">
        <w:rPr>
          <w:rFonts w:ascii="Times New Roman" w:hAnsi="Times New Roman" w:cs="Times New Roman"/>
          <w:bCs/>
          <w:iCs/>
          <w:sz w:val="24"/>
          <w:szCs w:val="24"/>
        </w:rPr>
        <w:t xml:space="preserve">the number of </w:t>
      </w:r>
      <w:r w:rsidR="006E08B4">
        <w:rPr>
          <w:rFonts w:ascii="Times New Roman" w:hAnsi="Times New Roman" w:cs="Times New Roman"/>
          <w:bCs/>
          <w:iCs/>
          <w:sz w:val="24"/>
          <w:szCs w:val="24"/>
        </w:rPr>
        <w:t xml:space="preserve">individuals </w:t>
      </w:r>
      <w:r w:rsidR="00230367">
        <w:rPr>
          <w:rFonts w:ascii="Times New Roman" w:hAnsi="Times New Roman" w:cs="Times New Roman"/>
          <w:bCs/>
          <w:iCs/>
          <w:sz w:val="24"/>
          <w:szCs w:val="24"/>
        </w:rPr>
        <w:t xml:space="preserve">with improbable death dates was low and </w:t>
      </w:r>
      <w:r w:rsidR="002C5E6F">
        <w:rPr>
          <w:rFonts w:ascii="Times New Roman" w:hAnsi="Times New Roman" w:cs="Times New Roman"/>
          <w:bCs/>
          <w:iCs/>
          <w:sz w:val="24"/>
          <w:szCs w:val="24"/>
        </w:rPr>
        <w:t xml:space="preserve">I </w:t>
      </w:r>
      <w:r w:rsidR="0033754F">
        <w:rPr>
          <w:rFonts w:ascii="Times New Roman" w:hAnsi="Times New Roman" w:cs="Times New Roman"/>
          <w:bCs/>
          <w:iCs/>
          <w:sz w:val="24"/>
          <w:szCs w:val="24"/>
        </w:rPr>
        <w:t xml:space="preserve">excluded all </w:t>
      </w:r>
      <w:r w:rsidR="00230367">
        <w:rPr>
          <w:rFonts w:ascii="Times New Roman" w:hAnsi="Times New Roman" w:cs="Times New Roman"/>
          <w:bCs/>
          <w:iCs/>
          <w:sz w:val="24"/>
          <w:szCs w:val="24"/>
        </w:rPr>
        <w:t>such</w:t>
      </w:r>
      <w:r w:rsidR="006E08B4">
        <w:rPr>
          <w:rFonts w:ascii="Times New Roman" w:hAnsi="Times New Roman" w:cs="Times New Roman"/>
          <w:bCs/>
          <w:iCs/>
          <w:sz w:val="24"/>
          <w:szCs w:val="24"/>
        </w:rPr>
        <w:t xml:space="preserve"> cases</w:t>
      </w:r>
      <w:r w:rsidR="00287522">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287522">
        <w:rPr>
          <w:rFonts w:ascii="Times New Roman" w:hAnsi="Times New Roman" w:cs="Times New Roman"/>
          <w:bCs/>
          <w:iCs/>
          <w:sz w:val="24"/>
          <w:szCs w:val="24"/>
        </w:rPr>
        <w:t xml:space="preserve">acknowledge that the existence of cases with erroneous (negative) lengths of follow-up time in this study sample likely reduced the internal validity of </w:t>
      </w:r>
      <w:r w:rsidR="00287522">
        <w:rPr>
          <w:rFonts w:ascii="Times New Roman" w:hAnsi="Times New Roman" w:cs="Times New Roman"/>
          <w:bCs/>
          <w:iCs/>
          <w:sz w:val="24"/>
          <w:szCs w:val="24"/>
        </w:rPr>
        <w:lastRenderedPageBreak/>
        <w:t xml:space="preserve">mortality analyses. </w:t>
      </w:r>
      <w:r w:rsidR="00575DE2">
        <w:rPr>
          <w:rFonts w:ascii="Times New Roman" w:hAnsi="Times New Roman" w:cs="Times New Roman"/>
          <w:bCs/>
          <w:iCs/>
          <w:sz w:val="24"/>
          <w:szCs w:val="24"/>
        </w:rPr>
        <w:t>Nonetheless,</w:t>
      </w:r>
      <w:r w:rsidR="00FB1E6F">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FB1E6F">
        <w:rPr>
          <w:rFonts w:ascii="Times New Roman" w:hAnsi="Times New Roman" w:cs="Times New Roman"/>
          <w:bCs/>
          <w:iCs/>
          <w:sz w:val="24"/>
          <w:szCs w:val="24"/>
        </w:rPr>
        <w:t>note that</w:t>
      </w:r>
      <w:r w:rsidR="0027607D">
        <w:rPr>
          <w:rFonts w:ascii="Times New Roman" w:hAnsi="Times New Roman" w:cs="Times New Roman"/>
          <w:bCs/>
          <w:iCs/>
          <w:sz w:val="24"/>
          <w:szCs w:val="24"/>
        </w:rPr>
        <w:t>, one,</w:t>
      </w:r>
      <w:r w:rsidR="00575DE2">
        <w:rPr>
          <w:rFonts w:ascii="Times New Roman" w:hAnsi="Times New Roman" w:cs="Times New Roman"/>
          <w:bCs/>
          <w:iCs/>
          <w:sz w:val="24"/>
          <w:szCs w:val="24"/>
        </w:rPr>
        <w:t xml:space="preserve"> the </w:t>
      </w:r>
      <w:r w:rsidR="00287522">
        <w:rPr>
          <w:rFonts w:ascii="Times New Roman" w:hAnsi="Times New Roman" w:cs="Times New Roman"/>
          <w:bCs/>
          <w:iCs/>
          <w:sz w:val="24"/>
          <w:szCs w:val="24"/>
        </w:rPr>
        <w:t>N</w:t>
      </w:r>
      <w:r w:rsidR="00FA7881">
        <w:rPr>
          <w:rFonts w:ascii="Times New Roman" w:hAnsi="Times New Roman" w:cs="Times New Roman"/>
          <w:bCs/>
          <w:iCs/>
          <w:sz w:val="24"/>
          <w:szCs w:val="24"/>
        </w:rPr>
        <w:t xml:space="preserve">ational Death Index </w:t>
      </w:r>
      <w:r w:rsidR="00AB2421">
        <w:rPr>
          <w:rFonts w:ascii="Times New Roman" w:hAnsi="Times New Roman" w:cs="Times New Roman"/>
          <w:bCs/>
          <w:iCs/>
          <w:sz w:val="24"/>
          <w:szCs w:val="24"/>
        </w:rPr>
        <w:t>is commonly used</w:t>
      </w:r>
      <w:r w:rsidR="00575DE2">
        <w:rPr>
          <w:rFonts w:ascii="Times New Roman" w:hAnsi="Times New Roman" w:cs="Times New Roman"/>
          <w:bCs/>
          <w:iCs/>
          <w:sz w:val="24"/>
          <w:szCs w:val="24"/>
        </w:rPr>
        <w:t xml:space="preserve"> </w:t>
      </w:r>
      <w:r w:rsidR="002B047A">
        <w:rPr>
          <w:rFonts w:ascii="Times New Roman" w:hAnsi="Times New Roman" w:cs="Times New Roman"/>
          <w:bCs/>
          <w:iCs/>
          <w:sz w:val="24"/>
          <w:szCs w:val="24"/>
        </w:rPr>
        <w:t>in</w:t>
      </w:r>
      <w:r w:rsidR="00230367">
        <w:rPr>
          <w:rFonts w:ascii="Times New Roman" w:hAnsi="Times New Roman" w:cs="Times New Roman"/>
          <w:bCs/>
          <w:iCs/>
          <w:sz w:val="24"/>
          <w:szCs w:val="24"/>
        </w:rPr>
        <w:t xml:space="preserve"> studies of mortality</w:t>
      </w:r>
      <w:r w:rsidR="00AB2421">
        <w:rPr>
          <w:rFonts w:ascii="Times New Roman" w:hAnsi="Times New Roman" w:cs="Times New Roman"/>
          <w:bCs/>
          <w:iCs/>
          <w:sz w:val="24"/>
          <w:szCs w:val="24"/>
        </w:rPr>
        <w:t xml:space="preserve"> and </w:t>
      </w:r>
      <w:r w:rsidR="00FA7881">
        <w:rPr>
          <w:rFonts w:ascii="Times New Roman" w:hAnsi="Times New Roman" w:cs="Times New Roman"/>
          <w:bCs/>
          <w:iCs/>
          <w:sz w:val="24"/>
          <w:szCs w:val="24"/>
        </w:rPr>
        <w:t xml:space="preserve">has been shown to </w:t>
      </w:r>
      <w:r w:rsidR="00DC4521">
        <w:rPr>
          <w:rFonts w:ascii="Times New Roman" w:hAnsi="Times New Roman" w:cs="Times New Roman"/>
          <w:bCs/>
          <w:iCs/>
          <w:sz w:val="24"/>
          <w:szCs w:val="24"/>
        </w:rPr>
        <w:t xml:space="preserve">have </w:t>
      </w:r>
      <w:r w:rsidR="00AB2421">
        <w:rPr>
          <w:rFonts w:ascii="Times New Roman" w:hAnsi="Times New Roman" w:cs="Times New Roman"/>
          <w:bCs/>
          <w:iCs/>
          <w:sz w:val="24"/>
          <w:szCs w:val="24"/>
        </w:rPr>
        <w:t>high</w:t>
      </w:r>
      <w:r w:rsidR="00DC4521">
        <w:rPr>
          <w:rFonts w:ascii="Times New Roman" w:hAnsi="Times New Roman" w:cs="Times New Roman"/>
          <w:bCs/>
          <w:iCs/>
          <w:sz w:val="24"/>
          <w:szCs w:val="24"/>
        </w:rPr>
        <w:t xml:space="preserve"> </w:t>
      </w:r>
      <w:r w:rsidR="00AB2421">
        <w:rPr>
          <w:rFonts w:ascii="Times New Roman" w:hAnsi="Times New Roman" w:cs="Times New Roman"/>
          <w:bCs/>
          <w:iCs/>
          <w:sz w:val="24"/>
          <w:szCs w:val="24"/>
        </w:rPr>
        <w:t xml:space="preserve">sensitivity and </w:t>
      </w:r>
      <w:r w:rsidR="00DC4521">
        <w:rPr>
          <w:rFonts w:ascii="Times New Roman" w:hAnsi="Times New Roman" w:cs="Times New Roman"/>
          <w:bCs/>
          <w:iCs/>
          <w:sz w:val="24"/>
          <w:szCs w:val="24"/>
        </w:rPr>
        <w:t>validity</w:t>
      </w:r>
      <w:r w:rsidR="00DC330D">
        <w:rPr>
          <w:rFonts w:ascii="Times New Roman" w:hAnsi="Times New Roman" w:cs="Times New Roman"/>
          <w:bCs/>
          <w:iCs/>
          <w:sz w:val="24"/>
          <w:szCs w:val="24"/>
        </w:rPr>
        <w:t xml:space="preserve"> when compared to other administrative records</w:t>
      </w:r>
      <w:r w:rsidR="00272757">
        <w:rPr>
          <w:rFonts w:ascii="Times New Roman" w:hAnsi="Times New Roman" w:cs="Times New Roman"/>
          <w:bCs/>
          <w:iCs/>
          <w:sz w:val="24"/>
          <w:szCs w:val="24"/>
        </w:rPr>
        <w:t>,</w:t>
      </w:r>
      <w:r w:rsidR="00AB2421">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{"citationID":"S3e2pNUM","properties":{"formattedCitation":"\\super 80\\uc0\\u8211{}82\\nosupersub{}","plainCitation":"80–82","noteIndex":0},"citationItems":[{"id":1131,"uris":["http://zotero.org/users/5917738/items/25B5QP83"],"uri":["http://zotero.org/users/5917738/items/25B5QP83"],"itemData":{"id":1131,"type":"article-journal","abstract":"PURPOSE: Accurate knowledge of the vital status of individuals is critical to the validity of mortality research. National Death Index (NDI) and NDI-Plus are comprehensive epidemiological resources for mortality ascertainment and cause of death data that require additional user validation. Currently, there is a gap in methods to guide validation of NDI search results rendered for active duty service members. The purpose of this research was to adapt and evaluate the CDC National Program of Cancer Registries (NPCR) algorithm for mortality ascertainment in a large military cohort.\nMETHODS: We adapted and applied the NPCR algorithm to a cohort of 7088 service members on active duty at the time of death at some point between 2001 and 2009. We evaluated NDI validity and NDI-Plus diagnostic agreement against the Department of Defense's Armed Forces Medical Examiner System (AFMES).\nRESULTS: The overall sensitivity of the NDI to AFMES records after the application of the NPCR algorithm was 97.1%. Diagnostic estimates of measurement agreement between the NDI-Plus and the AFMES cause of death groups were high.\nCONCLUSIONS: The NDI and NDI-Plus can be successfully used with the NPCR algorithm to identify mortality and cause of death among active duty military cohort members who die in the United States.","container-title":"Annals of Epidemiology","DOI":"10.1016/j.annepidem.2017.05.004","ISSN":"1873-2585","issue":"6","journalAbbreviation":"Ann Epidemiol","language":"eng","note":"PMID: 28641759","page":"397-400","source":"PubMed","title":"Evaluation of a methodology to validate National Death Index retrieval results among a cohort of U.S. service members","volume":"27","author":[{"family":"Skopp","given":"Nancy A."},{"family":"Smolenski","given":"Derek J."},{"family":"Schwesinger","given":"Daniel A."},{"family":"Johnson","given":"Christopher J."},{"family":"Metzger-Abamukong","given":"Melinda J."},{"family":"Reger","given":"Mark A."}],"issued":{"date-parts":[["2017"]]}}},{"id":1128,"uris":["http://zotero.org/users/5917738/items/JCB2JF6Y"],"uri":["http://zotero.org/users/5917738/items/JCB2JF6Y"],"itemData":{"id":1128,"type":"article-journal","abstract":"Abstract.  This paper describes a multistage process to improve the completeness and time-/cost-effectiveness of ascertaining deaths in large employee cohorts.","container-title":"American Journal of Epidemiology","DOI":"10.1093/aje/kwq130","ISSN":"0002-9262","issue":"4","journalAbbreviation":"Am J Epidemiol","language":"en","page":"469-477","source":"academic-oup-com.libproxy.wustl.edu","title":"Strategies for Using the National Death Index and the Social Security Administration for Death Ascertainment in Large Occupational Cohort Mortality Studies","volume":"172","author":[{"family":"Wojcik","given":"Nancy C."},{"family":"Huebner","given":"Wendy W."},{"family":"Jorgensen","given":"Gail"}],"issued":{"date-parts":[["2010",8,15]]}}},{"id":1138,"uris":["http://zotero.org/users/5917738/items/PZPUIUL2"],"uri":["http://zotero.org/users/5917738/items/PZPUIUL2"],"itemData":{"id":1138,"type":"article-journal","abstract":"We compared vital status follow-up by the National Death Index and the Social Security Administration for a cohort of breast cancer patients. Only the National Death Index allowed follow-up for subjects with an unknown Social Security number. All of the deaths identified by the Social Security Admin","container-title":"Epidemiology","ISSN":"1044-3983","issue":"2","language":"ENGLISH","note":"PMID: 11246590","page":"259-261","source":"insights.ovid.com","title":"A Comparison of the National Death Index and Social Security Administration Databases to Ascertain Vital Status","volume":"12","author":[{"family":"Lash","given":"Timothy"},{"family":"Silliman","given":"Rebecca"}],"issued":{"date-parts":[["2001",3]]}}}],"schema":"https://github.com/citation-style-language/schema/raw/master/csl-citation.json"} </w:instrText>
      </w:r>
      <w:r w:rsidR="00AB2421">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80–82</w:t>
      </w:r>
      <w:r w:rsidR="00AB2421">
        <w:rPr>
          <w:rFonts w:ascii="Times New Roman" w:hAnsi="Times New Roman" w:cs="Times New Roman"/>
          <w:bCs/>
          <w:iCs/>
          <w:sz w:val="24"/>
          <w:szCs w:val="24"/>
        </w:rPr>
        <w:fldChar w:fldCharType="end"/>
      </w:r>
      <w:r w:rsidR="00272757">
        <w:rPr>
          <w:rFonts w:ascii="Times New Roman" w:hAnsi="Times New Roman" w:cs="Times New Roman"/>
          <w:bCs/>
          <w:iCs/>
          <w:sz w:val="24"/>
          <w:szCs w:val="24"/>
        </w:rPr>
        <w:t xml:space="preserve"> </w:t>
      </w:r>
      <w:r w:rsidR="0027607D">
        <w:rPr>
          <w:rFonts w:ascii="Times New Roman" w:hAnsi="Times New Roman" w:cs="Times New Roman"/>
          <w:bCs/>
          <w:iCs/>
          <w:sz w:val="24"/>
          <w:szCs w:val="24"/>
        </w:rPr>
        <w:t xml:space="preserve">and two, the percentage of </w:t>
      </w:r>
      <w:r w:rsidR="00D16B76">
        <w:rPr>
          <w:rFonts w:ascii="Times New Roman" w:hAnsi="Times New Roman" w:cs="Times New Roman"/>
          <w:bCs/>
          <w:iCs/>
          <w:sz w:val="24"/>
          <w:szCs w:val="24"/>
        </w:rPr>
        <w:t>anomalous</w:t>
      </w:r>
      <w:r w:rsidR="0027607D">
        <w:rPr>
          <w:rFonts w:ascii="Times New Roman" w:hAnsi="Times New Roman" w:cs="Times New Roman"/>
          <w:bCs/>
          <w:iCs/>
          <w:sz w:val="24"/>
          <w:szCs w:val="24"/>
        </w:rPr>
        <w:t xml:space="preserve"> </w:t>
      </w:r>
      <w:r w:rsidR="00D16B76">
        <w:rPr>
          <w:rFonts w:ascii="Times New Roman" w:hAnsi="Times New Roman" w:cs="Times New Roman"/>
          <w:bCs/>
          <w:iCs/>
          <w:sz w:val="24"/>
          <w:szCs w:val="24"/>
        </w:rPr>
        <w:t xml:space="preserve">records in </w:t>
      </w:r>
      <w:r w:rsidR="009E6292">
        <w:rPr>
          <w:rFonts w:ascii="Times New Roman" w:hAnsi="Times New Roman" w:cs="Times New Roman"/>
          <w:bCs/>
          <w:iCs/>
          <w:sz w:val="24"/>
          <w:szCs w:val="24"/>
        </w:rPr>
        <w:t>this</w:t>
      </w:r>
      <w:r w:rsidR="00D16B76">
        <w:rPr>
          <w:rFonts w:ascii="Times New Roman" w:hAnsi="Times New Roman" w:cs="Times New Roman"/>
          <w:bCs/>
          <w:iCs/>
          <w:sz w:val="24"/>
          <w:szCs w:val="24"/>
        </w:rPr>
        <w:t xml:space="preserve"> study sample (</w:t>
      </w:r>
      <w:r w:rsidR="00741EF7">
        <w:rPr>
          <w:rFonts w:ascii="Times New Roman" w:hAnsi="Times New Roman" w:cs="Times New Roman"/>
          <w:bCs/>
          <w:iCs/>
          <w:sz w:val="24"/>
          <w:szCs w:val="24"/>
        </w:rPr>
        <w:t xml:space="preserve"> &lt; 0.001%) </w:t>
      </w:r>
      <w:r w:rsidR="006408A3">
        <w:rPr>
          <w:rFonts w:ascii="Times New Roman" w:hAnsi="Times New Roman" w:cs="Times New Roman"/>
          <w:bCs/>
          <w:iCs/>
          <w:sz w:val="24"/>
          <w:szCs w:val="24"/>
        </w:rPr>
        <w:t>is lower</w:t>
      </w:r>
      <w:r w:rsidR="00286465">
        <w:rPr>
          <w:rFonts w:ascii="Times New Roman" w:hAnsi="Times New Roman" w:cs="Times New Roman"/>
          <w:bCs/>
          <w:iCs/>
          <w:sz w:val="24"/>
          <w:szCs w:val="24"/>
        </w:rPr>
        <w:t xml:space="preserve"> than has been reported elsewhere.</w:t>
      </w:r>
      <w:r w:rsidR="00793AFD">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{"citationID":"qgXBf9lx","properties":{"formattedCitation":"\\super 83\\nosupersub{}","plainCitation":"83","noteIndex":0},"citationItems":[{"id":1136,"uris":["http://zotero.org/users/5917738/items/L83TX8MU"],"uri":["http://zotero.org/users/5917738/items/L83TX8MU"],"itemData":{"id":1136,"type":"article-journal","abstract":"Data from the National Death Index (NDI) are frequently used to determine survival status in epidemiologic or clinical studies. On the basis of selected information submitted by the investigator, NDI returns a file containing a set of candidate matches. Although NDI deems some matches as perfect, multiple candidate matches may be available for other cases. Working across data from the Duke University site of the Established Populations for Epidemiologic Studies of the Elderly (EPESE), NDI, and the Social Security Death Index (SSDI), the authors found that, for this Established Populations for Epidemiologic Studies of the Elderly cohort of 1,896 cases born before 1922 and alive as of January 1, 1999, a match on Social Security number plus additional personal information (specific combinations of last name, first name, month of birth, day of birth) resulted in agreement between NDI and Social Security Death Index dates of death 94.7% of the time, while comparable agreement was found for only 12.3% of candidate decedents who did not have the required combination of information. Thus, an easy to apply algorithm facilitates accurate identification of NDI matches.","container-title":"American Journal of Epidemiology","DOI":"10.1093/aje/kwp155","ISSN":"0002-9262","issue":"4","journalAbbreviation":"Am. J. Epidemiol.","language":"English","note":"WOS:000268586800014","page":"515-518","source":"Web of Science","title":"Identifying a National Death Index Match","volume":"170","author":[{"family":"Fillenbaum","given":"Gerda G."},{"family":"Burchett","given":"Bruce M."},{"family":"Blazer","given":"Dan G."}],"issued":{"date-parts":[["2009",8,15]]}}}],"schema":"https://github.com/citation-style-language/schema/raw/master/csl-citation.json"} </w:instrText>
      </w:r>
      <w:r w:rsidR="00793AFD">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83</w:t>
      </w:r>
      <w:r w:rsidR="00793AFD">
        <w:rPr>
          <w:rFonts w:ascii="Times New Roman" w:hAnsi="Times New Roman" w:cs="Times New Roman"/>
          <w:bCs/>
          <w:iCs/>
          <w:sz w:val="24"/>
          <w:szCs w:val="24"/>
        </w:rPr>
        <w:fldChar w:fldCharType="end"/>
      </w:r>
      <w:r w:rsidR="00800366">
        <w:rPr>
          <w:rFonts w:ascii="Times New Roman" w:hAnsi="Times New Roman" w:cs="Times New Roman"/>
          <w:bCs/>
          <w:iCs/>
          <w:sz w:val="24"/>
          <w:szCs w:val="24"/>
        </w:rPr>
        <w:t xml:space="preserve"> </w:t>
      </w:r>
    </w:p>
    <w:p w14:paraId="4309A4E2" w14:textId="6498CD3E" w:rsidR="009B5D67" w:rsidRPr="001724F1" w:rsidRDefault="00924422" w:rsidP="00AE5FFD">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Altogether,</w:t>
      </w:r>
      <w:r w:rsidR="009E6292">
        <w:rPr>
          <w:rFonts w:ascii="Times New Roman" w:hAnsi="Times New Roman" w:cs="Times New Roman"/>
          <w:bCs/>
          <w:iCs/>
          <w:sz w:val="24"/>
          <w:szCs w:val="24"/>
        </w:rPr>
        <w:t xml:space="preserve"> these</w:t>
      </w:r>
      <w:r>
        <w:rPr>
          <w:rFonts w:ascii="Times New Roman" w:hAnsi="Times New Roman" w:cs="Times New Roman"/>
          <w:bCs/>
          <w:iCs/>
          <w:sz w:val="24"/>
          <w:szCs w:val="24"/>
        </w:rPr>
        <w:t xml:space="preserve"> results suggest that CRN is a substantial risk factor for mortality in persons with chronic illness, and that efforts to address rising prescription drug costs may be valuable for increasing patient health and longevity.</w:t>
      </w:r>
      <w:r w:rsidR="003A5976">
        <w:rPr>
          <w:rFonts w:ascii="Times New Roman" w:hAnsi="Times New Roman" w:cs="Times New Roman"/>
          <w:bCs/>
          <w:iCs/>
          <w:sz w:val="24"/>
          <w:szCs w:val="24"/>
        </w:rPr>
        <w:t xml:space="preserve"> Efforts to increase medication affordability</w:t>
      </w:r>
      <w:r>
        <w:rPr>
          <w:rFonts w:ascii="Times New Roman" w:hAnsi="Times New Roman" w:cs="Times New Roman"/>
          <w:bCs/>
          <w:iCs/>
          <w:sz w:val="24"/>
          <w:szCs w:val="24"/>
        </w:rPr>
        <w:t xml:space="preserve"> may be particularly beneficial for younger individuals and lower income communities, who are </w:t>
      </w:r>
      <w:r w:rsidR="00C01DE6">
        <w:rPr>
          <w:rFonts w:ascii="Times New Roman" w:hAnsi="Times New Roman" w:cs="Times New Roman"/>
          <w:bCs/>
          <w:iCs/>
          <w:sz w:val="24"/>
          <w:szCs w:val="24"/>
        </w:rPr>
        <w:t>most likely to experience CRN.</w:t>
      </w:r>
      <w:r w:rsidR="00907AD7">
        <w:rPr>
          <w:rFonts w:ascii="Times New Roman" w:hAnsi="Times New Roman" w:cs="Times New Roman"/>
          <w:bCs/>
          <w:iCs/>
          <w:sz w:val="24"/>
          <w:szCs w:val="24"/>
        </w:rPr>
        <w:t xml:space="preserve"> </w:t>
      </w:r>
      <w:r w:rsidR="00495B4B">
        <w:rPr>
          <w:rFonts w:ascii="Times New Roman" w:hAnsi="Times New Roman" w:cs="Times New Roman"/>
          <w:bCs/>
          <w:iCs/>
          <w:sz w:val="24"/>
          <w:szCs w:val="24"/>
        </w:rPr>
        <w:t>Future</w:t>
      </w:r>
      <w:r w:rsidR="00121138">
        <w:rPr>
          <w:rFonts w:ascii="Times New Roman" w:hAnsi="Times New Roman" w:cs="Times New Roman"/>
          <w:bCs/>
          <w:iCs/>
          <w:sz w:val="24"/>
          <w:szCs w:val="24"/>
        </w:rPr>
        <w:t xml:space="preserve"> studies should </w:t>
      </w:r>
      <w:r w:rsidR="00BA7350">
        <w:rPr>
          <w:rFonts w:ascii="Times New Roman" w:hAnsi="Times New Roman" w:cs="Times New Roman"/>
          <w:bCs/>
          <w:iCs/>
          <w:sz w:val="24"/>
          <w:szCs w:val="24"/>
        </w:rPr>
        <w:t>identify other long-term health implications of CRN</w:t>
      </w:r>
      <w:r w:rsidR="00851931">
        <w:rPr>
          <w:rFonts w:ascii="Times New Roman" w:hAnsi="Times New Roman" w:cs="Times New Roman"/>
          <w:bCs/>
          <w:iCs/>
          <w:sz w:val="24"/>
          <w:szCs w:val="24"/>
        </w:rPr>
        <w:t xml:space="preserve"> and potential strategies to increase adherence in patients with </w:t>
      </w:r>
      <w:r w:rsidR="00AE5FFD">
        <w:rPr>
          <w:rFonts w:ascii="Times New Roman" w:hAnsi="Times New Roman" w:cs="Times New Roman"/>
          <w:bCs/>
          <w:iCs/>
          <w:sz w:val="24"/>
          <w:szCs w:val="24"/>
        </w:rPr>
        <w:t xml:space="preserve">limited financial access to medication. </w:t>
      </w:r>
    </w:p>
    <w:p w14:paraId="79FEE992" w14:textId="77777777" w:rsidR="003C3A0C" w:rsidRDefault="003C3A0C">
      <w:pPr>
        <w:rPr>
          <w:rFonts w:ascii="Times New Roman" w:hAnsi="Times New Roman" w:cs="Times New Roman"/>
          <w:b/>
          <w:bCs/>
          <w:sz w:val="24"/>
          <w:szCs w:val="24"/>
        </w:rPr>
      </w:pPr>
      <w:r>
        <w:rPr>
          <w:rFonts w:ascii="Times New Roman" w:hAnsi="Times New Roman" w:cs="Times New Roman"/>
          <w:b/>
          <w:bCs/>
          <w:sz w:val="24"/>
          <w:szCs w:val="24"/>
        </w:rPr>
        <w:br w:type="page"/>
      </w:r>
    </w:p>
    <w:p w14:paraId="642D9C1C" w14:textId="125C4CE7"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 xml:space="preserve">in different subsamples of </w:t>
      </w:r>
      <w:r w:rsidR="00FE03C1">
        <w:rPr>
          <w:rFonts w:ascii="Times New Roman" w:hAnsi="Times New Roman" w:cs="Times New Roman"/>
          <w:sz w:val="24"/>
          <w:szCs w:val="24"/>
        </w:rPr>
        <w:lastRenderedPageBreak/>
        <w:t>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w:t>
      </w:r>
      <w:commentRangeStart w:id="27"/>
      <w:r w:rsidR="00194974">
        <w:rPr>
          <w:rFonts w:ascii="Times New Roman" w:hAnsi="Times New Roman" w:cs="Times New Roman"/>
          <w:sz w:val="24"/>
          <w:szCs w:val="24"/>
        </w:rPr>
        <w:t>studies</w:t>
      </w:r>
      <w:commentRangeEnd w:id="27"/>
      <w:r w:rsidR="004C7992">
        <w:rPr>
          <w:rStyle w:val="CommentReference"/>
        </w:rPr>
        <w:commentReference w:id="27"/>
      </w:r>
      <w:r w:rsidR="00194974">
        <w:rPr>
          <w:rFonts w:ascii="Times New Roman" w:hAnsi="Times New Roman" w:cs="Times New Roman"/>
          <w:sz w:val="24"/>
          <w:szCs w:val="24"/>
        </w:rPr>
        <w:t>.</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07C17BD2"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362894E3" w14:textId="77777777" w:rsidR="00E00E2E" w:rsidRDefault="00E00E2E">
      <w:pPr>
        <w:rPr>
          <w:rFonts w:ascii="Times New Roman" w:hAnsi="Times New Roman" w:cs="Times New Roman"/>
          <w:sz w:val="24"/>
          <w:szCs w:val="24"/>
        </w:rPr>
      </w:pPr>
      <w:r>
        <w:rPr>
          <w:rFonts w:ascii="Times New Roman" w:hAnsi="Times New Roman" w:cs="Times New Roman"/>
          <w:sz w:val="24"/>
          <w:szCs w:val="24"/>
        </w:rPr>
        <w:br w:type="page"/>
      </w:r>
    </w:p>
    <w:p w14:paraId="55E0BE4A" w14:textId="36961175" w:rsidR="00F15654" w:rsidRDefault="000E31AD" w:rsidP="00F44B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4112E7D0" w14:textId="76C80152" w:rsidR="000C5CA4" w:rsidRDefault="00654988" w:rsidP="000C5CA4">
      <w:pPr>
        <w:pStyle w:val="Bibliography"/>
        <w:rPr>
          <w:rFonts w:ascii="Times New Roman" w:hAnsi="Times New Roman" w:cs="Times New Roman"/>
          <w:sz w:val="24"/>
          <w:szCs w:val="24"/>
        </w:rPr>
      </w:pPr>
      <w:r w:rsidRPr="00F55D63">
        <w:fldChar w:fldCharType="begin"/>
      </w:r>
      <w:r w:rsidR="000C5CA4">
        <w:instrText xml:space="preserve"> ADDIN ZOTERO_BIBL {"uncited":[],"omitted":[],"custom":[]} CSL_BIBLIOGRAPHY </w:instrText>
      </w:r>
      <w:r w:rsidRPr="00F55D63">
        <w:fldChar w:fldCharType="separate"/>
      </w:r>
      <w:r w:rsidR="000C5CA4">
        <w:rPr>
          <w:rFonts w:ascii="Times New Roman" w:hAnsi="Times New Roman" w:cs="Times New Roman"/>
          <w:sz w:val="24"/>
          <w:szCs w:val="24"/>
        </w:rPr>
        <w:t xml:space="preserve">1. </w:t>
      </w:r>
      <w:r w:rsidR="000C5CA4">
        <w:rPr>
          <w:rFonts w:ascii="Times New Roman" w:hAnsi="Times New Roman" w:cs="Times New Roman"/>
          <w:sz w:val="24"/>
          <w:szCs w:val="24"/>
        </w:rPr>
        <w:tab/>
        <w:t xml:space="preserve">Menke A, Casagrande S, Geiss L, Cowie CC. Prevalence of and trends in diabetes among adults in the United States, 1988-2012. </w:t>
      </w:r>
      <w:r w:rsidR="000C5CA4">
        <w:rPr>
          <w:rFonts w:ascii="Times New Roman" w:hAnsi="Times New Roman" w:cs="Times New Roman"/>
          <w:i/>
          <w:iCs/>
          <w:sz w:val="24"/>
          <w:szCs w:val="24"/>
        </w:rPr>
        <w:t>Jama</w:t>
      </w:r>
      <w:r w:rsidR="000C5CA4">
        <w:rPr>
          <w:rFonts w:ascii="Times New Roman" w:hAnsi="Times New Roman" w:cs="Times New Roman"/>
          <w:sz w:val="24"/>
          <w:szCs w:val="24"/>
        </w:rPr>
        <w:t>. 2015;314(10):1021-1029.</w:t>
      </w:r>
    </w:p>
    <w:p w14:paraId="0D53F47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t xml:space="preserve">Khavjou O, Phelps D, Leib A. Projections of cardiovascular disease prevalence and costs: 2015–2035. </w:t>
      </w:r>
      <w:r>
        <w:rPr>
          <w:rFonts w:ascii="Times New Roman" w:hAnsi="Times New Roman" w:cs="Times New Roman"/>
          <w:i/>
          <w:iCs/>
          <w:sz w:val="24"/>
          <w:szCs w:val="24"/>
        </w:rPr>
        <w:t>Am Heart Assoc</w:t>
      </w:r>
      <w:r>
        <w:rPr>
          <w:rFonts w:ascii="Times New Roman" w:hAnsi="Times New Roman" w:cs="Times New Roman"/>
          <w:sz w:val="24"/>
          <w:szCs w:val="24"/>
        </w:rPr>
        <w:t>. 2016.</w:t>
      </w:r>
    </w:p>
    <w:p w14:paraId="68D5AA1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Murphy SL, Xu J, Kochanek KD, Arias E. Mortality in the United States, 2017. 2018.</w:t>
      </w:r>
    </w:p>
    <w:p w14:paraId="67EBAED7"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t xml:space="preserve">Mozaffarian Dariush, Benjamin Emelia J., Go Alan S., et al. Heart Disease and Stroke Statistics—2016 Update. </w:t>
      </w:r>
      <w:r>
        <w:rPr>
          <w:rFonts w:ascii="Times New Roman" w:hAnsi="Times New Roman" w:cs="Times New Roman"/>
          <w:i/>
          <w:iCs/>
          <w:sz w:val="24"/>
          <w:szCs w:val="24"/>
        </w:rPr>
        <w:t>Circulation</w:t>
      </w:r>
      <w:r>
        <w:rPr>
          <w:rFonts w:ascii="Times New Roman" w:hAnsi="Times New Roman" w:cs="Times New Roman"/>
          <w:sz w:val="24"/>
          <w:szCs w:val="24"/>
        </w:rPr>
        <w:t>. 2016;133(4):e38-e360. doi:10.1161/CIR.0000000000000350</w:t>
      </w:r>
    </w:p>
    <w:p w14:paraId="579F508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t xml:space="preserve">Ford ES. Trends in Predicted 10-Year Risk of Coronary Heart Disease and Cardiovascular Disease Among U.S. Adults From 1999 to 2010. </w:t>
      </w:r>
      <w:r>
        <w:rPr>
          <w:rFonts w:ascii="Times New Roman" w:hAnsi="Times New Roman" w:cs="Times New Roman"/>
          <w:i/>
          <w:iCs/>
          <w:sz w:val="24"/>
          <w:szCs w:val="24"/>
        </w:rPr>
        <w:t>J Am Coll Cardiol</w:t>
      </w:r>
      <w:r>
        <w:rPr>
          <w:rFonts w:ascii="Times New Roman" w:hAnsi="Times New Roman" w:cs="Times New Roman"/>
          <w:sz w:val="24"/>
          <w:szCs w:val="24"/>
        </w:rPr>
        <w:t>. 2013;61(22):2249-2252. doi:10.1016/j.jacc.2013.03.023</w:t>
      </w:r>
    </w:p>
    <w:p w14:paraId="15E271B7"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Imperatore G, Boyle JP, Thompson TJ, et al. Projections of Type 1 and Type 2 Diabetes Burden in the U.S. Population Aged &amp;lt;20 Years Through 2050: Dynamic modeling of incidence, mortality, and population growth. </w:t>
      </w:r>
      <w:r>
        <w:rPr>
          <w:rFonts w:ascii="Times New Roman" w:hAnsi="Times New Roman" w:cs="Times New Roman"/>
          <w:i/>
          <w:iCs/>
          <w:sz w:val="24"/>
          <w:szCs w:val="24"/>
        </w:rPr>
        <w:t>Diabetes Care</w:t>
      </w:r>
      <w:r>
        <w:rPr>
          <w:rFonts w:ascii="Times New Roman" w:hAnsi="Times New Roman" w:cs="Times New Roman"/>
          <w:sz w:val="24"/>
          <w:szCs w:val="24"/>
        </w:rPr>
        <w:t>. 2012;35(12):2515-2520. doi:10.2337/dc12-0669</w:t>
      </w:r>
    </w:p>
    <w:p w14:paraId="2B31454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b/>
        <w:t xml:space="preserve">Dieleman JL, Baral R, Birger M, et al. US Spending on Personal Health Care and Public Health, 1996-2013. </w:t>
      </w:r>
      <w:r>
        <w:rPr>
          <w:rFonts w:ascii="Times New Roman" w:hAnsi="Times New Roman" w:cs="Times New Roman"/>
          <w:i/>
          <w:iCs/>
          <w:sz w:val="24"/>
          <w:szCs w:val="24"/>
        </w:rPr>
        <w:t>JAMA</w:t>
      </w:r>
      <w:r>
        <w:rPr>
          <w:rFonts w:ascii="Times New Roman" w:hAnsi="Times New Roman" w:cs="Times New Roman"/>
          <w:sz w:val="24"/>
          <w:szCs w:val="24"/>
        </w:rPr>
        <w:t>. 2016;316(24):2627. doi:10.1001/jama.2016.16885</w:t>
      </w:r>
    </w:p>
    <w:p w14:paraId="1C3CBAA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ab/>
        <w:t xml:space="preserve">Murray CJ, Abraham J, Ali MK, et al. The state of US health, 1990-2010: burden of diseases, injuries, and risk factors. </w:t>
      </w:r>
      <w:r>
        <w:rPr>
          <w:rFonts w:ascii="Times New Roman" w:hAnsi="Times New Roman" w:cs="Times New Roman"/>
          <w:i/>
          <w:iCs/>
          <w:sz w:val="24"/>
          <w:szCs w:val="24"/>
        </w:rPr>
        <w:t>Jama</w:t>
      </w:r>
      <w:r>
        <w:rPr>
          <w:rFonts w:ascii="Times New Roman" w:hAnsi="Times New Roman" w:cs="Times New Roman"/>
          <w:sz w:val="24"/>
          <w:szCs w:val="24"/>
        </w:rPr>
        <w:t>. 2013;310(6):591-606.</w:t>
      </w:r>
    </w:p>
    <w:p w14:paraId="60D128B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sz w:val="24"/>
          <w:szCs w:val="24"/>
        </w:rPr>
        <w:tab/>
        <w:t xml:space="preserve">Bommer C, Sagalova V, Heesemann E, et al. Global Economic Burden of Diabetes in Adults: Projections From 2015 to 2030. </w:t>
      </w:r>
      <w:r>
        <w:rPr>
          <w:rFonts w:ascii="Times New Roman" w:hAnsi="Times New Roman" w:cs="Times New Roman"/>
          <w:i/>
          <w:iCs/>
          <w:sz w:val="24"/>
          <w:szCs w:val="24"/>
        </w:rPr>
        <w:t>Diabetes Care</w:t>
      </w:r>
      <w:r>
        <w:rPr>
          <w:rFonts w:ascii="Times New Roman" w:hAnsi="Times New Roman" w:cs="Times New Roman"/>
          <w:sz w:val="24"/>
          <w:szCs w:val="24"/>
        </w:rPr>
        <w:t>. 2018;41(5):963-970. doi:10.2337/dc17-1962</w:t>
      </w:r>
    </w:p>
    <w:p w14:paraId="5313564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t xml:space="preserve">Zhang P, Zhang X, Brown J, et al. Global healthcare expenditure on diabetes for 2010 and 2030. </w:t>
      </w:r>
      <w:r>
        <w:rPr>
          <w:rFonts w:ascii="Times New Roman" w:hAnsi="Times New Roman" w:cs="Times New Roman"/>
          <w:i/>
          <w:iCs/>
          <w:sz w:val="24"/>
          <w:szCs w:val="24"/>
        </w:rPr>
        <w:t>Diabetes Res Clin Pract</w:t>
      </w:r>
      <w:r>
        <w:rPr>
          <w:rFonts w:ascii="Times New Roman" w:hAnsi="Times New Roman" w:cs="Times New Roman"/>
          <w:sz w:val="24"/>
          <w:szCs w:val="24"/>
        </w:rPr>
        <w:t>. 2010;87(3):293-301. doi:10.1016/j.diabres.2010.01.026</w:t>
      </w:r>
    </w:p>
    <w:p w14:paraId="27E200A5"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tab/>
        <w:t xml:space="preserve">Kesselheim AS, Avorn J, Sarpatwari A. The High Cost of Prescription Drugs in the United States: Origins and Prospects for Reform. </w:t>
      </w:r>
      <w:r>
        <w:rPr>
          <w:rFonts w:ascii="Times New Roman" w:hAnsi="Times New Roman" w:cs="Times New Roman"/>
          <w:i/>
          <w:iCs/>
          <w:sz w:val="24"/>
          <w:szCs w:val="24"/>
        </w:rPr>
        <w:t>JAMA</w:t>
      </w:r>
      <w:r>
        <w:rPr>
          <w:rFonts w:ascii="Times New Roman" w:hAnsi="Times New Roman" w:cs="Times New Roman"/>
          <w:sz w:val="24"/>
          <w:szCs w:val="24"/>
        </w:rPr>
        <w:t>. 2016;316(8):858-871. doi:10.1001/jama.2016.11237</w:t>
      </w:r>
    </w:p>
    <w:p w14:paraId="243F706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12. </w:t>
      </w:r>
      <w:r>
        <w:rPr>
          <w:rFonts w:ascii="Times New Roman" w:hAnsi="Times New Roman" w:cs="Times New Roman"/>
          <w:sz w:val="24"/>
          <w:szCs w:val="24"/>
        </w:rPr>
        <w:tab/>
        <w:t xml:space="preserve">OECD. </w:t>
      </w:r>
      <w:r>
        <w:rPr>
          <w:rFonts w:ascii="Times New Roman" w:hAnsi="Times New Roman" w:cs="Times New Roman"/>
          <w:i/>
          <w:iCs/>
          <w:sz w:val="24"/>
          <w:szCs w:val="24"/>
        </w:rPr>
        <w:t>Health at a Glance 2015</w:t>
      </w:r>
      <w:r>
        <w:rPr>
          <w:rFonts w:ascii="Times New Roman" w:hAnsi="Times New Roman" w:cs="Times New Roman"/>
          <w:sz w:val="24"/>
          <w:szCs w:val="24"/>
        </w:rPr>
        <w:t>.; 2015. https://www.oecd-ilibrary.org/content/publication/health_glance-2015-en.</w:t>
      </w:r>
    </w:p>
    <w:p w14:paraId="30C86E5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sz w:val="24"/>
          <w:szCs w:val="24"/>
        </w:rPr>
        <w:tab/>
        <w:t xml:space="preserve">Hua X, Carvalho N, Tew M, Huang ES, Herman WH, Clarke P. Expenditures and prices of antihyperglycemic medications in the United States: 2002-2013. </w:t>
      </w:r>
      <w:r>
        <w:rPr>
          <w:rFonts w:ascii="Times New Roman" w:hAnsi="Times New Roman" w:cs="Times New Roman"/>
          <w:i/>
          <w:iCs/>
          <w:sz w:val="24"/>
          <w:szCs w:val="24"/>
        </w:rPr>
        <w:t>Jama</w:t>
      </w:r>
      <w:r>
        <w:rPr>
          <w:rFonts w:ascii="Times New Roman" w:hAnsi="Times New Roman" w:cs="Times New Roman"/>
          <w:sz w:val="24"/>
          <w:szCs w:val="24"/>
        </w:rPr>
        <w:t>. 2016;315(13):1400-1402.</w:t>
      </w:r>
    </w:p>
    <w:p w14:paraId="143F0084"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14. </w:t>
      </w:r>
      <w:r>
        <w:rPr>
          <w:rFonts w:ascii="Times New Roman" w:hAnsi="Times New Roman" w:cs="Times New Roman"/>
          <w:sz w:val="24"/>
          <w:szCs w:val="24"/>
        </w:rPr>
        <w:tab/>
        <w:t xml:space="preserve">Biniek JF, Johnson W. </w:t>
      </w:r>
      <w:r>
        <w:rPr>
          <w:rFonts w:ascii="Times New Roman" w:hAnsi="Times New Roman" w:cs="Times New Roman"/>
          <w:i/>
          <w:iCs/>
          <w:sz w:val="24"/>
          <w:szCs w:val="24"/>
        </w:rPr>
        <w:t>Spending on Individuals with Type 1 Diabetes and the Role of Rapidly Increasing Insulin Prices</w:t>
      </w:r>
      <w:r>
        <w:rPr>
          <w:rFonts w:ascii="Times New Roman" w:hAnsi="Times New Roman" w:cs="Times New Roman"/>
          <w:sz w:val="24"/>
          <w:szCs w:val="24"/>
        </w:rPr>
        <w:t>. Health Care Cost Institute; 2019.</w:t>
      </w:r>
    </w:p>
    <w:p w14:paraId="50037EC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15. </w:t>
      </w:r>
      <w:r>
        <w:rPr>
          <w:rFonts w:ascii="Times New Roman" w:hAnsi="Times New Roman" w:cs="Times New Roman"/>
          <w:sz w:val="24"/>
          <w:szCs w:val="24"/>
        </w:rPr>
        <w:tab/>
        <w:t xml:space="preserve">McHorney CA, Spain CV. Frequency of and reasons for medication non‐fulfillment and non‐persistence among American adults with chronic disease in 2008. </w:t>
      </w:r>
      <w:r>
        <w:rPr>
          <w:rFonts w:ascii="Times New Roman" w:hAnsi="Times New Roman" w:cs="Times New Roman"/>
          <w:i/>
          <w:iCs/>
          <w:sz w:val="24"/>
          <w:szCs w:val="24"/>
        </w:rPr>
        <w:t>Health Expect Int J Public Particip Health Care Health Policy</w:t>
      </w:r>
      <w:r>
        <w:rPr>
          <w:rFonts w:ascii="Times New Roman" w:hAnsi="Times New Roman" w:cs="Times New Roman"/>
          <w:sz w:val="24"/>
          <w:szCs w:val="24"/>
        </w:rPr>
        <w:t>. 2011;14(3):307-320. doi:10.1111/j.1369-7625.2010.00619.x</w:t>
      </w:r>
    </w:p>
    <w:p w14:paraId="312456D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16. </w:t>
      </w:r>
      <w:r>
        <w:rPr>
          <w:rFonts w:ascii="Times New Roman" w:hAnsi="Times New Roman" w:cs="Times New Roman"/>
          <w:sz w:val="24"/>
          <w:szCs w:val="24"/>
        </w:rPr>
        <w:tab/>
        <w:t xml:space="preserve">Pierre-Jacques M, Safran DG, Zhang F, et al. Reliability of New Measures of Cost-Related Medication Nonadherence. </w:t>
      </w:r>
      <w:r>
        <w:rPr>
          <w:rFonts w:ascii="Times New Roman" w:hAnsi="Times New Roman" w:cs="Times New Roman"/>
          <w:i/>
          <w:iCs/>
          <w:sz w:val="24"/>
          <w:szCs w:val="24"/>
        </w:rPr>
        <w:t>Med Care</w:t>
      </w:r>
      <w:r>
        <w:rPr>
          <w:rFonts w:ascii="Times New Roman" w:hAnsi="Times New Roman" w:cs="Times New Roman"/>
          <w:sz w:val="24"/>
          <w:szCs w:val="24"/>
        </w:rPr>
        <w:t>. 2008;46(4):444. doi:10.1097/MLR.0b013e31815dc59a</w:t>
      </w:r>
    </w:p>
    <w:p w14:paraId="5A23495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17. </w:t>
      </w:r>
      <w:r>
        <w:rPr>
          <w:rFonts w:ascii="Times New Roman" w:hAnsi="Times New Roman" w:cs="Times New Roman"/>
          <w:sz w:val="24"/>
          <w:szCs w:val="24"/>
        </w:rPr>
        <w:tab/>
        <w:t xml:space="preserve">Roebuck MC, Liberman JN, Gemmill-Toyama M, Brennan TA. Medication Adherence Leads To Lower Health Care Use And Costs Despite Increased Drug Spending. </w:t>
      </w:r>
      <w:r>
        <w:rPr>
          <w:rFonts w:ascii="Times New Roman" w:hAnsi="Times New Roman" w:cs="Times New Roman"/>
          <w:i/>
          <w:iCs/>
          <w:sz w:val="24"/>
          <w:szCs w:val="24"/>
        </w:rPr>
        <w:t>Health Affai Rs</w:t>
      </w:r>
      <w:r>
        <w:rPr>
          <w:rFonts w:ascii="Times New Roman" w:hAnsi="Times New Roman" w:cs="Times New Roman"/>
          <w:sz w:val="24"/>
          <w:szCs w:val="24"/>
        </w:rPr>
        <w:t>. 2011:9.</w:t>
      </w:r>
    </w:p>
    <w:p w14:paraId="16C0ADE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18. </w:t>
      </w:r>
      <w:r>
        <w:rPr>
          <w:rFonts w:ascii="Times New Roman" w:hAnsi="Times New Roman" w:cs="Times New Roman"/>
          <w:sz w:val="24"/>
          <w:szCs w:val="24"/>
        </w:rPr>
        <w:tab/>
        <w:t xml:space="preserve">Jensen GA, Li Y. Long-run health effects of cost-related non-adherence to prescribed medications among adults in late midlife: Long-run health effects, cost-related non-adherence. </w:t>
      </w:r>
      <w:r>
        <w:rPr>
          <w:rFonts w:ascii="Times New Roman" w:hAnsi="Times New Roman" w:cs="Times New Roman"/>
          <w:i/>
          <w:iCs/>
          <w:sz w:val="24"/>
          <w:szCs w:val="24"/>
        </w:rPr>
        <w:t>J Pharm Health Serv Res</w:t>
      </w:r>
      <w:r>
        <w:rPr>
          <w:rFonts w:ascii="Times New Roman" w:hAnsi="Times New Roman" w:cs="Times New Roman"/>
          <w:sz w:val="24"/>
          <w:szCs w:val="24"/>
        </w:rPr>
        <w:t>. 2012;3(2):85-93. doi:10.1111/j.1759-8893.2012.00087.x</w:t>
      </w:r>
    </w:p>
    <w:p w14:paraId="78DB311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19. </w:t>
      </w:r>
      <w:r>
        <w:rPr>
          <w:rFonts w:ascii="Times New Roman" w:hAnsi="Times New Roman" w:cs="Times New Roman"/>
          <w:sz w:val="24"/>
          <w:szCs w:val="24"/>
        </w:rPr>
        <w:tab/>
        <w:t xml:space="preserve">Blanchard J, Madden JM, Ross-Degnan D, Soumerai SB. The Relationship Between Emergency Department Use and Cost-Related Medication Nonadherence Among Medicare Beneficiaries. </w:t>
      </w:r>
      <w:r>
        <w:rPr>
          <w:rFonts w:ascii="Times New Roman" w:hAnsi="Times New Roman" w:cs="Times New Roman"/>
          <w:i/>
          <w:iCs/>
          <w:sz w:val="24"/>
          <w:szCs w:val="24"/>
        </w:rPr>
        <w:t>Ann Emerg Med</w:t>
      </w:r>
      <w:r>
        <w:rPr>
          <w:rFonts w:ascii="Times New Roman" w:hAnsi="Times New Roman" w:cs="Times New Roman"/>
          <w:sz w:val="24"/>
          <w:szCs w:val="24"/>
        </w:rPr>
        <w:t>. 2013;62(5). doi:10.1016/j.annemergmed.2013.04.013</w:t>
      </w:r>
    </w:p>
    <w:p w14:paraId="0BF7C4A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20. </w:t>
      </w:r>
      <w:r>
        <w:rPr>
          <w:rFonts w:ascii="Times New Roman" w:hAnsi="Times New Roman" w:cs="Times New Roman"/>
          <w:sz w:val="24"/>
          <w:szCs w:val="24"/>
        </w:rPr>
        <w:tab/>
        <w:t xml:space="preserve">Cutler RL, Fernandez-Llimos F, Frommer M, Benrimoj C, Garcia-Cardenas V. Economic impact of medication non-adherence by disease groups: a systematic review. </w:t>
      </w:r>
      <w:r>
        <w:rPr>
          <w:rFonts w:ascii="Times New Roman" w:hAnsi="Times New Roman" w:cs="Times New Roman"/>
          <w:i/>
          <w:iCs/>
          <w:sz w:val="24"/>
          <w:szCs w:val="24"/>
        </w:rPr>
        <w:t>BMJ Open</w:t>
      </w:r>
      <w:r>
        <w:rPr>
          <w:rFonts w:ascii="Times New Roman" w:hAnsi="Times New Roman" w:cs="Times New Roman"/>
          <w:sz w:val="24"/>
          <w:szCs w:val="24"/>
        </w:rPr>
        <w:t>. 2018;8(1):e016982. doi:10.1136/bmjopen-2017-016982</w:t>
      </w:r>
    </w:p>
    <w:p w14:paraId="3B3F3D04"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sz w:val="24"/>
          <w:szCs w:val="24"/>
        </w:rPr>
        <w:tab/>
        <w:t xml:space="preserve">Lloyd JT, Maresh S, Powers CA, Shrank WH, Alley DE. How Much Does Medication Nonadherence Cost the Medicare Fee-for-Service Program?: </w:t>
      </w:r>
      <w:r>
        <w:rPr>
          <w:rFonts w:ascii="Times New Roman" w:hAnsi="Times New Roman" w:cs="Times New Roman"/>
          <w:i/>
          <w:iCs/>
          <w:sz w:val="24"/>
          <w:szCs w:val="24"/>
        </w:rPr>
        <w:t>Med Care</w:t>
      </w:r>
      <w:r>
        <w:rPr>
          <w:rFonts w:ascii="Times New Roman" w:hAnsi="Times New Roman" w:cs="Times New Roman"/>
          <w:sz w:val="24"/>
          <w:szCs w:val="24"/>
        </w:rPr>
        <w:t>. 2019;57(3):218-224. doi:10.1097/MLR.0000000000001067</w:t>
      </w:r>
    </w:p>
    <w:p w14:paraId="041484D8"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rPr>
        <w:tab/>
        <w:t xml:space="preserve">Gellad WF, Haas JS, Safran DG. Race/Ethnicity and Nonadherence to Prescription Medications Among Seniors: Results of a National Study. </w:t>
      </w:r>
      <w:r>
        <w:rPr>
          <w:rFonts w:ascii="Times New Roman" w:hAnsi="Times New Roman" w:cs="Times New Roman"/>
          <w:i/>
          <w:iCs/>
          <w:sz w:val="24"/>
          <w:szCs w:val="24"/>
        </w:rPr>
        <w:t>J Gen Intern Med</w:t>
      </w:r>
      <w:r>
        <w:rPr>
          <w:rFonts w:ascii="Times New Roman" w:hAnsi="Times New Roman" w:cs="Times New Roman"/>
          <w:sz w:val="24"/>
          <w:szCs w:val="24"/>
        </w:rPr>
        <w:t>. 2007;22(11):1572-1578. doi:10.1007/s11606-007-0385-z</w:t>
      </w:r>
    </w:p>
    <w:p w14:paraId="2239036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t xml:space="preserve">Hershman DL, Tsui J, Wright JD, Coromilas EJ, Tsai WY, Neugut AI. Household Net Worth, Racial Disparities, and Hormonal Therapy Adherence Among Women With Early-Stage Breast Cancer. </w:t>
      </w:r>
      <w:r>
        <w:rPr>
          <w:rFonts w:ascii="Times New Roman" w:hAnsi="Times New Roman" w:cs="Times New Roman"/>
          <w:i/>
          <w:iCs/>
          <w:sz w:val="24"/>
          <w:szCs w:val="24"/>
        </w:rPr>
        <w:t>J Clin Oncol</w:t>
      </w:r>
      <w:r>
        <w:rPr>
          <w:rFonts w:ascii="Times New Roman" w:hAnsi="Times New Roman" w:cs="Times New Roman"/>
          <w:sz w:val="24"/>
          <w:szCs w:val="24"/>
        </w:rPr>
        <w:t>. 2015;33(9):1053-1059. doi:10.1200/JCO.2014.58.3062</w:t>
      </w:r>
    </w:p>
    <w:p w14:paraId="00442AF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24. </w:t>
      </w:r>
      <w:r>
        <w:rPr>
          <w:rFonts w:ascii="Times New Roman" w:hAnsi="Times New Roman" w:cs="Times New Roman"/>
          <w:sz w:val="24"/>
          <w:szCs w:val="24"/>
        </w:rPr>
        <w:tab/>
        <w:t xml:space="preserve">Lewey Jennifer, Gagne Joshua J., Franklin Jessica, Lauffenburger Julie C., Brill Gregory, Choudhry Niteesh K. Impact of High Deductible Health Plans on Cardiovascular Medication Adherence and Health Disparities. </w:t>
      </w:r>
      <w:r>
        <w:rPr>
          <w:rFonts w:ascii="Times New Roman" w:hAnsi="Times New Roman" w:cs="Times New Roman"/>
          <w:i/>
          <w:iCs/>
          <w:sz w:val="24"/>
          <w:szCs w:val="24"/>
        </w:rPr>
        <w:t>Circ Cardiovasc Qual Outcomes</w:t>
      </w:r>
      <w:r>
        <w:rPr>
          <w:rFonts w:ascii="Times New Roman" w:hAnsi="Times New Roman" w:cs="Times New Roman"/>
          <w:sz w:val="24"/>
          <w:szCs w:val="24"/>
        </w:rPr>
        <w:t>. 2018;11(11):e004632. doi:10.1161/CIRCOUTCOMES.118.004632</w:t>
      </w:r>
    </w:p>
    <w:p w14:paraId="5231D19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25. </w:t>
      </w:r>
      <w:r>
        <w:rPr>
          <w:rFonts w:ascii="Times New Roman" w:hAnsi="Times New Roman" w:cs="Times New Roman"/>
          <w:sz w:val="24"/>
          <w:szCs w:val="24"/>
        </w:rPr>
        <w:tab/>
        <w:t xml:space="preserve">Mahmoudi E, Jensen GA. Has Medicare Part D Reduced Racial/Ethnic Disparities in Prescription Drug Use and Spending? </w:t>
      </w:r>
      <w:r>
        <w:rPr>
          <w:rFonts w:ascii="Times New Roman" w:hAnsi="Times New Roman" w:cs="Times New Roman"/>
          <w:i/>
          <w:iCs/>
          <w:sz w:val="24"/>
          <w:szCs w:val="24"/>
        </w:rPr>
        <w:t>Health Serv Res</w:t>
      </w:r>
      <w:r>
        <w:rPr>
          <w:rFonts w:ascii="Times New Roman" w:hAnsi="Times New Roman" w:cs="Times New Roman"/>
          <w:sz w:val="24"/>
          <w:szCs w:val="24"/>
        </w:rPr>
        <w:t>. 2014;49(2):502-525. doi:10.1111/1475-6773.12099</w:t>
      </w:r>
    </w:p>
    <w:p w14:paraId="5C42C26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26. </w:t>
      </w:r>
      <w:r>
        <w:rPr>
          <w:rFonts w:ascii="Times New Roman" w:hAnsi="Times New Roman" w:cs="Times New Roman"/>
          <w:sz w:val="24"/>
          <w:szCs w:val="24"/>
        </w:rPr>
        <w:tab/>
        <w:t xml:space="preserve">Kennedy J, Wood EG. Medication Costs and Adherence of Treatment Before and After the Affordable Care Act: 1999–2015. </w:t>
      </w:r>
      <w:r>
        <w:rPr>
          <w:rFonts w:ascii="Times New Roman" w:hAnsi="Times New Roman" w:cs="Times New Roman"/>
          <w:i/>
          <w:iCs/>
          <w:sz w:val="24"/>
          <w:szCs w:val="24"/>
        </w:rPr>
        <w:t>Am J Public Health</w:t>
      </w:r>
      <w:r>
        <w:rPr>
          <w:rFonts w:ascii="Times New Roman" w:hAnsi="Times New Roman" w:cs="Times New Roman"/>
          <w:sz w:val="24"/>
          <w:szCs w:val="24"/>
        </w:rPr>
        <w:t>. 2016;106(10):1804-1807. doi:10.2105/AJPH.2016.303269</w:t>
      </w:r>
    </w:p>
    <w:p w14:paraId="0829FB1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27. </w:t>
      </w:r>
      <w:r>
        <w:rPr>
          <w:rFonts w:ascii="Times New Roman" w:hAnsi="Times New Roman" w:cs="Times New Roman"/>
          <w:sz w:val="24"/>
          <w:szCs w:val="24"/>
        </w:rPr>
        <w:tab/>
        <w:t xml:space="preserve">T1International. </w:t>
      </w:r>
      <w:r>
        <w:rPr>
          <w:rFonts w:ascii="Times New Roman" w:hAnsi="Times New Roman" w:cs="Times New Roman"/>
          <w:i/>
          <w:iCs/>
          <w:sz w:val="24"/>
          <w:szCs w:val="24"/>
        </w:rPr>
        <w:t>Costs and Rationing of Insulin and Diabetes Supplies: Findings from the 2018 T1International Patient Survey</w:t>
      </w:r>
      <w:r>
        <w:rPr>
          <w:rFonts w:ascii="Times New Roman" w:hAnsi="Times New Roman" w:cs="Times New Roman"/>
          <w:sz w:val="24"/>
          <w:szCs w:val="24"/>
        </w:rPr>
        <w:t>.; 2018:1-16. https://www.t1international.com/media/assets/file/T1International_Report_-_Costs_and_Rationing_of_Insulin__Diabetes_Supplies_2.pdf. Accessed October 17, 2019.</w:t>
      </w:r>
    </w:p>
    <w:p w14:paraId="4D933265"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28. </w:t>
      </w:r>
      <w:r>
        <w:rPr>
          <w:rFonts w:ascii="Times New Roman" w:hAnsi="Times New Roman" w:cs="Times New Roman"/>
          <w:sz w:val="24"/>
          <w:szCs w:val="24"/>
        </w:rPr>
        <w:tab/>
        <w:t xml:space="preserve">Herkert D, Vijayakumar P, Luo J, et al. Cost-Related Insulin Underuse Among Patients With Diabetes. </w:t>
      </w:r>
      <w:r>
        <w:rPr>
          <w:rFonts w:ascii="Times New Roman" w:hAnsi="Times New Roman" w:cs="Times New Roman"/>
          <w:i/>
          <w:iCs/>
          <w:sz w:val="24"/>
          <w:szCs w:val="24"/>
        </w:rPr>
        <w:t>JAMA Intern Med</w:t>
      </w:r>
      <w:r>
        <w:rPr>
          <w:rFonts w:ascii="Times New Roman" w:hAnsi="Times New Roman" w:cs="Times New Roman"/>
          <w:sz w:val="24"/>
          <w:szCs w:val="24"/>
        </w:rPr>
        <w:t>. 2019;179(1):112-114. doi:10.1001/jamainternmed.2018.5008</w:t>
      </w:r>
    </w:p>
    <w:p w14:paraId="230122A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29. </w:t>
      </w:r>
      <w:r>
        <w:rPr>
          <w:rFonts w:ascii="Times New Roman" w:hAnsi="Times New Roman" w:cs="Times New Roman"/>
          <w:sz w:val="24"/>
          <w:szCs w:val="24"/>
        </w:rPr>
        <w:tab/>
        <w:t xml:space="preserve">Tong X, Chu EK, Fang J, Wall HK, Ayala C. Nonadherence to Antihypertensive Medication Among Hypertensive Adults in the United States─HealthStyles, 2010. </w:t>
      </w:r>
      <w:r>
        <w:rPr>
          <w:rFonts w:ascii="Times New Roman" w:hAnsi="Times New Roman" w:cs="Times New Roman"/>
          <w:i/>
          <w:iCs/>
          <w:sz w:val="24"/>
          <w:szCs w:val="24"/>
        </w:rPr>
        <w:t>J Clin Hypertens</w:t>
      </w:r>
      <w:r>
        <w:rPr>
          <w:rFonts w:ascii="Times New Roman" w:hAnsi="Times New Roman" w:cs="Times New Roman"/>
          <w:sz w:val="24"/>
          <w:szCs w:val="24"/>
        </w:rPr>
        <w:t>. 2016;18(9):892-900. doi:10.1111/jch.12786</w:t>
      </w:r>
    </w:p>
    <w:p w14:paraId="7D9A87C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sz w:val="24"/>
          <w:szCs w:val="24"/>
        </w:rPr>
        <w:tab/>
        <w:t xml:space="preserve">Marcum ZA, Zheng Y, Perera S, et al. Prevalence and Correlates of Self-Reported Medication Non-Adherence among Older Adults with Coronary Heart Disease, Diabetes Mellitus, and/or Hypertension. </w:t>
      </w:r>
      <w:r>
        <w:rPr>
          <w:rFonts w:ascii="Times New Roman" w:hAnsi="Times New Roman" w:cs="Times New Roman"/>
          <w:i/>
          <w:iCs/>
          <w:sz w:val="24"/>
          <w:szCs w:val="24"/>
        </w:rPr>
        <w:t>Res Soc Adm Pharm RSAP</w:t>
      </w:r>
      <w:r>
        <w:rPr>
          <w:rFonts w:ascii="Times New Roman" w:hAnsi="Times New Roman" w:cs="Times New Roman"/>
          <w:sz w:val="24"/>
          <w:szCs w:val="24"/>
        </w:rPr>
        <w:t>. 2013;9(6). doi:10.1016/j.sapharm.2012.12.002</w:t>
      </w:r>
    </w:p>
    <w:p w14:paraId="2C58B358"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rPr>
        <w:tab/>
        <w:t xml:space="preserve">Ho PM, Rumsfeld JS, Masoudi FA, et al. Effect of Medication Nonadherence on Hospitalization and Mortality Among Patients With Diabetes Mellitus. </w:t>
      </w:r>
      <w:r>
        <w:rPr>
          <w:rFonts w:ascii="Times New Roman" w:hAnsi="Times New Roman" w:cs="Times New Roman"/>
          <w:i/>
          <w:iCs/>
          <w:sz w:val="24"/>
          <w:szCs w:val="24"/>
        </w:rPr>
        <w:t>Arch Intern Med</w:t>
      </w:r>
      <w:r>
        <w:rPr>
          <w:rFonts w:ascii="Times New Roman" w:hAnsi="Times New Roman" w:cs="Times New Roman"/>
          <w:sz w:val="24"/>
          <w:szCs w:val="24"/>
        </w:rPr>
        <w:t>. 2006;166(17):1836-1841. doi:10.1001/archinte.166.17.1836</w:t>
      </w:r>
    </w:p>
    <w:p w14:paraId="61E4F1C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32. </w:t>
      </w:r>
      <w:r>
        <w:rPr>
          <w:rFonts w:ascii="Times New Roman" w:hAnsi="Times New Roman" w:cs="Times New Roman"/>
          <w:sz w:val="24"/>
          <w:szCs w:val="24"/>
        </w:rPr>
        <w:tab/>
        <w:t xml:space="preserve">Egede LE, Gebregziabher M, Echols C, Lynch CP. Longitudinal Effects of Medication Nonadherence on Glycemic Control. </w:t>
      </w:r>
      <w:r>
        <w:rPr>
          <w:rFonts w:ascii="Times New Roman" w:hAnsi="Times New Roman" w:cs="Times New Roman"/>
          <w:i/>
          <w:iCs/>
          <w:sz w:val="24"/>
          <w:szCs w:val="24"/>
        </w:rPr>
        <w:t>Ann Pharmacother</w:t>
      </w:r>
      <w:r>
        <w:rPr>
          <w:rFonts w:ascii="Times New Roman" w:hAnsi="Times New Roman" w:cs="Times New Roman"/>
          <w:sz w:val="24"/>
          <w:szCs w:val="24"/>
        </w:rPr>
        <w:t>. 2014;48(5):562-570. doi:10.1177/1060028014526362</w:t>
      </w:r>
    </w:p>
    <w:p w14:paraId="271C9C6A"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33. </w:t>
      </w:r>
      <w:r>
        <w:rPr>
          <w:rFonts w:ascii="Times New Roman" w:hAnsi="Times New Roman" w:cs="Times New Roman"/>
          <w:sz w:val="24"/>
          <w:szCs w:val="24"/>
        </w:rPr>
        <w:tab/>
        <w:t xml:space="preserve">Rasmussen JN, Chong A, Alter DA. Relationship Between Adherence to Evidence-Based Pharmacotherapy and Long-term Mortality After Acute Myocardial Infarction. </w:t>
      </w:r>
      <w:r>
        <w:rPr>
          <w:rFonts w:ascii="Times New Roman" w:hAnsi="Times New Roman" w:cs="Times New Roman"/>
          <w:i/>
          <w:iCs/>
          <w:sz w:val="24"/>
          <w:szCs w:val="24"/>
        </w:rPr>
        <w:t>JAMA</w:t>
      </w:r>
      <w:r>
        <w:rPr>
          <w:rFonts w:ascii="Times New Roman" w:hAnsi="Times New Roman" w:cs="Times New Roman"/>
          <w:sz w:val="24"/>
          <w:szCs w:val="24"/>
        </w:rPr>
        <w:t>. 2007;297(2):177-186. doi:10.1001/jama.297.2.177</w:t>
      </w:r>
    </w:p>
    <w:p w14:paraId="0FA953A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34. </w:t>
      </w:r>
      <w:r>
        <w:rPr>
          <w:rFonts w:ascii="Times New Roman" w:hAnsi="Times New Roman" w:cs="Times New Roman"/>
          <w:sz w:val="24"/>
          <w:szCs w:val="24"/>
        </w:rPr>
        <w:tab/>
        <w:t xml:space="preserve">Ho PM, Magid DJ, Shetterly SM, et al. Medication nonadherence is associated with a broad range of adverse outcomes in patients with coronary artery disease. </w:t>
      </w:r>
      <w:r>
        <w:rPr>
          <w:rFonts w:ascii="Times New Roman" w:hAnsi="Times New Roman" w:cs="Times New Roman"/>
          <w:i/>
          <w:iCs/>
          <w:sz w:val="24"/>
          <w:szCs w:val="24"/>
        </w:rPr>
        <w:t>Am Heart J</w:t>
      </w:r>
      <w:r>
        <w:rPr>
          <w:rFonts w:ascii="Times New Roman" w:hAnsi="Times New Roman" w:cs="Times New Roman"/>
          <w:sz w:val="24"/>
          <w:szCs w:val="24"/>
        </w:rPr>
        <w:t>. 2008;155(4):772-779. doi:10.1016/j.ahj.2007.12.011</w:t>
      </w:r>
    </w:p>
    <w:p w14:paraId="6DFB93B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35. </w:t>
      </w:r>
      <w:r>
        <w:rPr>
          <w:rFonts w:ascii="Times New Roman" w:hAnsi="Times New Roman" w:cs="Times New Roman"/>
          <w:sz w:val="24"/>
          <w:szCs w:val="24"/>
        </w:rPr>
        <w:tab/>
        <w:t xml:space="preserve">Heisler M, Langa KM, Eby EL, Fendrick AM, Kabeto MU, Piette JD. The health effects of restricting prescription medication use because of cost. </w:t>
      </w:r>
      <w:r>
        <w:rPr>
          <w:rFonts w:ascii="Times New Roman" w:hAnsi="Times New Roman" w:cs="Times New Roman"/>
          <w:i/>
          <w:iCs/>
          <w:sz w:val="24"/>
          <w:szCs w:val="24"/>
        </w:rPr>
        <w:t>Med Care</w:t>
      </w:r>
      <w:r>
        <w:rPr>
          <w:rFonts w:ascii="Times New Roman" w:hAnsi="Times New Roman" w:cs="Times New Roman"/>
          <w:sz w:val="24"/>
          <w:szCs w:val="24"/>
        </w:rPr>
        <w:t>. 2004;42(7):626-634. doi:10.1097/01.mlr.0000129352.36733.cc</w:t>
      </w:r>
    </w:p>
    <w:p w14:paraId="675E05E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sz w:val="24"/>
          <w:szCs w:val="24"/>
        </w:rPr>
        <w:tab/>
        <w:t>Lynn A. Blewett, Rivera Drew JA, King ML, Williams KCW. IPUMS Health Surveys: National Health Interview Survery, Version 6.4 [dataset]. 2019.</w:t>
      </w:r>
    </w:p>
    <w:p w14:paraId="1D165574"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37. </w:t>
      </w:r>
      <w:r>
        <w:rPr>
          <w:rFonts w:ascii="Times New Roman" w:hAnsi="Times New Roman" w:cs="Times New Roman"/>
          <w:sz w:val="24"/>
          <w:szCs w:val="24"/>
        </w:rPr>
        <w:tab/>
        <w:t>NHIS - About the National Health Interview Survey. https://www.cdc.gov/nchs/nhis/about_nhis.htm. Published June 28, 2019. Accessed October 20, 2019.</w:t>
      </w:r>
    </w:p>
    <w:p w14:paraId="7CD8FC6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38. </w:t>
      </w:r>
      <w:r>
        <w:rPr>
          <w:rFonts w:ascii="Times New Roman" w:hAnsi="Times New Roman" w:cs="Times New Roman"/>
          <w:sz w:val="24"/>
          <w:szCs w:val="24"/>
        </w:rPr>
        <w:tab/>
        <w:t xml:space="preserve">Patel MR, Piette JD, Resnicow K, Kowalski-Dobson T, Heisler M. Social determinants of health, cost-related non-adherence, and cost-reducing behaviors among adults with diabetes: findings from the National Health Interview Survey. </w:t>
      </w:r>
      <w:r>
        <w:rPr>
          <w:rFonts w:ascii="Times New Roman" w:hAnsi="Times New Roman" w:cs="Times New Roman"/>
          <w:i/>
          <w:iCs/>
          <w:sz w:val="24"/>
          <w:szCs w:val="24"/>
        </w:rPr>
        <w:t>Med Care</w:t>
      </w:r>
      <w:r>
        <w:rPr>
          <w:rFonts w:ascii="Times New Roman" w:hAnsi="Times New Roman" w:cs="Times New Roman"/>
          <w:sz w:val="24"/>
          <w:szCs w:val="24"/>
        </w:rPr>
        <w:t>. 2016;54(8):796-803. doi:10.1097/MLR.0000000000000565</w:t>
      </w:r>
    </w:p>
    <w:p w14:paraId="2B57331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39. </w:t>
      </w:r>
      <w:r>
        <w:rPr>
          <w:rFonts w:ascii="Times New Roman" w:hAnsi="Times New Roman" w:cs="Times New Roman"/>
          <w:sz w:val="24"/>
          <w:szCs w:val="24"/>
        </w:rPr>
        <w:tab/>
        <w:t xml:space="preserve">Bhuyan SS, Shiyanbola O, Deka P, et al. The Role of Gender in Cost-Related Medication Nonadherence Among Patients with Diabetes. </w:t>
      </w:r>
      <w:r>
        <w:rPr>
          <w:rFonts w:ascii="Times New Roman" w:hAnsi="Times New Roman" w:cs="Times New Roman"/>
          <w:i/>
          <w:iCs/>
          <w:sz w:val="24"/>
          <w:szCs w:val="24"/>
        </w:rPr>
        <w:t>J Am Board Fam Med</w:t>
      </w:r>
      <w:r>
        <w:rPr>
          <w:rFonts w:ascii="Times New Roman" w:hAnsi="Times New Roman" w:cs="Times New Roman"/>
          <w:sz w:val="24"/>
          <w:szCs w:val="24"/>
        </w:rPr>
        <w:t>. 2018;31(5):743-751. doi:10.3122/jabfm.2018.05.180039</w:t>
      </w:r>
    </w:p>
    <w:p w14:paraId="4B50AE9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40. </w:t>
      </w:r>
      <w:r>
        <w:rPr>
          <w:rFonts w:ascii="Times New Roman" w:hAnsi="Times New Roman" w:cs="Times New Roman"/>
          <w:sz w:val="24"/>
          <w:szCs w:val="24"/>
        </w:rPr>
        <w:tab/>
        <w:t xml:space="preserve">Abegaz TM, Shehab A, Gebreyohannes EA, Bhagavathula AS, Elnour AA. Nonadherence to antihypertensive drugs. </w:t>
      </w:r>
      <w:r>
        <w:rPr>
          <w:rFonts w:ascii="Times New Roman" w:hAnsi="Times New Roman" w:cs="Times New Roman"/>
          <w:i/>
          <w:iCs/>
          <w:sz w:val="24"/>
          <w:szCs w:val="24"/>
        </w:rPr>
        <w:t>Medicine (Baltimore)</w:t>
      </w:r>
      <w:r>
        <w:rPr>
          <w:rFonts w:ascii="Times New Roman" w:hAnsi="Times New Roman" w:cs="Times New Roman"/>
          <w:sz w:val="24"/>
          <w:szCs w:val="24"/>
        </w:rPr>
        <w:t>. 2017;96(4). doi:10.1097/MD.0000000000005641</w:t>
      </w:r>
    </w:p>
    <w:p w14:paraId="71467C2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41. </w:t>
      </w:r>
      <w:r>
        <w:rPr>
          <w:rFonts w:ascii="Times New Roman" w:hAnsi="Times New Roman" w:cs="Times New Roman"/>
          <w:sz w:val="24"/>
          <w:szCs w:val="24"/>
        </w:rPr>
        <w:tab/>
        <w:t xml:space="preserve">Heisler M, Wagner TH, Piette JD. Patient Strategies to Cope with High Prescription Medication Costs: Who is Cutting Back on Necessities, Increasing Debt, or Underusing Medications? </w:t>
      </w:r>
      <w:r>
        <w:rPr>
          <w:rFonts w:ascii="Times New Roman" w:hAnsi="Times New Roman" w:cs="Times New Roman"/>
          <w:i/>
          <w:iCs/>
          <w:sz w:val="24"/>
          <w:szCs w:val="24"/>
        </w:rPr>
        <w:t>J Behav Med</w:t>
      </w:r>
      <w:r>
        <w:rPr>
          <w:rFonts w:ascii="Times New Roman" w:hAnsi="Times New Roman" w:cs="Times New Roman"/>
          <w:sz w:val="24"/>
          <w:szCs w:val="24"/>
        </w:rPr>
        <w:t>. 2005;28(1):43-51. doi:10.1007/s10865-005-2562-z</w:t>
      </w:r>
    </w:p>
    <w:p w14:paraId="381668F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42. </w:t>
      </w:r>
      <w:r>
        <w:rPr>
          <w:rFonts w:ascii="Times New Roman" w:hAnsi="Times New Roman" w:cs="Times New Roman"/>
          <w:sz w:val="24"/>
          <w:szCs w:val="24"/>
        </w:rPr>
        <w:tab/>
        <w:t xml:space="preserve">Westreich D, Greenland S. The Table 2 Fallacy: Presenting and Interpreting Confounder and Modifier Coefficients. </w:t>
      </w:r>
      <w:r>
        <w:rPr>
          <w:rFonts w:ascii="Times New Roman" w:hAnsi="Times New Roman" w:cs="Times New Roman"/>
          <w:i/>
          <w:iCs/>
          <w:sz w:val="24"/>
          <w:szCs w:val="24"/>
        </w:rPr>
        <w:t>Am J Epidemiol</w:t>
      </w:r>
      <w:r>
        <w:rPr>
          <w:rFonts w:ascii="Times New Roman" w:hAnsi="Times New Roman" w:cs="Times New Roman"/>
          <w:sz w:val="24"/>
          <w:szCs w:val="24"/>
        </w:rPr>
        <w:t>. 2013;177(4):292-298. doi:10.1093/aje/kws412</w:t>
      </w:r>
    </w:p>
    <w:p w14:paraId="4EC6BD5A"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43. </w:t>
      </w:r>
      <w:r>
        <w:rPr>
          <w:rFonts w:ascii="Times New Roman" w:hAnsi="Times New Roman" w:cs="Times New Roman"/>
          <w:sz w:val="24"/>
          <w:szCs w:val="24"/>
        </w:rPr>
        <w:tab/>
        <w:t xml:space="preserve">Grambsch PM, Therneau TM. Proportional Hazards Tests and Diagnostics Based on Weighted Residuals. </w:t>
      </w:r>
      <w:r>
        <w:rPr>
          <w:rFonts w:ascii="Times New Roman" w:hAnsi="Times New Roman" w:cs="Times New Roman"/>
          <w:i/>
          <w:iCs/>
          <w:sz w:val="24"/>
          <w:szCs w:val="24"/>
        </w:rPr>
        <w:t>Biometrika</w:t>
      </w:r>
      <w:r>
        <w:rPr>
          <w:rFonts w:ascii="Times New Roman" w:hAnsi="Times New Roman" w:cs="Times New Roman"/>
          <w:sz w:val="24"/>
          <w:szCs w:val="24"/>
        </w:rPr>
        <w:t>. 1994;81(3):515-526. doi:10.2307/2337123</w:t>
      </w:r>
    </w:p>
    <w:p w14:paraId="395B00C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44. </w:t>
      </w:r>
      <w:r>
        <w:rPr>
          <w:rFonts w:ascii="Times New Roman" w:hAnsi="Times New Roman" w:cs="Times New Roman"/>
          <w:sz w:val="24"/>
          <w:szCs w:val="24"/>
        </w:rPr>
        <w:tab/>
        <w:t xml:space="preserve">R Core Team. </w:t>
      </w:r>
      <w:r>
        <w:rPr>
          <w:rFonts w:ascii="Times New Roman" w:hAnsi="Times New Roman" w:cs="Times New Roman"/>
          <w:i/>
          <w:iCs/>
          <w:sz w:val="24"/>
          <w:szCs w:val="24"/>
        </w:rPr>
        <w:t>R: A Language and Environment for Statistical Computing</w:t>
      </w:r>
      <w:r>
        <w:rPr>
          <w:rFonts w:ascii="Times New Roman" w:hAnsi="Times New Roman" w:cs="Times New Roman"/>
          <w:sz w:val="24"/>
          <w:szCs w:val="24"/>
        </w:rPr>
        <w:t>. Vienna, Austria: R Foundation for Statistical Computing; 2019. https://www.R-project.org/.</w:t>
      </w:r>
    </w:p>
    <w:p w14:paraId="733ADA3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45. </w:t>
      </w:r>
      <w:r>
        <w:rPr>
          <w:rFonts w:ascii="Times New Roman" w:hAnsi="Times New Roman" w:cs="Times New Roman"/>
          <w:sz w:val="24"/>
          <w:szCs w:val="24"/>
        </w:rPr>
        <w:tab/>
        <w:t xml:space="preserve">R Studio Team. </w:t>
      </w:r>
      <w:r>
        <w:rPr>
          <w:rFonts w:ascii="Times New Roman" w:hAnsi="Times New Roman" w:cs="Times New Roman"/>
          <w:i/>
          <w:iCs/>
          <w:sz w:val="24"/>
          <w:szCs w:val="24"/>
        </w:rPr>
        <w:t>RStudio: Integrated Development for R</w:t>
      </w:r>
      <w:r>
        <w:rPr>
          <w:rFonts w:ascii="Times New Roman" w:hAnsi="Times New Roman" w:cs="Times New Roman"/>
          <w:sz w:val="24"/>
          <w:szCs w:val="24"/>
        </w:rPr>
        <w:t>. Boston, MA: RStudio, Inc.; 2019. http://www.rstudio.com/.</w:t>
      </w:r>
    </w:p>
    <w:p w14:paraId="33D35C95"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46. </w:t>
      </w:r>
      <w:r>
        <w:rPr>
          <w:rFonts w:ascii="Times New Roman" w:hAnsi="Times New Roman" w:cs="Times New Roman"/>
          <w:sz w:val="24"/>
          <w:szCs w:val="24"/>
        </w:rPr>
        <w:tab/>
        <w:t>Therneau T, Lumley T. survival: Survival analysis. R package version 2.38-3. 2015.</w:t>
      </w:r>
    </w:p>
    <w:p w14:paraId="4E9394D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47. </w:t>
      </w:r>
      <w:r>
        <w:rPr>
          <w:rFonts w:ascii="Times New Roman" w:hAnsi="Times New Roman" w:cs="Times New Roman"/>
          <w:sz w:val="24"/>
          <w:szCs w:val="24"/>
        </w:rPr>
        <w:tab/>
        <w:t xml:space="preserve">Lumley T. Analysis of Complex Survey Samples. </w:t>
      </w:r>
      <w:r>
        <w:rPr>
          <w:rFonts w:ascii="Times New Roman" w:hAnsi="Times New Roman" w:cs="Times New Roman"/>
          <w:i/>
          <w:iCs/>
          <w:sz w:val="24"/>
          <w:szCs w:val="24"/>
        </w:rPr>
        <w:t>J Stat Softw</w:t>
      </w:r>
      <w:r>
        <w:rPr>
          <w:rFonts w:ascii="Times New Roman" w:hAnsi="Times New Roman" w:cs="Times New Roman"/>
          <w:sz w:val="24"/>
          <w:szCs w:val="24"/>
        </w:rPr>
        <w:t>. 2004;9(1):1-19. doi:10.18637/jss.v009.i08</w:t>
      </w:r>
    </w:p>
    <w:p w14:paraId="0EC3199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48. </w:t>
      </w:r>
      <w:r>
        <w:rPr>
          <w:rFonts w:ascii="Times New Roman" w:hAnsi="Times New Roman" w:cs="Times New Roman"/>
          <w:sz w:val="24"/>
          <w:szCs w:val="24"/>
        </w:rPr>
        <w:tab/>
        <w:t xml:space="preserve">Kang H, Lobo JM, Kim S, Sohn M-W. Cost-related medication non-adherence among U.S. adults with diabetes. </w:t>
      </w:r>
      <w:r>
        <w:rPr>
          <w:rFonts w:ascii="Times New Roman" w:hAnsi="Times New Roman" w:cs="Times New Roman"/>
          <w:i/>
          <w:iCs/>
          <w:sz w:val="24"/>
          <w:szCs w:val="24"/>
        </w:rPr>
        <w:t>Diabetes Res Clin Pract</w:t>
      </w:r>
      <w:r>
        <w:rPr>
          <w:rFonts w:ascii="Times New Roman" w:hAnsi="Times New Roman" w:cs="Times New Roman"/>
          <w:sz w:val="24"/>
          <w:szCs w:val="24"/>
        </w:rPr>
        <w:t>. 2018;143:24-33. doi:10.1016/j.diabres.2018.06.016</w:t>
      </w:r>
    </w:p>
    <w:p w14:paraId="6DB8680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49. </w:t>
      </w:r>
      <w:r>
        <w:rPr>
          <w:rFonts w:ascii="Times New Roman" w:hAnsi="Times New Roman" w:cs="Times New Roman"/>
          <w:sz w:val="24"/>
          <w:szCs w:val="24"/>
        </w:rPr>
        <w:tab/>
        <w:t xml:space="preserve">De Vera MA, Bhole V, Burns LC, Lacaille D. Impact of statin adherence on cardiovascular disease and mortality outcomes: a systematic review. </w:t>
      </w:r>
      <w:r>
        <w:rPr>
          <w:rFonts w:ascii="Times New Roman" w:hAnsi="Times New Roman" w:cs="Times New Roman"/>
          <w:i/>
          <w:iCs/>
          <w:sz w:val="24"/>
          <w:szCs w:val="24"/>
        </w:rPr>
        <w:t>Br J Clin Pharmacol</w:t>
      </w:r>
      <w:r>
        <w:rPr>
          <w:rFonts w:ascii="Times New Roman" w:hAnsi="Times New Roman" w:cs="Times New Roman"/>
          <w:sz w:val="24"/>
          <w:szCs w:val="24"/>
        </w:rPr>
        <w:t>. 2014;78(4):684-698. doi:10.1111/bcp.12339</w:t>
      </w:r>
    </w:p>
    <w:p w14:paraId="567BAFA8"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50. </w:t>
      </w:r>
      <w:r>
        <w:rPr>
          <w:rFonts w:ascii="Times New Roman" w:hAnsi="Times New Roman" w:cs="Times New Roman"/>
          <w:sz w:val="24"/>
          <w:szCs w:val="24"/>
        </w:rPr>
        <w:tab/>
        <w:t>Gosmanova Elvira O., Lu Jun L., Streja Elani, Cushman William C., Kalantar-Zadeh Kamyar, Kovesdy Csaba P. Association of Medical Treatment Nonadherence With All-</w:t>
      </w:r>
      <w:r>
        <w:rPr>
          <w:rFonts w:ascii="Times New Roman" w:hAnsi="Times New Roman" w:cs="Times New Roman"/>
          <w:sz w:val="24"/>
          <w:szCs w:val="24"/>
        </w:rPr>
        <w:lastRenderedPageBreak/>
        <w:t xml:space="preserve">Cause Mortality in Newly Treated Hypertensive US Veterans. </w:t>
      </w:r>
      <w:r>
        <w:rPr>
          <w:rFonts w:ascii="Times New Roman" w:hAnsi="Times New Roman" w:cs="Times New Roman"/>
          <w:i/>
          <w:iCs/>
          <w:sz w:val="24"/>
          <w:szCs w:val="24"/>
        </w:rPr>
        <w:t>Hypertension</w:t>
      </w:r>
      <w:r>
        <w:rPr>
          <w:rFonts w:ascii="Times New Roman" w:hAnsi="Times New Roman" w:cs="Times New Roman"/>
          <w:sz w:val="24"/>
          <w:szCs w:val="24"/>
        </w:rPr>
        <w:t>. 2014;64(5):951-957. doi:10.1161/HYPERTENSIONAHA.114.03805</w:t>
      </w:r>
    </w:p>
    <w:p w14:paraId="620E951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51. </w:t>
      </w:r>
      <w:r>
        <w:rPr>
          <w:rFonts w:ascii="Times New Roman" w:hAnsi="Times New Roman" w:cs="Times New Roman"/>
          <w:sz w:val="24"/>
          <w:szCs w:val="24"/>
        </w:rPr>
        <w:tab/>
        <w:t xml:space="preserve">Cherry SB, Benner JS, Hussein MA, Tang SSK, Nichol MB. The Clinical and Economic Burden of Nonadherence with Antihypertensive and Lipid-Lowering Therapy in Hypertensive Patients. </w:t>
      </w:r>
      <w:r>
        <w:rPr>
          <w:rFonts w:ascii="Times New Roman" w:hAnsi="Times New Roman" w:cs="Times New Roman"/>
          <w:i/>
          <w:iCs/>
          <w:sz w:val="24"/>
          <w:szCs w:val="24"/>
        </w:rPr>
        <w:t>Value Health</w:t>
      </w:r>
      <w:r>
        <w:rPr>
          <w:rFonts w:ascii="Times New Roman" w:hAnsi="Times New Roman" w:cs="Times New Roman"/>
          <w:sz w:val="24"/>
          <w:szCs w:val="24"/>
        </w:rPr>
        <w:t>. 2009;12(4):489-497. doi:10.1111/j.1524-4733.2008.00447.x</w:t>
      </w:r>
    </w:p>
    <w:p w14:paraId="6479D9F5"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52. </w:t>
      </w:r>
      <w:r>
        <w:rPr>
          <w:rFonts w:ascii="Times New Roman" w:hAnsi="Times New Roman" w:cs="Times New Roman"/>
          <w:sz w:val="24"/>
          <w:szCs w:val="24"/>
        </w:rPr>
        <w:tab/>
        <w:t xml:space="preserve">Sommers BD, Gunja MZ, Finegold K, Musco T. Changes in Self-reported Insurance Coverage, Access to Care, and Health Under the Affordable Care Act. </w:t>
      </w:r>
      <w:r>
        <w:rPr>
          <w:rFonts w:ascii="Times New Roman" w:hAnsi="Times New Roman" w:cs="Times New Roman"/>
          <w:i/>
          <w:iCs/>
          <w:sz w:val="24"/>
          <w:szCs w:val="24"/>
        </w:rPr>
        <w:t>JAMA</w:t>
      </w:r>
      <w:r>
        <w:rPr>
          <w:rFonts w:ascii="Times New Roman" w:hAnsi="Times New Roman" w:cs="Times New Roman"/>
          <w:sz w:val="24"/>
          <w:szCs w:val="24"/>
        </w:rPr>
        <w:t>. 2015;314(4):366-374. doi:10.1001/jama.2015.8421</w:t>
      </w:r>
    </w:p>
    <w:p w14:paraId="31AB86F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53. </w:t>
      </w:r>
      <w:r>
        <w:rPr>
          <w:rFonts w:ascii="Times New Roman" w:hAnsi="Times New Roman" w:cs="Times New Roman"/>
          <w:sz w:val="24"/>
          <w:szCs w:val="24"/>
        </w:rPr>
        <w:tab/>
        <w:t xml:space="preserve">Rosenbaum S. The Patient Protection and Affordable Care Act: Implications for Public Health Policy and Practice. </w:t>
      </w:r>
      <w:r>
        <w:rPr>
          <w:rFonts w:ascii="Times New Roman" w:hAnsi="Times New Roman" w:cs="Times New Roman"/>
          <w:i/>
          <w:iCs/>
          <w:sz w:val="24"/>
          <w:szCs w:val="24"/>
        </w:rPr>
        <w:t>Public Health Rep</w:t>
      </w:r>
      <w:r>
        <w:rPr>
          <w:rFonts w:ascii="Times New Roman" w:hAnsi="Times New Roman" w:cs="Times New Roman"/>
          <w:sz w:val="24"/>
          <w:szCs w:val="24"/>
        </w:rPr>
        <w:t>. 2011;126(1):130-135. doi:10.1177/003335491112600118</w:t>
      </w:r>
    </w:p>
    <w:p w14:paraId="1C6567F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54. </w:t>
      </w:r>
      <w:r>
        <w:rPr>
          <w:rFonts w:ascii="Times New Roman" w:hAnsi="Times New Roman" w:cs="Times New Roman"/>
          <w:sz w:val="24"/>
          <w:szCs w:val="24"/>
        </w:rPr>
        <w:tab/>
        <w:t xml:space="preserve">Miller S, Altekruse S, Johnson N, Wherry LR. </w:t>
      </w:r>
      <w:r>
        <w:rPr>
          <w:rFonts w:ascii="Times New Roman" w:hAnsi="Times New Roman" w:cs="Times New Roman"/>
          <w:i/>
          <w:iCs/>
          <w:sz w:val="24"/>
          <w:szCs w:val="24"/>
        </w:rPr>
        <w:t>Medicaid and Mortality: New Evidence from Linked Survey and Administrative Data</w:t>
      </w:r>
      <w:r>
        <w:rPr>
          <w:rFonts w:ascii="Times New Roman" w:hAnsi="Times New Roman" w:cs="Times New Roman"/>
          <w:sz w:val="24"/>
          <w:szCs w:val="24"/>
        </w:rPr>
        <w:t>. National Bureau of Economic Research; 2019.</w:t>
      </w:r>
    </w:p>
    <w:p w14:paraId="7952CF2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55. </w:t>
      </w:r>
      <w:r>
        <w:rPr>
          <w:rFonts w:ascii="Times New Roman" w:hAnsi="Times New Roman" w:cs="Times New Roman"/>
          <w:sz w:val="24"/>
          <w:szCs w:val="24"/>
        </w:rPr>
        <w:tab/>
        <w:t xml:space="preserve">Kennedy JJ, Maciejewski M, Liu D, Blodgett E. Cost-Related Nonadherence in the Medicare Program: The Impact of Part D. </w:t>
      </w:r>
      <w:r>
        <w:rPr>
          <w:rFonts w:ascii="Times New Roman" w:hAnsi="Times New Roman" w:cs="Times New Roman"/>
          <w:i/>
          <w:iCs/>
          <w:sz w:val="24"/>
          <w:szCs w:val="24"/>
        </w:rPr>
        <w:t>Med Care</w:t>
      </w:r>
      <w:r>
        <w:rPr>
          <w:rFonts w:ascii="Times New Roman" w:hAnsi="Times New Roman" w:cs="Times New Roman"/>
          <w:sz w:val="24"/>
          <w:szCs w:val="24"/>
        </w:rPr>
        <w:t>. 2011;49(5):522-526.</w:t>
      </w:r>
    </w:p>
    <w:p w14:paraId="78E1727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56. </w:t>
      </w:r>
      <w:r>
        <w:rPr>
          <w:rFonts w:ascii="Times New Roman" w:hAnsi="Times New Roman" w:cs="Times New Roman"/>
          <w:sz w:val="24"/>
          <w:szCs w:val="24"/>
        </w:rPr>
        <w:tab/>
        <w:t xml:space="preserve">Park YJ, Martin EG. Medicare Part D’s Effects on Drug Utilization and Out-of-Pocket Costs: A Systematic Review. </w:t>
      </w:r>
      <w:r>
        <w:rPr>
          <w:rFonts w:ascii="Times New Roman" w:hAnsi="Times New Roman" w:cs="Times New Roman"/>
          <w:i/>
          <w:iCs/>
          <w:sz w:val="24"/>
          <w:szCs w:val="24"/>
        </w:rPr>
        <w:t>Health Serv Res</w:t>
      </w:r>
      <w:r>
        <w:rPr>
          <w:rFonts w:ascii="Times New Roman" w:hAnsi="Times New Roman" w:cs="Times New Roman"/>
          <w:sz w:val="24"/>
          <w:szCs w:val="24"/>
        </w:rPr>
        <w:t>. 2017;52(5):1685-1728. doi:10.1111/1475-6773.12534</w:t>
      </w:r>
    </w:p>
    <w:p w14:paraId="7BF0354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57. </w:t>
      </w:r>
      <w:r>
        <w:rPr>
          <w:rFonts w:ascii="Times New Roman" w:hAnsi="Times New Roman" w:cs="Times New Roman"/>
          <w:sz w:val="24"/>
          <w:szCs w:val="24"/>
        </w:rPr>
        <w:tab/>
        <w:t xml:space="preserve">Fukuda H, Mizobe M. Impact of nonadherence on complication risks and healthcare costs in patients newly-diagnosed with diabetes. </w:t>
      </w:r>
      <w:r>
        <w:rPr>
          <w:rFonts w:ascii="Times New Roman" w:hAnsi="Times New Roman" w:cs="Times New Roman"/>
          <w:i/>
          <w:iCs/>
          <w:sz w:val="24"/>
          <w:szCs w:val="24"/>
        </w:rPr>
        <w:t>Diabetes Res Clin Pract</w:t>
      </w:r>
      <w:r>
        <w:rPr>
          <w:rFonts w:ascii="Times New Roman" w:hAnsi="Times New Roman" w:cs="Times New Roman"/>
          <w:sz w:val="24"/>
          <w:szCs w:val="24"/>
        </w:rPr>
        <w:t>. 2017;123:55-62. doi:10.1016/j.diabres.2016.11.007</w:t>
      </w:r>
    </w:p>
    <w:p w14:paraId="4939227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58. </w:t>
      </w:r>
      <w:r>
        <w:rPr>
          <w:rFonts w:ascii="Times New Roman" w:hAnsi="Times New Roman" w:cs="Times New Roman"/>
          <w:sz w:val="24"/>
          <w:szCs w:val="24"/>
        </w:rPr>
        <w:tab/>
        <w:t xml:space="preserve">Ito K, Avorn J, Shrank WH, et al. Long-term cost-effectiveness of providing full coverage for preventive medications after myocardial infarction. </w:t>
      </w:r>
      <w:r>
        <w:rPr>
          <w:rFonts w:ascii="Times New Roman" w:hAnsi="Times New Roman" w:cs="Times New Roman"/>
          <w:i/>
          <w:iCs/>
          <w:sz w:val="24"/>
          <w:szCs w:val="24"/>
        </w:rPr>
        <w:t>Circ Cardiovasc Qual Outcomes</w:t>
      </w:r>
      <w:r>
        <w:rPr>
          <w:rFonts w:ascii="Times New Roman" w:hAnsi="Times New Roman" w:cs="Times New Roman"/>
          <w:sz w:val="24"/>
          <w:szCs w:val="24"/>
        </w:rPr>
        <w:t>. 2015;8(3):252-259. doi:10.1161/CIRCOUTCOMES.114.001330</w:t>
      </w:r>
    </w:p>
    <w:p w14:paraId="2FEAF25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59. </w:t>
      </w:r>
      <w:r>
        <w:rPr>
          <w:rFonts w:ascii="Times New Roman" w:hAnsi="Times New Roman" w:cs="Times New Roman"/>
          <w:sz w:val="24"/>
          <w:szCs w:val="24"/>
        </w:rPr>
        <w:tab/>
        <w:t xml:space="preserve">Choudhry Niteesh K., Patrick Amanda R., Antman Elliott M., Avorn Jerry, Shrank William H. Cost-Effectiveness of Providing Full Drug Coverage to Increase Medication Adherence in Post–Myocardial Infarction Medicare Beneficiaries. </w:t>
      </w:r>
      <w:r>
        <w:rPr>
          <w:rFonts w:ascii="Times New Roman" w:hAnsi="Times New Roman" w:cs="Times New Roman"/>
          <w:i/>
          <w:iCs/>
          <w:sz w:val="24"/>
          <w:szCs w:val="24"/>
        </w:rPr>
        <w:t>Circulation</w:t>
      </w:r>
      <w:r>
        <w:rPr>
          <w:rFonts w:ascii="Times New Roman" w:hAnsi="Times New Roman" w:cs="Times New Roman"/>
          <w:sz w:val="24"/>
          <w:szCs w:val="24"/>
        </w:rPr>
        <w:t>. 2008;117(10):1261-1268. doi:10.1161/CIRCULATIONAHA.107.735605</w:t>
      </w:r>
    </w:p>
    <w:p w14:paraId="635FAA4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60. </w:t>
      </w:r>
      <w:r>
        <w:rPr>
          <w:rFonts w:ascii="Times New Roman" w:hAnsi="Times New Roman" w:cs="Times New Roman"/>
          <w:sz w:val="24"/>
          <w:szCs w:val="24"/>
        </w:rPr>
        <w:tab/>
        <w:t>Reduce Insulin Prices | Colorado General Assembly. https://leg.colorado.gov/bills/hb19-1216. Accessed February 8, 2020.</w:t>
      </w:r>
    </w:p>
    <w:p w14:paraId="68153CB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61. </w:t>
      </w:r>
      <w:r>
        <w:rPr>
          <w:rFonts w:ascii="Times New Roman" w:hAnsi="Times New Roman" w:cs="Times New Roman"/>
          <w:sz w:val="24"/>
          <w:szCs w:val="24"/>
        </w:rPr>
        <w:tab/>
        <w:t>Illinois General Assembly - Bill Status for SB0667. http://www.ilga.gov/legislation/BillStatus.asp?GA=101&amp;DocTypeID=SB&amp;DocNum=667&amp;GAID=15&amp;SessionID=108&amp;LegID=116604. Accessed February 8, 2020.</w:t>
      </w:r>
    </w:p>
    <w:p w14:paraId="11C806AA"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62. </w:t>
      </w:r>
      <w:r>
        <w:rPr>
          <w:rFonts w:ascii="Times New Roman" w:hAnsi="Times New Roman" w:cs="Times New Roman"/>
          <w:sz w:val="24"/>
          <w:szCs w:val="24"/>
        </w:rPr>
        <w:tab/>
        <w:t xml:space="preserve">Casello D. </w:t>
      </w:r>
      <w:r>
        <w:rPr>
          <w:rFonts w:ascii="Times New Roman" w:hAnsi="Times New Roman" w:cs="Times New Roman"/>
          <w:i/>
          <w:iCs/>
          <w:sz w:val="24"/>
          <w:szCs w:val="24"/>
        </w:rPr>
        <w:t>Prescription Insulin Drugs</w:t>
      </w:r>
      <w:r>
        <w:rPr>
          <w:rFonts w:ascii="Times New Roman" w:hAnsi="Times New Roman" w:cs="Times New Roman"/>
          <w:sz w:val="24"/>
          <w:szCs w:val="24"/>
        </w:rPr>
        <w:t>.; 2020. https://www.flsenate.gov/Session/Bill/2020/109.</w:t>
      </w:r>
    </w:p>
    <w:p w14:paraId="41B45FB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63. </w:t>
      </w:r>
      <w:r>
        <w:rPr>
          <w:rFonts w:ascii="Times New Roman" w:hAnsi="Times New Roman" w:cs="Times New Roman"/>
          <w:sz w:val="24"/>
          <w:szCs w:val="24"/>
        </w:rPr>
        <w:tab/>
        <w:t>Krasselt K. Lawmakers moving toward payment caps for insulin and other drugs. Connecticut Post. https://www.ctpost.com/politics/article/Lawmakers-moving-toward-payment-caps-for-insulin-14951512.php. Published January 3, 2020. Accessed February 19, 2020.</w:t>
      </w:r>
    </w:p>
    <w:p w14:paraId="3FC956B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64. </w:t>
      </w:r>
      <w:r>
        <w:rPr>
          <w:rFonts w:ascii="Times New Roman" w:hAnsi="Times New Roman" w:cs="Times New Roman"/>
          <w:sz w:val="24"/>
          <w:szCs w:val="24"/>
        </w:rPr>
        <w:tab/>
        <w:t xml:space="preserve">Committee on Insurance. </w:t>
      </w:r>
      <w:r>
        <w:rPr>
          <w:rFonts w:ascii="Times New Roman" w:hAnsi="Times New Roman" w:cs="Times New Roman"/>
          <w:i/>
          <w:iCs/>
          <w:sz w:val="24"/>
          <w:szCs w:val="24"/>
        </w:rPr>
        <w:t>Establishing a $100 Maximum out of Pocket Cost Share per Month per Covered Person for Prescription Insulin Drugs</w:t>
      </w:r>
      <w:r>
        <w:rPr>
          <w:rFonts w:ascii="Times New Roman" w:hAnsi="Times New Roman" w:cs="Times New Roman"/>
          <w:sz w:val="24"/>
          <w:szCs w:val="24"/>
        </w:rPr>
        <w:t>.; 2020.</w:t>
      </w:r>
    </w:p>
    <w:p w14:paraId="2A104C6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65. </w:t>
      </w:r>
      <w:r>
        <w:rPr>
          <w:rFonts w:ascii="Times New Roman" w:hAnsi="Times New Roman" w:cs="Times New Roman"/>
          <w:sz w:val="24"/>
          <w:szCs w:val="24"/>
        </w:rPr>
        <w:tab/>
        <w:t>A5786. https://www.njleg.state.nj.us/2018/Bills/A9999/5786_I1.HTM. Accessed February 8, 2020.</w:t>
      </w:r>
    </w:p>
    <w:p w14:paraId="4E50AFF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66. </w:t>
      </w:r>
      <w:r>
        <w:rPr>
          <w:rFonts w:ascii="Times New Roman" w:hAnsi="Times New Roman" w:cs="Times New Roman"/>
          <w:sz w:val="24"/>
          <w:szCs w:val="24"/>
        </w:rPr>
        <w:tab/>
        <w:t>Michigan Legislature - House Bill 4701 (2019). http://www.legislature.mi.gov/(S(t0pchkesswpua5ra3nx2klwk))/mileg.aspx?page=GetObject&amp;objectname=2019-HB-4701. Accessed February 8, 2020.</w:t>
      </w:r>
    </w:p>
    <w:p w14:paraId="087A68D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67. </w:t>
      </w:r>
      <w:r>
        <w:rPr>
          <w:rFonts w:ascii="Times New Roman" w:hAnsi="Times New Roman" w:cs="Times New Roman"/>
          <w:sz w:val="24"/>
          <w:szCs w:val="24"/>
        </w:rPr>
        <w:tab/>
        <w:t xml:space="preserve">Grassley C. </w:t>
      </w:r>
      <w:r>
        <w:rPr>
          <w:rFonts w:ascii="Times New Roman" w:hAnsi="Times New Roman" w:cs="Times New Roman"/>
          <w:i/>
          <w:iCs/>
          <w:sz w:val="24"/>
          <w:szCs w:val="24"/>
        </w:rPr>
        <w:t>Prescription Drug Pricing Reduction Act of 2019</w:t>
      </w:r>
      <w:r>
        <w:rPr>
          <w:rFonts w:ascii="Times New Roman" w:hAnsi="Times New Roman" w:cs="Times New Roman"/>
          <w:sz w:val="24"/>
          <w:szCs w:val="24"/>
        </w:rPr>
        <w:t>. https://www.congress.gov/bill/116th-congress/senate-bill/2543/all-info.</w:t>
      </w:r>
    </w:p>
    <w:p w14:paraId="5B1429F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68. </w:t>
      </w:r>
      <w:r>
        <w:rPr>
          <w:rFonts w:ascii="Times New Roman" w:hAnsi="Times New Roman" w:cs="Times New Roman"/>
          <w:sz w:val="24"/>
          <w:szCs w:val="24"/>
        </w:rPr>
        <w:tab/>
        <w:t xml:space="preserve">Vernon JA. Examining the link between price regulation and pharmaceutical R&amp;D investment. </w:t>
      </w:r>
      <w:r>
        <w:rPr>
          <w:rFonts w:ascii="Times New Roman" w:hAnsi="Times New Roman" w:cs="Times New Roman"/>
          <w:i/>
          <w:iCs/>
          <w:sz w:val="24"/>
          <w:szCs w:val="24"/>
        </w:rPr>
        <w:t>Health Econ</w:t>
      </w:r>
      <w:r>
        <w:rPr>
          <w:rFonts w:ascii="Times New Roman" w:hAnsi="Times New Roman" w:cs="Times New Roman"/>
          <w:sz w:val="24"/>
          <w:szCs w:val="24"/>
        </w:rPr>
        <w:t>. 2005;14(1):1-16. doi:10.1002/hec.897</w:t>
      </w:r>
    </w:p>
    <w:p w14:paraId="2F99BA6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69. </w:t>
      </w:r>
      <w:r>
        <w:rPr>
          <w:rFonts w:ascii="Times New Roman" w:hAnsi="Times New Roman" w:cs="Times New Roman"/>
          <w:sz w:val="24"/>
          <w:szCs w:val="24"/>
        </w:rPr>
        <w:tab/>
        <w:t xml:space="preserve">Gotham D, Barber MJ, Hill A. Production costs and potential prices for biosimilars of human insulin and insulin analogues. </w:t>
      </w:r>
      <w:r>
        <w:rPr>
          <w:rFonts w:ascii="Times New Roman" w:hAnsi="Times New Roman" w:cs="Times New Roman"/>
          <w:i/>
          <w:iCs/>
          <w:sz w:val="24"/>
          <w:szCs w:val="24"/>
        </w:rPr>
        <w:t>BMJ Glob Health</w:t>
      </w:r>
      <w:r>
        <w:rPr>
          <w:rFonts w:ascii="Times New Roman" w:hAnsi="Times New Roman" w:cs="Times New Roman"/>
          <w:sz w:val="24"/>
          <w:szCs w:val="24"/>
        </w:rPr>
        <w:t>. 2018;3(5). doi:10.1136/bmjgh-2018-000850</w:t>
      </w:r>
    </w:p>
    <w:p w14:paraId="378FB4B7"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70. </w:t>
      </w:r>
      <w:r>
        <w:rPr>
          <w:rFonts w:ascii="Times New Roman" w:hAnsi="Times New Roman" w:cs="Times New Roman"/>
          <w:sz w:val="24"/>
          <w:szCs w:val="24"/>
        </w:rPr>
        <w:tab/>
        <w:t xml:space="preserve">Brekke KR, Grasdal AL, Holmås TH. Regulation and pricing of pharmaceuticals: Reference pricing or price cap regulation? </w:t>
      </w:r>
      <w:r>
        <w:rPr>
          <w:rFonts w:ascii="Times New Roman" w:hAnsi="Times New Roman" w:cs="Times New Roman"/>
          <w:i/>
          <w:iCs/>
          <w:sz w:val="24"/>
          <w:szCs w:val="24"/>
        </w:rPr>
        <w:t>Eur Econ Rev</w:t>
      </w:r>
      <w:r>
        <w:rPr>
          <w:rFonts w:ascii="Times New Roman" w:hAnsi="Times New Roman" w:cs="Times New Roman"/>
          <w:sz w:val="24"/>
          <w:szCs w:val="24"/>
        </w:rPr>
        <w:t>. 2009;53(2):170-185. doi:10.1016/j.euroecorev.2008.03.004</w:t>
      </w:r>
    </w:p>
    <w:p w14:paraId="1F14A108"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71. </w:t>
      </w:r>
      <w:r>
        <w:rPr>
          <w:rFonts w:ascii="Times New Roman" w:hAnsi="Times New Roman" w:cs="Times New Roman"/>
          <w:sz w:val="24"/>
          <w:szCs w:val="24"/>
        </w:rPr>
        <w:tab/>
        <w:t xml:space="preserve">Acosta A, Ciapponi A, Aaserud M, et al. Pharmaceutical policies: effects of reference pricing, other pricing, and purchasing policies. </w:t>
      </w:r>
      <w:r>
        <w:rPr>
          <w:rFonts w:ascii="Times New Roman" w:hAnsi="Times New Roman" w:cs="Times New Roman"/>
          <w:i/>
          <w:iCs/>
          <w:sz w:val="24"/>
          <w:szCs w:val="24"/>
        </w:rPr>
        <w:t>Cochrane Database Syst Rev</w:t>
      </w:r>
      <w:r>
        <w:rPr>
          <w:rFonts w:ascii="Times New Roman" w:hAnsi="Times New Roman" w:cs="Times New Roman"/>
          <w:sz w:val="24"/>
          <w:szCs w:val="24"/>
        </w:rPr>
        <w:t>. 2014;(10). doi:10.1002/14651858.CD005979.pub2</w:t>
      </w:r>
    </w:p>
    <w:p w14:paraId="75726D7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72. </w:t>
      </w:r>
      <w:r>
        <w:rPr>
          <w:rFonts w:ascii="Times New Roman" w:hAnsi="Times New Roman" w:cs="Times New Roman"/>
          <w:sz w:val="24"/>
          <w:szCs w:val="24"/>
        </w:rPr>
        <w:tab/>
        <w:t xml:space="preserve">Madden JM, Graves AJ, Zhang F, et al. Cost-Related Medication Nonadherence and Spending on Basic Needs Following Implementation of Medicare Part D. </w:t>
      </w:r>
      <w:r>
        <w:rPr>
          <w:rFonts w:ascii="Times New Roman" w:hAnsi="Times New Roman" w:cs="Times New Roman"/>
          <w:i/>
          <w:iCs/>
          <w:sz w:val="24"/>
          <w:szCs w:val="24"/>
        </w:rPr>
        <w:t>JAMA</w:t>
      </w:r>
      <w:r>
        <w:rPr>
          <w:rFonts w:ascii="Times New Roman" w:hAnsi="Times New Roman" w:cs="Times New Roman"/>
          <w:sz w:val="24"/>
          <w:szCs w:val="24"/>
        </w:rPr>
        <w:t>. 2008;299(16):1922-1928. doi:10.1001/jama.299.16.1922</w:t>
      </w:r>
    </w:p>
    <w:p w14:paraId="41DF86D1"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73. </w:t>
      </w:r>
      <w:r>
        <w:rPr>
          <w:rFonts w:ascii="Times New Roman" w:hAnsi="Times New Roman" w:cs="Times New Roman"/>
          <w:sz w:val="24"/>
          <w:szCs w:val="24"/>
        </w:rPr>
        <w:tab/>
        <w:t xml:space="preserve">Kennedy J, Tuleu I, Mackay K. Unfilled Prescriptions of Medicare Beneficiaries: Prevalence, Reasons, and Types of Medicines Prescribed. </w:t>
      </w:r>
      <w:r>
        <w:rPr>
          <w:rFonts w:ascii="Times New Roman" w:hAnsi="Times New Roman" w:cs="Times New Roman"/>
          <w:i/>
          <w:iCs/>
          <w:sz w:val="24"/>
          <w:szCs w:val="24"/>
        </w:rPr>
        <w:t>J Manag Care Pharm</w:t>
      </w:r>
      <w:r>
        <w:rPr>
          <w:rFonts w:ascii="Times New Roman" w:hAnsi="Times New Roman" w:cs="Times New Roman"/>
          <w:sz w:val="24"/>
          <w:szCs w:val="24"/>
        </w:rPr>
        <w:t>. 2008;14(6):553-560. doi:10.18553/jmcp.2008.14.6.553</w:t>
      </w:r>
    </w:p>
    <w:p w14:paraId="3743C62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74. </w:t>
      </w:r>
      <w:r>
        <w:rPr>
          <w:rFonts w:ascii="Times New Roman" w:hAnsi="Times New Roman" w:cs="Times New Roman"/>
          <w:sz w:val="24"/>
          <w:szCs w:val="24"/>
        </w:rPr>
        <w:tab/>
        <w:t xml:space="preserve">Blumberg DM, Prager AJ, Liebmann JM, Cioffi GA, Moraes CGD. Cost-Related Medication Nonadherence and Cost-Saving Behaviors Among Patients With Glaucoma Before and After the Implementation of Medicare Part D. </w:t>
      </w:r>
      <w:r>
        <w:rPr>
          <w:rFonts w:ascii="Times New Roman" w:hAnsi="Times New Roman" w:cs="Times New Roman"/>
          <w:i/>
          <w:iCs/>
          <w:sz w:val="24"/>
          <w:szCs w:val="24"/>
        </w:rPr>
        <w:t>JAMA Ophthalmol</w:t>
      </w:r>
      <w:r>
        <w:rPr>
          <w:rFonts w:ascii="Times New Roman" w:hAnsi="Times New Roman" w:cs="Times New Roman"/>
          <w:sz w:val="24"/>
          <w:szCs w:val="24"/>
        </w:rPr>
        <w:t>. 2015;133(9):985-996. doi:10.1001/jamaophthalmol.2015.1671</w:t>
      </w:r>
    </w:p>
    <w:p w14:paraId="3E14E7C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75. </w:t>
      </w:r>
      <w:r>
        <w:rPr>
          <w:rFonts w:ascii="Times New Roman" w:hAnsi="Times New Roman" w:cs="Times New Roman"/>
          <w:sz w:val="24"/>
          <w:szCs w:val="24"/>
        </w:rPr>
        <w:tab/>
        <w:t xml:space="preserve">Zivin K, Ratliff S, Heisler MM, Langa KM, Piette JD. Factors Influencing Cost-Related Nonadherence to Medication in Older Adults: A Conceptually Based Approach. </w:t>
      </w:r>
      <w:r>
        <w:rPr>
          <w:rFonts w:ascii="Times New Roman" w:hAnsi="Times New Roman" w:cs="Times New Roman"/>
          <w:i/>
          <w:iCs/>
          <w:sz w:val="24"/>
          <w:szCs w:val="24"/>
        </w:rPr>
        <w:t xml:space="preserve">Value </w:t>
      </w:r>
      <w:r>
        <w:rPr>
          <w:rFonts w:ascii="Times New Roman" w:hAnsi="Times New Roman" w:cs="Times New Roman"/>
          <w:i/>
          <w:iCs/>
          <w:sz w:val="24"/>
          <w:szCs w:val="24"/>
        </w:rPr>
        <w:lastRenderedPageBreak/>
        <w:t>Health J Int Soc Pharmacoeconomics Outcomes Res</w:t>
      </w:r>
      <w:r>
        <w:rPr>
          <w:rFonts w:ascii="Times New Roman" w:hAnsi="Times New Roman" w:cs="Times New Roman"/>
          <w:sz w:val="24"/>
          <w:szCs w:val="24"/>
        </w:rPr>
        <w:t>. 2010;13(4):338-345. doi:10.1111/j.1524-4733.2009.00679.x</w:t>
      </w:r>
    </w:p>
    <w:p w14:paraId="430BDC6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76. </w:t>
      </w:r>
      <w:r>
        <w:rPr>
          <w:rFonts w:ascii="Times New Roman" w:hAnsi="Times New Roman" w:cs="Times New Roman"/>
          <w:sz w:val="24"/>
          <w:szCs w:val="24"/>
        </w:rPr>
        <w:tab/>
        <w:t xml:space="preserve">Piette JD, Beard A, Rosland AM, McHorney CA. Beliefs that influence cost-related medication non-adherence among the “haves” and “have nots” with chronic diseases. </w:t>
      </w:r>
      <w:r>
        <w:rPr>
          <w:rFonts w:ascii="Times New Roman" w:hAnsi="Times New Roman" w:cs="Times New Roman"/>
          <w:i/>
          <w:iCs/>
          <w:sz w:val="24"/>
          <w:szCs w:val="24"/>
        </w:rPr>
        <w:t>Patient Prefer Adherence</w:t>
      </w:r>
      <w:r>
        <w:rPr>
          <w:rFonts w:ascii="Times New Roman" w:hAnsi="Times New Roman" w:cs="Times New Roman"/>
          <w:sz w:val="24"/>
          <w:szCs w:val="24"/>
        </w:rPr>
        <w:t>. 2011;5:389-396. doi:10.2147/PPA.S23111</w:t>
      </w:r>
    </w:p>
    <w:p w14:paraId="3913874E"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77. </w:t>
      </w:r>
      <w:r>
        <w:rPr>
          <w:rFonts w:ascii="Times New Roman" w:hAnsi="Times New Roman" w:cs="Times New Roman"/>
          <w:sz w:val="24"/>
          <w:szCs w:val="24"/>
        </w:rPr>
        <w:tab/>
        <w:t xml:space="preserve">Zeng F, Patel BV, Brunetti L. Effects of coverage gap reform on adherence to diabetes medications. </w:t>
      </w:r>
      <w:r>
        <w:rPr>
          <w:rFonts w:ascii="Times New Roman" w:hAnsi="Times New Roman" w:cs="Times New Roman"/>
          <w:i/>
          <w:iCs/>
          <w:sz w:val="24"/>
          <w:szCs w:val="24"/>
        </w:rPr>
        <w:t>Am J Manag Care</w:t>
      </w:r>
      <w:r>
        <w:rPr>
          <w:rFonts w:ascii="Times New Roman" w:hAnsi="Times New Roman" w:cs="Times New Roman"/>
          <w:sz w:val="24"/>
          <w:szCs w:val="24"/>
        </w:rPr>
        <w:t>. 2013;19(4):308—316.</w:t>
      </w:r>
    </w:p>
    <w:p w14:paraId="3D3A890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78. </w:t>
      </w:r>
      <w:r>
        <w:rPr>
          <w:rFonts w:ascii="Times New Roman" w:hAnsi="Times New Roman" w:cs="Times New Roman"/>
          <w:sz w:val="24"/>
          <w:szCs w:val="24"/>
        </w:rPr>
        <w:tab/>
        <w:t xml:space="preserve">Mulcahy AW, Eibner C, Finegold K. Gaining Coverage Through Medicaid Or Private Insurance Increased Prescription Use And Lowered Out-Of-Pocket Spending. </w:t>
      </w:r>
      <w:r>
        <w:rPr>
          <w:rFonts w:ascii="Times New Roman" w:hAnsi="Times New Roman" w:cs="Times New Roman"/>
          <w:i/>
          <w:iCs/>
          <w:sz w:val="24"/>
          <w:szCs w:val="24"/>
        </w:rPr>
        <w:t>Health Aff (Millwood)</w:t>
      </w:r>
      <w:r>
        <w:rPr>
          <w:rFonts w:ascii="Times New Roman" w:hAnsi="Times New Roman" w:cs="Times New Roman"/>
          <w:sz w:val="24"/>
          <w:szCs w:val="24"/>
        </w:rPr>
        <w:t>. 2016;35(9):1725-1733. doi:10.1377/hlthaff.2016.0091</w:t>
      </w:r>
    </w:p>
    <w:p w14:paraId="09A805F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79. </w:t>
      </w:r>
      <w:r>
        <w:rPr>
          <w:rFonts w:ascii="Times New Roman" w:hAnsi="Times New Roman" w:cs="Times New Roman"/>
          <w:sz w:val="24"/>
          <w:szCs w:val="24"/>
        </w:rPr>
        <w:tab/>
        <w:t xml:space="preserve">Kurlander JE, Kerr EA, Krein S, Heisler M, Piette JD. Cost-Related Nonadherence to Medications Among Patients With Diabetes and Chronic Pain: Factors beyond finances. </w:t>
      </w:r>
      <w:r>
        <w:rPr>
          <w:rFonts w:ascii="Times New Roman" w:hAnsi="Times New Roman" w:cs="Times New Roman"/>
          <w:i/>
          <w:iCs/>
          <w:sz w:val="24"/>
          <w:szCs w:val="24"/>
        </w:rPr>
        <w:t>Diabetes Care</w:t>
      </w:r>
      <w:r>
        <w:rPr>
          <w:rFonts w:ascii="Times New Roman" w:hAnsi="Times New Roman" w:cs="Times New Roman"/>
          <w:sz w:val="24"/>
          <w:szCs w:val="24"/>
        </w:rPr>
        <w:t>. 2009;32(12):2143-2148. doi:10.2337/dc09-1059</w:t>
      </w:r>
    </w:p>
    <w:p w14:paraId="0DF9E3EC"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80. </w:t>
      </w:r>
      <w:r>
        <w:rPr>
          <w:rFonts w:ascii="Times New Roman" w:hAnsi="Times New Roman" w:cs="Times New Roman"/>
          <w:sz w:val="24"/>
          <w:szCs w:val="24"/>
        </w:rPr>
        <w:tab/>
        <w:t xml:space="preserve">Skopp NA, Smolenski DJ, Schwesinger DA, Johnson CJ, Metzger-Abamukong MJ, Reger MA. Evaluation of a methodology to validate National Death Index retrieval results among a cohort of U.S. service members. </w:t>
      </w:r>
      <w:r>
        <w:rPr>
          <w:rFonts w:ascii="Times New Roman" w:hAnsi="Times New Roman" w:cs="Times New Roman"/>
          <w:i/>
          <w:iCs/>
          <w:sz w:val="24"/>
          <w:szCs w:val="24"/>
        </w:rPr>
        <w:t>Ann Epidemiol</w:t>
      </w:r>
      <w:r>
        <w:rPr>
          <w:rFonts w:ascii="Times New Roman" w:hAnsi="Times New Roman" w:cs="Times New Roman"/>
          <w:sz w:val="24"/>
          <w:szCs w:val="24"/>
        </w:rPr>
        <w:t>. 2017;27(6):397-400. doi:10.1016/j.annepidem.2017.05.004</w:t>
      </w:r>
    </w:p>
    <w:p w14:paraId="46A98CA1"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81. </w:t>
      </w:r>
      <w:r>
        <w:rPr>
          <w:rFonts w:ascii="Times New Roman" w:hAnsi="Times New Roman" w:cs="Times New Roman"/>
          <w:sz w:val="24"/>
          <w:szCs w:val="24"/>
        </w:rPr>
        <w:tab/>
        <w:t xml:space="preserve">Wojcik NC, Huebner WW, Jorgensen G. Strategies for Using the National Death Index and the Social Security Administration for Death Ascertainment in Large Occupational Cohort Mortality Studies. </w:t>
      </w:r>
      <w:r>
        <w:rPr>
          <w:rFonts w:ascii="Times New Roman" w:hAnsi="Times New Roman" w:cs="Times New Roman"/>
          <w:i/>
          <w:iCs/>
          <w:sz w:val="24"/>
          <w:szCs w:val="24"/>
        </w:rPr>
        <w:t>Am J Epidemiol</w:t>
      </w:r>
      <w:r>
        <w:rPr>
          <w:rFonts w:ascii="Times New Roman" w:hAnsi="Times New Roman" w:cs="Times New Roman"/>
          <w:sz w:val="24"/>
          <w:szCs w:val="24"/>
        </w:rPr>
        <w:t>. 2010;172(4):469-477. doi:10.1093/aje/kwq130</w:t>
      </w:r>
    </w:p>
    <w:p w14:paraId="7184E9A8"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82. </w:t>
      </w:r>
      <w:r>
        <w:rPr>
          <w:rFonts w:ascii="Times New Roman" w:hAnsi="Times New Roman" w:cs="Times New Roman"/>
          <w:sz w:val="24"/>
          <w:szCs w:val="24"/>
        </w:rPr>
        <w:tab/>
        <w:t xml:space="preserve">Lash T, Silliman R. A Comparison of the National Death Index and Social Security Administration Databases to Ascertain Vital Status. </w:t>
      </w:r>
      <w:r>
        <w:rPr>
          <w:rFonts w:ascii="Times New Roman" w:hAnsi="Times New Roman" w:cs="Times New Roman"/>
          <w:i/>
          <w:iCs/>
          <w:sz w:val="24"/>
          <w:szCs w:val="24"/>
        </w:rPr>
        <w:t>Epidemiology</w:t>
      </w:r>
      <w:r>
        <w:rPr>
          <w:rFonts w:ascii="Times New Roman" w:hAnsi="Times New Roman" w:cs="Times New Roman"/>
          <w:sz w:val="24"/>
          <w:szCs w:val="24"/>
        </w:rPr>
        <w:t>. 2001;12(2):259-261.</w:t>
      </w:r>
    </w:p>
    <w:p w14:paraId="1304C4D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83. </w:t>
      </w:r>
      <w:r>
        <w:rPr>
          <w:rFonts w:ascii="Times New Roman" w:hAnsi="Times New Roman" w:cs="Times New Roman"/>
          <w:sz w:val="24"/>
          <w:szCs w:val="24"/>
        </w:rPr>
        <w:tab/>
        <w:t xml:space="preserve">Fillenbaum GG, Burchett BM, Blazer DG. Identifying a National Death Index Match. </w:t>
      </w:r>
      <w:r>
        <w:rPr>
          <w:rFonts w:ascii="Times New Roman" w:hAnsi="Times New Roman" w:cs="Times New Roman"/>
          <w:i/>
          <w:iCs/>
          <w:sz w:val="24"/>
          <w:szCs w:val="24"/>
        </w:rPr>
        <w:t>Am J Epidemiol</w:t>
      </w:r>
      <w:r>
        <w:rPr>
          <w:rFonts w:ascii="Times New Roman" w:hAnsi="Times New Roman" w:cs="Times New Roman"/>
          <w:sz w:val="24"/>
          <w:szCs w:val="24"/>
        </w:rPr>
        <w:t>. 2009;170(4):515-518. doi:10.1093/aje/kwp155</w:t>
      </w:r>
    </w:p>
    <w:p w14:paraId="666FCD19" w14:textId="06769DCD" w:rsidR="00924B24" w:rsidRDefault="00654988" w:rsidP="00C82CF0">
      <w:pPr>
        <w:spacing w:line="480" w:lineRule="auto"/>
        <w:ind w:firstLine="720"/>
        <w:jc w:val="center"/>
        <w:rPr>
          <w:rFonts w:ascii="Times New Roman" w:hAnsi="Times New Roman" w:cs="Times New Roman"/>
          <w:sz w:val="24"/>
          <w:szCs w:val="24"/>
        </w:rPr>
      </w:pPr>
      <w:r w:rsidRPr="00F55D63">
        <w:rPr>
          <w:rFonts w:ascii="Times New Roman" w:hAnsi="Times New Roman" w:cs="Times New Roman"/>
          <w:sz w:val="24"/>
          <w:szCs w:val="24"/>
        </w:rPr>
        <w:fldChar w:fldCharType="end"/>
      </w:r>
    </w:p>
    <w:p w14:paraId="7F169ED3" w14:textId="7E25EE7D" w:rsidR="00131F4F" w:rsidRDefault="003B0D19" w:rsidP="00EA4E50">
      <w:pPr>
        <w:spacing w:line="480" w:lineRule="auto"/>
        <w:rPr>
          <w:rFonts w:ascii="Times New Roman" w:hAnsi="Times New Roman" w:cs="Times New Roman"/>
          <w:sz w:val="24"/>
          <w:szCs w:val="24"/>
        </w:rPr>
      </w:pPr>
      <w:r>
        <w:t xml:space="preserve">  </w:t>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2C2C5997" w14:textId="77777777" w:rsidR="00B51C59" w:rsidRDefault="00B51C59" w:rsidP="00EA4E50">
      <w:pPr>
        <w:spacing w:line="480" w:lineRule="auto"/>
        <w:rPr>
          <w:rFonts w:ascii="Times New Roman" w:hAnsi="Times New Roman" w:cs="Times New Roman"/>
          <w:sz w:val="24"/>
          <w:szCs w:val="24"/>
        </w:rPr>
        <w:sectPr w:rsidR="00B51C59">
          <w:headerReference w:type="default" r:id="rId11"/>
          <w:pgSz w:w="12240" w:h="15840"/>
          <w:pgMar w:top="1440" w:right="1440" w:bottom="1440" w:left="1440" w:header="720" w:footer="720" w:gutter="0"/>
          <w:cols w:space="720"/>
          <w:docGrid w:linePitch="360"/>
        </w:sectPr>
      </w:pPr>
    </w:p>
    <w:p w14:paraId="7C4E95D1" w14:textId="3B3F6CE3" w:rsidR="00802D48" w:rsidRDefault="00802D48" w:rsidP="00802D48"/>
    <w:p w14:paraId="6DD65B13" w14:textId="53469168" w:rsidR="00802D48" w:rsidRPr="0098206C" w:rsidRDefault="00802D48" w:rsidP="00802D48">
      <w:pPr>
        <w:rPr>
          <w:rFonts w:ascii="Times New Roman" w:hAnsi="Times New Roman" w:cs="Times New Roman"/>
          <w:bCs/>
          <w:sz w:val="24"/>
          <w:szCs w:val="24"/>
        </w:rPr>
      </w:pPr>
      <w:r>
        <w:rPr>
          <w:rFonts w:ascii="Times New Roman" w:hAnsi="Times New Roman" w:cs="Times New Roman"/>
          <w:b/>
          <w:sz w:val="24"/>
          <w:szCs w:val="24"/>
        </w:rPr>
        <w:t xml:space="preserve">Figure 1. </w:t>
      </w:r>
      <w:r>
        <w:rPr>
          <w:rFonts w:ascii="Times New Roman" w:hAnsi="Times New Roman" w:cs="Times New Roman"/>
          <w:bCs/>
          <w:sz w:val="24"/>
          <w:szCs w:val="24"/>
        </w:rPr>
        <w:t>Conceptual model of relationship between cost related nonadherence and mortality. Components depicted in grey are assumed to be determinants of healthcare access and utilization (Anderson, 1968) while components shown in black are the primary focus of the current study. Skipping medication means forgoing medication doses altogether as a result of cost, substitution of medication means taking cheaper alternative medications, and delaying medication means delaying taking doses or waiting to fill prescriptions to make medication last longer and save money.</w:t>
      </w:r>
      <w:r>
        <w:rPr>
          <w:noProof/>
        </w:rPr>
        <w:drawing>
          <wp:inline distT="0" distB="0" distL="0" distR="0" wp14:anchorId="67D1C6E9" wp14:editId="7C056080">
            <wp:extent cx="8229600" cy="38074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tone Project Bold.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3807460"/>
                    </a:xfrm>
                    <a:prstGeom prst="rect">
                      <a:avLst/>
                    </a:prstGeom>
                  </pic:spPr>
                </pic:pic>
              </a:graphicData>
            </a:graphic>
          </wp:inline>
        </w:drawing>
      </w:r>
    </w:p>
    <w:p w14:paraId="4D10104F" w14:textId="77777777" w:rsidR="00802D48" w:rsidRDefault="00802D48">
      <w:pPr>
        <w:rPr>
          <w:rFonts w:ascii="Times New Roman" w:hAnsi="Times New Roman" w:cs="Times New Roman"/>
          <w:b/>
          <w:bCs/>
          <w:sz w:val="24"/>
          <w:szCs w:val="24"/>
        </w:rPr>
      </w:pPr>
      <w:r>
        <w:rPr>
          <w:rFonts w:ascii="Times New Roman" w:hAnsi="Times New Roman" w:cs="Times New Roman"/>
          <w:b/>
          <w:bCs/>
          <w:sz w:val="24"/>
          <w:szCs w:val="24"/>
        </w:rPr>
        <w:br w:type="page"/>
      </w:r>
    </w:p>
    <w:p w14:paraId="4F2FB737" w14:textId="65F397B6" w:rsidR="004B7666" w:rsidRDefault="000B7F8C" w:rsidP="007764C5">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1. </w:t>
      </w:r>
      <w:r>
        <w:rPr>
          <w:rFonts w:ascii="Times New Roman" w:hAnsi="Times New Roman" w:cs="Times New Roman"/>
          <w:sz w:val="24"/>
          <w:szCs w:val="24"/>
        </w:rPr>
        <w:t>S</w:t>
      </w:r>
      <w:r w:rsidR="00E90990">
        <w:rPr>
          <w:rFonts w:ascii="Times New Roman" w:hAnsi="Times New Roman" w:cs="Times New Roman"/>
          <w:sz w:val="24"/>
          <w:szCs w:val="24"/>
        </w:rPr>
        <w:t xml:space="preserve">ociodemographic </w:t>
      </w:r>
      <w:r>
        <w:rPr>
          <w:rFonts w:ascii="Times New Roman" w:hAnsi="Times New Roman" w:cs="Times New Roman"/>
          <w:sz w:val="24"/>
          <w:szCs w:val="24"/>
        </w:rPr>
        <w:t xml:space="preserve">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p>
    <w:tbl>
      <w:tblPr>
        <w:tblW w:w="13837" w:type="dxa"/>
        <w:tblLook w:val="04A0" w:firstRow="1" w:lastRow="0" w:firstColumn="1" w:lastColumn="0" w:noHBand="0" w:noVBand="1"/>
      </w:tblPr>
      <w:tblGrid>
        <w:gridCol w:w="3777"/>
        <w:gridCol w:w="1820"/>
        <w:gridCol w:w="1600"/>
        <w:gridCol w:w="1660"/>
        <w:gridCol w:w="1660"/>
        <w:gridCol w:w="1600"/>
        <w:gridCol w:w="1720"/>
      </w:tblGrid>
      <w:tr w:rsidR="00C81F9F" w:rsidRPr="00C81F9F" w14:paraId="49CFC84B" w14:textId="77777777" w:rsidTr="00C81F9F">
        <w:trPr>
          <w:trHeight w:val="285"/>
        </w:trPr>
        <w:tc>
          <w:tcPr>
            <w:tcW w:w="3777" w:type="dxa"/>
            <w:tcBorders>
              <w:top w:val="nil"/>
              <w:left w:val="nil"/>
              <w:bottom w:val="nil"/>
              <w:right w:val="nil"/>
            </w:tcBorders>
            <w:shd w:val="clear" w:color="auto" w:fill="auto"/>
            <w:noWrap/>
            <w:vAlign w:val="bottom"/>
            <w:hideMark/>
          </w:tcPr>
          <w:p w14:paraId="3E40B2E4" w14:textId="77777777" w:rsidR="00C81F9F" w:rsidRPr="00C81F9F" w:rsidRDefault="00C81F9F" w:rsidP="00C81F9F">
            <w:pPr>
              <w:spacing w:after="0" w:line="240" w:lineRule="auto"/>
              <w:rPr>
                <w:rFonts w:ascii="Times New Roman" w:eastAsia="Times New Roman" w:hAnsi="Times New Roman" w:cs="Times New Roman"/>
                <w:sz w:val="24"/>
                <w:szCs w:val="24"/>
              </w:rPr>
            </w:pPr>
          </w:p>
        </w:tc>
        <w:tc>
          <w:tcPr>
            <w:tcW w:w="3420" w:type="dxa"/>
            <w:gridSpan w:val="2"/>
            <w:tcBorders>
              <w:top w:val="nil"/>
              <w:left w:val="nil"/>
              <w:bottom w:val="nil"/>
              <w:right w:val="nil"/>
            </w:tcBorders>
            <w:shd w:val="clear" w:color="auto" w:fill="auto"/>
            <w:noWrap/>
            <w:vAlign w:val="bottom"/>
            <w:hideMark/>
          </w:tcPr>
          <w:p w14:paraId="531BB2D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Diabetes</w:t>
            </w:r>
          </w:p>
        </w:tc>
        <w:tc>
          <w:tcPr>
            <w:tcW w:w="3320" w:type="dxa"/>
            <w:gridSpan w:val="2"/>
            <w:tcBorders>
              <w:top w:val="nil"/>
              <w:left w:val="nil"/>
              <w:bottom w:val="nil"/>
              <w:right w:val="nil"/>
            </w:tcBorders>
            <w:shd w:val="clear" w:color="auto" w:fill="auto"/>
            <w:noWrap/>
            <w:vAlign w:val="bottom"/>
            <w:hideMark/>
          </w:tcPr>
          <w:p w14:paraId="68A9A08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excluding Hypertension</w:t>
            </w:r>
          </w:p>
        </w:tc>
        <w:tc>
          <w:tcPr>
            <w:tcW w:w="3320" w:type="dxa"/>
            <w:gridSpan w:val="2"/>
            <w:tcBorders>
              <w:top w:val="nil"/>
              <w:left w:val="nil"/>
              <w:bottom w:val="nil"/>
              <w:right w:val="nil"/>
            </w:tcBorders>
            <w:shd w:val="clear" w:color="auto" w:fill="auto"/>
            <w:noWrap/>
            <w:vAlign w:val="bottom"/>
            <w:hideMark/>
          </w:tcPr>
          <w:p w14:paraId="4E811A0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including Hypertension</w:t>
            </w:r>
          </w:p>
        </w:tc>
      </w:tr>
      <w:tr w:rsidR="00C81F9F" w:rsidRPr="00C81F9F" w14:paraId="3AE4DCD5" w14:textId="77777777" w:rsidTr="00C81F9F">
        <w:trPr>
          <w:trHeight w:val="285"/>
        </w:trPr>
        <w:tc>
          <w:tcPr>
            <w:tcW w:w="3777" w:type="dxa"/>
            <w:tcBorders>
              <w:top w:val="nil"/>
              <w:left w:val="nil"/>
              <w:bottom w:val="nil"/>
              <w:right w:val="nil"/>
            </w:tcBorders>
            <w:shd w:val="clear" w:color="auto" w:fill="auto"/>
            <w:noWrap/>
            <w:vAlign w:val="bottom"/>
            <w:hideMark/>
          </w:tcPr>
          <w:p w14:paraId="4343D1F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1BDAE01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00" w:type="dxa"/>
            <w:tcBorders>
              <w:top w:val="nil"/>
              <w:left w:val="nil"/>
              <w:bottom w:val="nil"/>
              <w:right w:val="nil"/>
            </w:tcBorders>
            <w:shd w:val="clear" w:color="auto" w:fill="auto"/>
            <w:noWrap/>
            <w:vAlign w:val="bottom"/>
            <w:hideMark/>
          </w:tcPr>
          <w:p w14:paraId="36D30F9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60" w:type="dxa"/>
            <w:tcBorders>
              <w:top w:val="nil"/>
              <w:left w:val="nil"/>
              <w:bottom w:val="nil"/>
              <w:right w:val="nil"/>
            </w:tcBorders>
            <w:shd w:val="clear" w:color="auto" w:fill="auto"/>
            <w:noWrap/>
            <w:vAlign w:val="bottom"/>
            <w:hideMark/>
          </w:tcPr>
          <w:p w14:paraId="5A0A1A2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60" w:type="dxa"/>
            <w:tcBorders>
              <w:top w:val="nil"/>
              <w:left w:val="nil"/>
              <w:bottom w:val="single" w:sz="4" w:space="0" w:color="auto"/>
              <w:right w:val="nil"/>
            </w:tcBorders>
            <w:shd w:val="clear" w:color="auto" w:fill="auto"/>
            <w:noWrap/>
            <w:vAlign w:val="bottom"/>
            <w:hideMark/>
          </w:tcPr>
          <w:p w14:paraId="50992AA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00" w:type="dxa"/>
            <w:tcBorders>
              <w:top w:val="nil"/>
              <w:left w:val="nil"/>
              <w:bottom w:val="nil"/>
              <w:right w:val="nil"/>
            </w:tcBorders>
            <w:shd w:val="clear" w:color="auto" w:fill="auto"/>
            <w:noWrap/>
            <w:vAlign w:val="bottom"/>
            <w:hideMark/>
          </w:tcPr>
          <w:p w14:paraId="1F05E0C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720" w:type="dxa"/>
            <w:tcBorders>
              <w:top w:val="nil"/>
              <w:left w:val="nil"/>
              <w:bottom w:val="nil"/>
              <w:right w:val="nil"/>
            </w:tcBorders>
            <w:shd w:val="clear" w:color="auto" w:fill="auto"/>
            <w:noWrap/>
            <w:vAlign w:val="bottom"/>
            <w:hideMark/>
          </w:tcPr>
          <w:p w14:paraId="3F8DB85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r>
      <w:tr w:rsidR="00C81F9F" w:rsidRPr="00C81F9F" w14:paraId="209E4AF4" w14:textId="77777777" w:rsidTr="00C81F9F">
        <w:trPr>
          <w:trHeight w:val="285"/>
        </w:trPr>
        <w:tc>
          <w:tcPr>
            <w:tcW w:w="3777" w:type="dxa"/>
            <w:tcBorders>
              <w:top w:val="single" w:sz="4" w:space="0" w:color="auto"/>
              <w:left w:val="nil"/>
              <w:bottom w:val="nil"/>
              <w:right w:val="nil"/>
            </w:tcBorders>
            <w:shd w:val="clear" w:color="auto" w:fill="auto"/>
            <w:noWrap/>
            <w:vAlign w:val="bottom"/>
            <w:hideMark/>
          </w:tcPr>
          <w:p w14:paraId="78F8B64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 (weighted) 2000 -2014</w:t>
            </w:r>
          </w:p>
        </w:tc>
        <w:tc>
          <w:tcPr>
            <w:tcW w:w="1820" w:type="dxa"/>
            <w:tcBorders>
              <w:top w:val="single" w:sz="4" w:space="0" w:color="auto"/>
              <w:left w:val="nil"/>
              <w:bottom w:val="nil"/>
              <w:right w:val="nil"/>
            </w:tcBorders>
            <w:shd w:val="clear" w:color="auto" w:fill="auto"/>
            <w:noWrap/>
            <w:vAlign w:val="bottom"/>
            <w:hideMark/>
          </w:tcPr>
          <w:p w14:paraId="7876FA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1872888.6 (19.9)</w:t>
            </w:r>
          </w:p>
        </w:tc>
        <w:tc>
          <w:tcPr>
            <w:tcW w:w="1600" w:type="dxa"/>
            <w:tcBorders>
              <w:top w:val="single" w:sz="4" w:space="0" w:color="auto"/>
              <w:left w:val="nil"/>
              <w:bottom w:val="nil"/>
              <w:right w:val="nil"/>
            </w:tcBorders>
            <w:shd w:val="clear" w:color="auto" w:fill="auto"/>
            <w:noWrap/>
            <w:vAlign w:val="bottom"/>
            <w:hideMark/>
          </w:tcPr>
          <w:p w14:paraId="076A2A9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7521527.8 (80.1)</w:t>
            </w:r>
          </w:p>
        </w:tc>
        <w:tc>
          <w:tcPr>
            <w:tcW w:w="1660" w:type="dxa"/>
            <w:tcBorders>
              <w:top w:val="single" w:sz="4" w:space="0" w:color="auto"/>
              <w:left w:val="nil"/>
              <w:bottom w:val="nil"/>
              <w:right w:val="nil"/>
            </w:tcBorders>
            <w:shd w:val="clear" w:color="auto" w:fill="auto"/>
            <w:noWrap/>
            <w:vAlign w:val="bottom"/>
            <w:hideMark/>
          </w:tcPr>
          <w:p w14:paraId="0EEF7F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4311920.2 (19.1)</w:t>
            </w:r>
          </w:p>
        </w:tc>
        <w:tc>
          <w:tcPr>
            <w:tcW w:w="1660" w:type="dxa"/>
            <w:tcBorders>
              <w:top w:val="nil"/>
              <w:left w:val="nil"/>
              <w:bottom w:val="nil"/>
              <w:right w:val="nil"/>
            </w:tcBorders>
            <w:shd w:val="clear" w:color="auto" w:fill="auto"/>
            <w:noWrap/>
            <w:vAlign w:val="center"/>
            <w:hideMark/>
          </w:tcPr>
          <w:p w14:paraId="14F36E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18276849.2 (80.9)</w:t>
            </w:r>
          </w:p>
        </w:tc>
        <w:tc>
          <w:tcPr>
            <w:tcW w:w="1600" w:type="dxa"/>
            <w:tcBorders>
              <w:top w:val="single" w:sz="4" w:space="0" w:color="auto"/>
              <w:left w:val="nil"/>
              <w:bottom w:val="nil"/>
              <w:right w:val="nil"/>
            </w:tcBorders>
            <w:shd w:val="clear" w:color="auto" w:fill="auto"/>
            <w:noWrap/>
            <w:vAlign w:val="bottom"/>
            <w:hideMark/>
          </w:tcPr>
          <w:p w14:paraId="59D5F5C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10364659.4 (17.2)</w:t>
            </w:r>
          </w:p>
        </w:tc>
        <w:tc>
          <w:tcPr>
            <w:tcW w:w="1720" w:type="dxa"/>
            <w:tcBorders>
              <w:top w:val="single" w:sz="4" w:space="0" w:color="auto"/>
              <w:left w:val="nil"/>
              <w:bottom w:val="nil"/>
              <w:right w:val="nil"/>
            </w:tcBorders>
            <w:shd w:val="clear" w:color="auto" w:fill="auto"/>
            <w:noWrap/>
            <w:vAlign w:val="center"/>
            <w:hideMark/>
          </w:tcPr>
          <w:p w14:paraId="0042E0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49886713.8 (82.8)</w:t>
            </w:r>
          </w:p>
        </w:tc>
      </w:tr>
      <w:tr w:rsidR="00C81F9F" w:rsidRPr="00C81F9F" w14:paraId="43B935F7" w14:textId="77777777" w:rsidTr="00C81F9F">
        <w:trPr>
          <w:trHeight w:val="285"/>
        </w:trPr>
        <w:tc>
          <w:tcPr>
            <w:tcW w:w="3777" w:type="dxa"/>
            <w:tcBorders>
              <w:top w:val="nil"/>
              <w:left w:val="nil"/>
              <w:bottom w:val="nil"/>
              <w:right w:val="nil"/>
            </w:tcBorders>
            <w:shd w:val="clear" w:color="auto" w:fill="auto"/>
            <w:noWrap/>
            <w:vAlign w:val="bottom"/>
            <w:hideMark/>
          </w:tcPr>
          <w:p w14:paraId="73AE461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Age Median (IQR)</w:t>
            </w:r>
          </w:p>
        </w:tc>
        <w:tc>
          <w:tcPr>
            <w:tcW w:w="1820" w:type="dxa"/>
            <w:tcBorders>
              <w:top w:val="nil"/>
              <w:left w:val="nil"/>
              <w:bottom w:val="nil"/>
              <w:right w:val="nil"/>
            </w:tcBorders>
            <w:shd w:val="clear" w:color="auto" w:fill="auto"/>
            <w:noWrap/>
            <w:vAlign w:val="center"/>
            <w:hideMark/>
          </w:tcPr>
          <w:p w14:paraId="7FC495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[46.00, 63.00]</w:t>
            </w:r>
          </w:p>
        </w:tc>
        <w:tc>
          <w:tcPr>
            <w:tcW w:w="1600" w:type="dxa"/>
            <w:tcBorders>
              <w:top w:val="nil"/>
              <w:left w:val="nil"/>
              <w:bottom w:val="nil"/>
              <w:right w:val="nil"/>
            </w:tcBorders>
            <w:shd w:val="clear" w:color="auto" w:fill="auto"/>
            <w:noWrap/>
            <w:vAlign w:val="bottom"/>
            <w:hideMark/>
          </w:tcPr>
          <w:p w14:paraId="33B12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64.00 [54.00, 73.00]</w:t>
            </w:r>
          </w:p>
        </w:tc>
        <w:tc>
          <w:tcPr>
            <w:tcW w:w="1660" w:type="dxa"/>
            <w:tcBorders>
              <w:top w:val="nil"/>
              <w:left w:val="nil"/>
              <w:bottom w:val="nil"/>
              <w:right w:val="nil"/>
            </w:tcBorders>
            <w:shd w:val="clear" w:color="auto" w:fill="auto"/>
            <w:noWrap/>
            <w:vAlign w:val="center"/>
            <w:hideMark/>
          </w:tcPr>
          <w:p w14:paraId="2E317BB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[45.00, 65.00]</w:t>
            </w:r>
          </w:p>
        </w:tc>
        <w:tc>
          <w:tcPr>
            <w:tcW w:w="1660" w:type="dxa"/>
            <w:tcBorders>
              <w:top w:val="nil"/>
              <w:left w:val="nil"/>
              <w:bottom w:val="nil"/>
              <w:right w:val="nil"/>
            </w:tcBorders>
            <w:shd w:val="clear" w:color="auto" w:fill="auto"/>
            <w:noWrap/>
            <w:vAlign w:val="center"/>
            <w:hideMark/>
          </w:tcPr>
          <w:p w14:paraId="3B642A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67.00 [54.00, 77.00]</w:t>
            </w:r>
          </w:p>
        </w:tc>
        <w:tc>
          <w:tcPr>
            <w:tcW w:w="1600" w:type="dxa"/>
            <w:tcBorders>
              <w:top w:val="nil"/>
              <w:left w:val="nil"/>
              <w:bottom w:val="nil"/>
              <w:right w:val="nil"/>
            </w:tcBorders>
            <w:shd w:val="clear" w:color="auto" w:fill="auto"/>
            <w:noWrap/>
            <w:vAlign w:val="center"/>
            <w:hideMark/>
          </w:tcPr>
          <w:p w14:paraId="0CBD20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53.00 [42.00, 62.00]</w:t>
            </w:r>
          </w:p>
        </w:tc>
        <w:tc>
          <w:tcPr>
            <w:tcW w:w="1720" w:type="dxa"/>
            <w:tcBorders>
              <w:top w:val="nil"/>
              <w:left w:val="nil"/>
              <w:bottom w:val="nil"/>
              <w:right w:val="nil"/>
            </w:tcBorders>
            <w:shd w:val="clear" w:color="auto" w:fill="auto"/>
            <w:noWrap/>
            <w:vAlign w:val="center"/>
            <w:hideMark/>
          </w:tcPr>
          <w:p w14:paraId="4E9EF8B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 62.00 [50.00, 74.00]</w:t>
            </w:r>
          </w:p>
        </w:tc>
      </w:tr>
      <w:tr w:rsidR="00C81F9F" w:rsidRPr="00C81F9F" w14:paraId="3174B426" w14:textId="77777777" w:rsidTr="00C81F9F">
        <w:trPr>
          <w:trHeight w:val="285"/>
        </w:trPr>
        <w:tc>
          <w:tcPr>
            <w:tcW w:w="3777" w:type="dxa"/>
            <w:tcBorders>
              <w:top w:val="nil"/>
              <w:left w:val="nil"/>
              <w:bottom w:val="nil"/>
              <w:right w:val="nil"/>
            </w:tcBorders>
            <w:shd w:val="clear" w:color="auto" w:fill="auto"/>
            <w:noWrap/>
            <w:vAlign w:val="bottom"/>
            <w:hideMark/>
          </w:tcPr>
          <w:p w14:paraId="33580D4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Female</w:t>
            </w:r>
          </w:p>
        </w:tc>
        <w:tc>
          <w:tcPr>
            <w:tcW w:w="1820" w:type="dxa"/>
            <w:tcBorders>
              <w:top w:val="nil"/>
              <w:left w:val="nil"/>
              <w:bottom w:val="nil"/>
              <w:right w:val="nil"/>
            </w:tcBorders>
            <w:shd w:val="clear" w:color="auto" w:fill="auto"/>
            <w:vAlign w:val="center"/>
            <w:hideMark/>
          </w:tcPr>
          <w:p w14:paraId="540196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779793.6 (61.2)</w:t>
            </w:r>
          </w:p>
        </w:tc>
        <w:tc>
          <w:tcPr>
            <w:tcW w:w="1600" w:type="dxa"/>
            <w:tcBorders>
              <w:top w:val="nil"/>
              <w:left w:val="nil"/>
              <w:bottom w:val="nil"/>
              <w:right w:val="nil"/>
            </w:tcBorders>
            <w:shd w:val="clear" w:color="auto" w:fill="auto"/>
            <w:vAlign w:val="center"/>
            <w:hideMark/>
          </w:tcPr>
          <w:p w14:paraId="5BFACAC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1071740.3 (52.2)</w:t>
            </w:r>
          </w:p>
        </w:tc>
        <w:tc>
          <w:tcPr>
            <w:tcW w:w="1660" w:type="dxa"/>
            <w:tcBorders>
              <w:top w:val="nil"/>
              <w:left w:val="nil"/>
              <w:bottom w:val="nil"/>
              <w:right w:val="nil"/>
            </w:tcBorders>
            <w:shd w:val="clear" w:color="auto" w:fill="auto"/>
            <w:vAlign w:val="center"/>
            <w:hideMark/>
          </w:tcPr>
          <w:p w14:paraId="3F41859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1178873.2 (62.2)</w:t>
            </w:r>
          </w:p>
        </w:tc>
        <w:tc>
          <w:tcPr>
            <w:tcW w:w="1660" w:type="dxa"/>
            <w:tcBorders>
              <w:top w:val="nil"/>
              <w:left w:val="nil"/>
              <w:bottom w:val="nil"/>
              <w:right w:val="nil"/>
            </w:tcBorders>
            <w:shd w:val="clear" w:color="auto" w:fill="auto"/>
            <w:vAlign w:val="center"/>
            <w:hideMark/>
          </w:tcPr>
          <w:p w14:paraId="4FAFAB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1535387.7 (50.7)</w:t>
            </w:r>
          </w:p>
        </w:tc>
        <w:tc>
          <w:tcPr>
            <w:tcW w:w="1600" w:type="dxa"/>
            <w:tcBorders>
              <w:top w:val="nil"/>
              <w:left w:val="nil"/>
              <w:bottom w:val="nil"/>
              <w:right w:val="nil"/>
            </w:tcBorders>
            <w:shd w:val="clear" w:color="auto" w:fill="auto"/>
            <w:vAlign w:val="center"/>
            <w:hideMark/>
          </w:tcPr>
          <w:p w14:paraId="21591A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2653920.1 (62.9)</w:t>
            </w:r>
          </w:p>
        </w:tc>
        <w:tc>
          <w:tcPr>
            <w:tcW w:w="1720" w:type="dxa"/>
            <w:tcBorders>
              <w:top w:val="nil"/>
              <w:left w:val="nil"/>
              <w:bottom w:val="nil"/>
              <w:right w:val="nil"/>
            </w:tcBorders>
            <w:shd w:val="clear" w:color="auto" w:fill="auto"/>
            <w:vAlign w:val="center"/>
            <w:hideMark/>
          </w:tcPr>
          <w:p w14:paraId="726540D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4260646.5 (53.5)</w:t>
            </w:r>
          </w:p>
        </w:tc>
      </w:tr>
      <w:tr w:rsidR="00C81F9F" w:rsidRPr="00C81F9F" w14:paraId="368F8FAF" w14:textId="77777777" w:rsidTr="00C81F9F">
        <w:trPr>
          <w:trHeight w:val="285"/>
        </w:trPr>
        <w:tc>
          <w:tcPr>
            <w:tcW w:w="3777" w:type="dxa"/>
            <w:tcBorders>
              <w:top w:val="nil"/>
              <w:left w:val="nil"/>
              <w:bottom w:val="nil"/>
              <w:right w:val="nil"/>
            </w:tcBorders>
            <w:shd w:val="clear" w:color="auto" w:fill="auto"/>
            <w:noWrap/>
            <w:vAlign w:val="bottom"/>
            <w:hideMark/>
          </w:tcPr>
          <w:p w14:paraId="652FD30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BMI Median (IQR)</w:t>
            </w:r>
          </w:p>
        </w:tc>
        <w:tc>
          <w:tcPr>
            <w:tcW w:w="1820" w:type="dxa"/>
            <w:tcBorders>
              <w:top w:val="nil"/>
              <w:left w:val="nil"/>
              <w:bottom w:val="nil"/>
              <w:right w:val="nil"/>
            </w:tcBorders>
            <w:shd w:val="clear" w:color="auto" w:fill="auto"/>
            <w:noWrap/>
            <w:vAlign w:val="center"/>
            <w:hideMark/>
          </w:tcPr>
          <w:p w14:paraId="76BF500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31.10 [17.30, 54.50]</w:t>
            </w:r>
          </w:p>
        </w:tc>
        <w:tc>
          <w:tcPr>
            <w:tcW w:w="1600" w:type="dxa"/>
            <w:tcBorders>
              <w:top w:val="nil"/>
              <w:left w:val="nil"/>
              <w:bottom w:val="nil"/>
              <w:right w:val="nil"/>
            </w:tcBorders>
            <w:shd w:val="clear" w:color="auto" w:fill="auto"/>
            <w:noWrap/>
            <w:vAlign w:val="center"/>
            <w:hideMark/>
          </w:tcPr>
          <w:p w14:paraId="246D84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29.80 [16.10, 53.90]</w:t>
            </w:r>
          </w:p>
        </w:tc>
        <w:tc>
          <w:tcPr>
            <w:tcW w:w="1660" w:type="dxa"/>
            <w:tcBorders>
              <w:top w:val="nil"/>
              <w:left w:val="nil"/>
              <w:bottom w:val="nil"/>
              <w:right w:val="nil"/>
            </w:tcBorders>
            <w:shd w:val="clear" w:color="auto" w:fill="auto"/>
            <w:noWrap/>
            <w:vAlign w:val="center"/>
            <w:hideMark/>
          </w:tcPr>
          <w:p w14:paraId="187524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28.20 [15.70, 54.50]</w:t>
            </w:r>
          </w:p>
        </w:tc>
        <w:tc>
          <w:tcPr>
            <w:tcW w:w="1660" w:type="dxa"/>
            <w:tcBorders>
              <w:top w:val="nil"/>
              <w:left w:val="nil"/>
              <w:bottom w:val="nil"/>
              <w:right w:val="nil"/>
            </w:tcBorders>
            <w:shd w:val="clear" w:color="auto" w:fill="auto"/>
            <w:noWrap/>
            <w:vAlign w:val="center"/>
            <w:hideMark/>
          </w:tcPr>
          <w:p w14:paraId="6103D8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27.40 [14.80, 55.30]</w:t>
            </w:r>
          </w:p>
        </w:tc>
        <w:tc>
          <w:tcPr>
            <w:tcW w:w="1600" w:type="dxa"/>
            <w:tcBorders>
              <w:top w:val="nil"/>
              <w:left w:val="nil"/>
              <w:bottom w:val="nil"/>
              <w:right w:val="nil"/>
            </w:tcBorders>
            <w:shd w:val="clear" w:color="auto" w:fill="auto"/>
            <w:noWrap/>
            <w:vAlign w:val="center"/>
            <w:hideMark/>
          </w:tcPr>
          <w:p w14:paraId="6B8E90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29.00 [15.70, 54.50]</w:t>
            </w:r>
          </w:p>
        </w:tc>
        <w:tc>
          <w:tcPr>
            <w:tcW w:w="1720" w:type="dxa"/>
            <w:tcBorders>
              <w:top w:val="nil"/>
              <w:left w:val="nil"/>
              <w:bottom w:val="nil"/>
              <w:right w:val="nil"/>
            </w:tcBorders>
            <w:shd w:val="clear" w:color="auto" w:fill="auto"/>
            <w:noWrap/>
            <w:vAlign w:val="center"/>
            <w:hideMark/>
          </w:tcPr>
          <w:p w14:paraId="5746148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28.10 [14.80, 55.30]</w:t>
            </w:r>
          </w:p>
        </w:tc>
      </w:tr>
      <w:tr w:rsidR="00C81F9F" w:rsidRPr="00C81F9F" w14:paraId="5E5CCBF3" w14:textId="77777777" w:rsidTr="00C81F9F">
        <w:trPr>
          <w:trHeight w:val="285"/>
        </w:trPr>
        <w:tc>
          <w:tcPr>
            <w:tcW w:w="3777" w:type="dxa"/>
            <w:tcBorders>
              <w:top w:val="nil"/>
              <w:left w:val="nil"/>
              <w:bottom w:val="nil"/>
              <w:right w:val="nil"/>
            </w:tcBorders>
            <w:shd w:val="clear" w:color="auto" w:fill="auto"/>
            <w:noWrap/>
            <w:vAlign w:val="center"/>
            <w:hideMark/>
          </w:tcPr>
          <w:p w14:paraId="3C880F5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Region</w:t>
            </w:r>
          </w:p>
        </w:tc>
        <w:tc>
          <w:tcPr>
            <w:tcW w:w="1820" w:type="dxa"/>
            <w:tcBorders>
              <w:top w:val="nil"/>
              <w:left w:val="nil"/>
              <w:bottom w:val="nil"/>
              <w:right w:val="nil"/>
            </w:tcBorders>
            <w:shd w:val="clear" w:color="auto" w:fill="auto"/>
            <w:vAlign w:val="center"/>
            <w:hideMark/>
          </w:tcPr>
          <w:p w14:paraId="4AC0F2CA"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672F111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13AF73C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CFA4E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994D70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1E091AF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B6017A3" w14:textId="77777777" w:rsidTr="00C81F9F">
        <w:trPr>
          <w:trHeight w:val="285"/>
        </w:trPr>
        <w:tc>
          <w:tcPr>
            <w:tcW w:w="3777" w:type="dxa"/>
            <w:tcBorders>
              <w:top w:val="nil"/>
              <w:left w:val="nil"/>
              <w:bottom w:val="nil"/>
              <w:right w:val="nil"/>
            </w:tcBorders>
            <w:shd w:val="clear" w:color="auto" w:fill="auto"/>
            <w:noWrap/>
            <w:vAlign w:val="center"/>
            <w:hideMark/>
          </w:tcPr>
          <w:p w14:paraId="29090F08"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Northeast</w:t>
            </w:r>
          </w:p>
        </w:tc>
        <w:tc>
          <w:tcPr>
            <w:tcW w:w="1820" w:type="dxa"/>
            <w:tcBorders>
              <w:top w:val="nil"/>
              <w:left w:val="nil"/>
              <w:bottom w:val="nil"/>
              <w:right w:val="nil"/>
            </w:tcBorders>
            <w:shd w:val="clear" w:color="auto" w:fill="auto"/>
            <w:vAlign w:val="center"/>
            <w:hideMark/>
          </w:tcPr>
          <w:p w14:paraId="5B92730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153906.2 (12.1)</w:t>
            </w:r>
          </w:p>
        </w:tc>
        <w:tc>
          <w:tcPr>
            <w:tcW w:w="1600" w:type="dxa"/>
            <w:tcBorders>
              <w:top w:val="nil"/>
              <w:left w:val="nil"/>
              <w:bottom w:val="nil"/>
              <w:right w:val="nil"/>
            </w:tcBorders>
            <w:shd w:val="clear" w:color="auto" w:fill="auto"/>
            <w:vAlign w:val="center"/>
            <w:hideMark/>
          </w:tcPr>
          <w:p w14:paraId="1C52EA0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362749.5 (17.7)</w:t>
            </w:r>
          </w:p>
        </w:tc>
        <w:tc>
          <w:tcPr>
            <w:tcW w:w="1660" w:type="dxa"/>
            <w:tcBorders>
              <w:top w:val="nil"/>
              <w:left w:val="nil"/>
              <w:bottom w:val="nil"/>
              <w:right w:val="nil"/>
            </w:tcBorders>
            <w:shd w:val="clear" w:color="auto" w:fill="auto"/>
            <w:vAlign w:val="center"/>
            <w:hideMark/>
          </w:tcPr>
          <w:p w14:paraId="33E98B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233900.1 (12.3)</w:t>
            </w:r>
          </w:p>
        </w:tc>
        <w:tc>
          <w:tcPr>
            <w:tcW w:w="1660" w:type="dxa"/>
            <w:tcBorders>
              <w:top w:val="nil"/>
              <w:left w:val="nil"/>
              <w:bottom w:val="nil"/>
              <w:right w:val="nil"/>
            </w:tcBorders>
            <w:shd w:val="clear" w:color="auto" w:fill="auto"/>
            <w:vAlign w:val="center"/>
            <w:hideMark/>
          </w:tcPr>
          <w:p w14:paraId="2196AFD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546129.7 (18.0)</w:t>
            </w:r>
          </w:p>
        </w:tc>
        <w:tc>
          <w:tcPr>
            <w:tcW w:w="1600" w:type="dxa"/>
            <w:tcBorders>
              <w:top w:val="nil"/>
              <w:left w:val="nil"/>
              <w:bottom w:val="nil"/>
              <w:right w:val="nil"/>
            </w:tcBorders>
            <w:shd w:val="clear" w:color="auto" w:fill="auto"/>
            <w:vAlign w:val="center"/>
            <w:hideMark/>
          </w:tcPr>
          <w:p w14:paraId="2CE56DE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515853.1 (12.2)</w:t>
            </w:r>
          </w:p>
        </w:tc>
        <w:tc>
          <w:tcPr>
            <w:tcW w:w="1720" w:type="dxa"/>
            <w:tcBorders>
              <w:top w:val="nil"/>
              <w:left w:val="nil"/>
              <w:bottom w:val="nil"/>
              <w:right w:val="nil"/>
            </w:tcBorders>
            <w:shd w:val="clear" w:color="auto" w:fill="auto"/>
            <w:vAlign w:val="center"/>
            <w:hideMark/>
          </w:tcPr>
          <w:p w14:paraId="78B60E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1421081.4 (17.8)</w:t>
            </w:r>
          </w:p>
        </w:tc>
      </w:tr>
      <w:tr w:rsidR="00C81F9F" w:rsidRPr="00C81F9F" w14:paraId="40053E62" w14:textId="77777777" w:rsidTr="00C81F9F">
        <w:trPr>
          <w:trHeight w:val="285"/>
        </w:trPr>
        <w:tc>
          <w:tcPr>
            <w:tcW w:w="3777" w:type="dxa"/>
            <w:tcBorders>
              <w:top w:val="nil"/>
              <w:left w:val="nil"/>
              <w:bottom w:val="nil"/>
              <w:right w:val="nil"/>
            </w:tcBorders>
            <w:shd w:val="clear" w:color="auto" w:fill="auto"/>
            <w:noWrap/>
            <w:vAlign w:val="center"/>
            <w:hideMark/>
          </w:tcPr>
          <w:p w14:paraId="3077C43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Midwest</w:t>
            </w:r>
          </w:p>
        </w:tc>
        <w:tc>
          <w:tcPr>
            <w:tcW w:w="1820" w:type="dxa"/>
            <w:tcBorders>
              <w:top w:val="nil"/>
              <w:left w:val="nil"/>
              <w:bottom w:val="nil"/>
              <w:right w:val="nil"/>
            </w:tcBorders>
            <w:shd w:val="clear" w:color="auto" w:fill="auto"/>
            <w:vAlign w:val="center"/>
            <w:hideMark/>
          </w:tcPr>
          <w:p w14:paraId="7DAF89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299530.7 (23.5)</w:t>
            </w:r>
          </w:p>
        </w:tc>
        <w:tc>
          <w:tcPr>
            <w:tcW w:w="1600" w:type="dxa"/>
            <w:tcBorders>
              <w:top w:val="nil"/>
              <w:left w:val="nil"/>
              <w:bottom w:val="nil"/>
              <w:right w:val="nil"/>
            </w:tcBorders>
            <w:shd w:val="clear" w:color="auto" w:fill="auto"/>
            <w:vAlign w:val="center"/>
            <w:hideMark/>
          </w:tcPr>
          <w:p w14:paraId="52489DE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485259.3 (23.6)</w:t>
            </w:r>
          </w:p>
        </w:tc>
        <w:tc>
          <w:tcPr>
            <w:tcW w:w="1660" w:type="dxa"/>
            <w:tcBorders>
              <w:top w:val="nil"/>
              <w:left w:val="nil"/>
              <w:bottom w:val="nil"/>
              <w:right w:val="nil"/>
            </w:tcBorders>
            <w:shd w:val="clear" w:color="auto" w:fill="auto"/>
            <w:vAlign w:val="center"/>
            <w:hideMark/>
          </w:tcPr>
          <w:p w14:paraId="46DD9C6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471369.1 (24.9)</w:t>
            </w:r>
          </w:p>
        </w:tc>
        <w:tc>
          <w:tcPr>
            <w:tcW w:w="1660" w:type="dxa"/>
            <w:tcBorders>
              <w:top w:val="nil"/>
              <w:left w:val="nil"/>
              <w:bottom w:val="nil"/>
              <w:right w:val="nil"/>
            </w:tcBorders>
            <w:shd w:val="clear" w:color="auto" w:fill="auto"/>
            <w:vAlign w:val="center"/>
            <w:hideMark/>
          </w:tcPr>
          <w:p w14:paraId="3EC4EE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743503.1 (24.5)</w:t>
            </w:r>
          </w:p>
        </w:tc>
        <w:tc>
          <w:tcPr>
            <w:tcW w:w="1600" w:type="dxa"/>
            <w:tcBorders>
              <w:top w:val="nil"/>
              <w:left w:val="nil"/>
              <w:bottom w:val="nil"/>
              <w:right w:val="nil"/>
            </w:tcBorders>
            <w:shd w:val="clear" w:color="auto" w:fill="auto"/>
            <w:vAlign w:val="center"/>
            <w:hideMark/>
          </w:tcPr>
          <w:p w14:paraId="23F81C7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990868.0 (23.5)</w:t>
            </w:r>
          </w:p>
        </w:tc>
        <w:tc>
          <w:tcPr>
            <w:tcW w:w="1720" w:type="dxa"/>
            <w:tcBorders>
              <w:top w:val="nil"/>
              <w:left w:val="nil"/>
              <w:bottom w:val="nil"/>
              <w:right w:val="nil"/>
            </w:tcBorders>
            <w:shd w:val="clear" w:color="auto" w:fill="auto"/>
            <w:vAlign w:val="center"/>
            <w:hideMark/>
          </w:tcPr>
          <w:p w14:paraId="006865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1935019.0 (24.3)</w:t>
            </w:r>
          </w:p>
        </w:tc>
      </w:tr>
      <w:tr w:rsidR="00C81F9F" w:rsidRPr="00C81F9F" w14:paraId="1E624B41" w14:textId="77777777" w:rsidTr="00C81F9F">
        <w:trPr>
          <w:trHeight w:val="285"/>
        </w:trPr>
        <w:tc>
          <w:tcPr>
            <w:tcW w:w="3777" w:type="dxa"/>
            <w:tcBorders>
              <w:top w:val="nil"/>
              <w:left w:val="nil"/>
              <w:bottom w:val="nil"/>
              <w:right w:val="nil"/>
            </w:tcBorders>
            <w:shd w:val="clear" w:color="auto" w:fill="auto"/>
            <w:noWrap/>
            <w:vAlign w:val="center"/>
            <w:hideMark/>
          </w:tcPr>
          <w:p w14:paraId="243705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South</w:t>
            </w:r>
          </w:p>
        </w:tc>
        <w:tc>
          <w:tcPr>
            <w:tcW w:w="1820" w:type="dxa"/>
            <w:tcBorders>
              <w:top w:val="nil"/>
              <w:left w:val="nil"/>
              <w:bottom w:val="nil"/>
              <w:right w:val="nil"/>
            </w:tcBorders>
            <w:shd w:val="clear" w:color="auto" w:fill="auto"/>
            <w:vAlign w:val="center"/>
            <w:hideMark/>
          </w:tcPr>
          <w:p w14:paraId="6DE572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588225.5 (46.2)</w:t>
            </w:r>
          </w:p>
        </w:tc>
        <w:tc>
          <w:tcPr>
            <w:tcW w:w="1600" w:type="dxa"/>
            <w:tcBorders>
              <w:top w:val="nil"/>
              <w:left w:val="nil"/>
              <w:bottom w:val="nil"/>
              <w:right w:val="nil"/>
            </w:tcBorders>
            <w:shd w:val="clear" w:color="auto" w:fill="auto"/>
            <w:vAlign w:val="center"/>
            <w:hideMark/>
          </w:tcPr>
          <w:p w14:paraId="1671A4E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819511.7 (39.9)</w:t>
            </w:r>
          </w:p>
        </w:tc>
        <w:tc>
          <w:tcPr>
            <w:tcW w:w="1660" w:type="dxa"/>
            <w:tcBorders>
              <w:top w:val="nil"/>
              <w:left w:val="nil"/>
              <w:bottom w:val="nil"/>
              <w:right w:val="nil"/>
            </w:tcBorders>
            <w:shd w:val="clear" w:color="auto" w:fill="auto"/>
            <w:vAlign w:val="center"/>
            <w:hideMark/>
          </w:tcPr>
          <w:p w14:paraId="20CED1A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846689.4 (44.7)</w:t>
            </w:r>
          </w:p>
        </w:tc>
        <w:tc>
          <w:tcPr>
            <w:tcW w:w="1660" w:type="dxa"/>
            <w:tcBorders>
              <w:top w:val="nil"/>
              <w:left w:val="nil"/>
              <w:bottom w:val="nil"/>
              <w:right w:val="nil"/>
            </w:tcBorders>
            <w:shd w:val="clear" w:color="auto" w:fill="auto"/>
            <w:vAlign w:val="center"/>
            <w:hideMark/>
          </w:tcPr>
          <w:p w14:paraId="394E014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1165676.9 (38.5)</w:t>
            </w:r>
          </w:p>
        </w:tc>
        <w:tc>
          <w:tcPr>
            <w:tcW w:w="1600" w:type="dxa"/>
            <w:tcBorders>
              <w:top w:val="nil"/>
              <w:left w:val="nil"/>
              <w:bottom w:val="nil"/>
              <w:right w:val="nil"/>
            </w:tcBorders>
            <w:shd w:val="clear" w:color="auto" w:fill="auto"/>
            <w:vAlign w:val="center"/>
            <w:hideMark/>
          </w:tcPr>
          <w:p w14:paraId="00940C8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1948269.3 (46.2)</w:t>
            </w:r>
          </w:p>
        </w:tc>
        <w:tc>
          <w:tcPr>
            <w:tcW w:w="1720" w:type="dxa"/>
            <w:tcBorders>
              <w:top w:val="nil"/>
              <w:left w:val="nil"/>
              <w:bottom w:val="nil"/>
              <w:right w:val="nil"/>
            </w:tcBorders>
            <w:shd w:val="clear" w:color="auto" w:fill="auto"/>
            <w:vAlign w:val="center"/>
            <w:hideMark/>
          </w:tcPr>
          <w:p w14:paraId="4AB1B4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3073716.8 (38.6)</w:t>
            </w:r>
          </w:p>
        </w:tc>
      </w:tr>
      <w:tr w:rsidR="00C81F9F" w:rsidRPr="00C81F9F" w14:paraId="67F3A49B" w14:textId="77777777" w:rsidTr="00C81F9F">
        <w:trPr>
          <w:trHeight w:val="285"/>
        </w:trPr>
        <w:tc>
          <w:tcPr>
            <w:tcW w:w="3777" w:type="dxa"/>
            <w:tcBorders>
              <w:top w:val="nil"/>
              <w:left w:val="nil"/>
              <w:bottom w:val="nil"/>
              <w:right w:val="nil"/>
            </w:tcBorders>
            <w:shd w:val="clear" w:color="auto" w:fill="auto"/>
            <w:noWrap/>
            <w:vAlign w:val="center"/>
            <w:hideMark/>
          </w:tcPr>
          <w:p w14:paraId="3BEDC34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West</w:t>
            </w:r>
          </w:p>
        </w:tc>
        <w:tc>
          <w:tcPr>
            <w:tcW w:w="1820" w:type="dxa"/>
            <w:tcBorders>
              <w:top w:val="nil"/>
              <w:left w:val="nil"/>
              <w:bottom w:val="nil"/>
              <w:right w:val="nil"/>
            </w:tcBorders>
            <w:shd w:val="clear" w:color="auto" w:fill="auto"/>
            <w:vAlign w:val="center"/>
            <w:hideMark/>
          </w:tcPr>
          <w:p w14:paraId="2B6912E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232115.0 (18.2)</w:t>
            </w:r>
          </w:p>
        </w:tc>
        <w:tc>
          <w:tcPr>
            <w:tcW w:w="1600" w:type="dxa"/>
            <w:tcBorders>
              <w:top w:val="nil"/>
              <w:left w:val="nil"/>
              <w:bottom w:val="nil"/>
              <w:right w:val="nil"/>
            </w:tcBorders>
            <w:shd w:val="clear" w:color="auto" w:fill="auto"/>
            <w:vAlign w:val="center"/>
            <w:hideMark/>
          </w:tcPr>
          <w:p w14:paraId="7907ADF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385883.1 (18.8)</w:t>
            </w:r>
          </w:p>
        </w:tc>
        <w:tc>
          <w:tcPr>
            <w:tcW w:w="1660" w:type="dxa"/>
            <w:tcBorders>
              <w:top w:val="nil"/>
              <w:left w:val="nil"/>
              <w:bottom w:val="nil"/>
              <w:right w:val="nil"/>
            </w:tcBorders>
            <w:shd w:val="clear" w:color="auto" w:fill="auto"/>
            <w:vAlign w:val="center"/>
            <w:hideMark/>
          </w:tcPr>
          <w:p w14:paraId="36A8D7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343579.6 (18.1)</w:t>
            </w:r>
          </w:p>
        </w:tc>
        <w:tc>
          <w:tcPr>
            <w:tcW w:w="1660" w:type="dxa"/>
            <w:tcBorders>
              <w:top w:val="nil"/>
              <w:left w:val="nil"/>
              <w:bottom w:val="nil"/>
              <w:right w:val="nil"/>
            </w:tcBorders>
            <w:shd w:val="clear" w:color="auto" w:fill="auto"/>
            <w:vAlign w:val="center"/>
            <w:hideMark/>
          </w:tcPr>
          <w:p w14:paraId="0671B0F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574697.3 (19.0)</w:t>
            </w:r>
          </w:p>
        </w:tc>
        <w:tc>
          <w:tcPr>
            <w:tcW w:w="1600" w:type="dxa"/>
            <w:tcBorders>
              <w:top w:val="nil"/>
              <w:left w:val="nil"/>
              <w:bottom w:val="nil"/>
              <w:right w:val="nil"/>
            </w:tcBorders>
            <w:shd w:val="clear" w:color="auto" w:fill="auto"/>
            <w:vAlign w:val="center"/>
            <w:hideMark/>
          </w:tcPr>
          <w:p w14:paraId="529DC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764312.7 (18.1)</w:t>
            </w:r>
          </w:p>
        </w:tc>
        <w:tc>
          <w:tcPr>
            <w:tcW w:w="1720" w:type="dxa"/>
            <w:tcBorders>
              <w:top w:val="nil"/>
              <w:left w:val="nil"/>
              <w:bottom w:val="nil"/>
              <w:right w:val="nil"/>
            </w:tcBorders>
            <w:shd w:val="clear" w:color="auto" w:fill="auto"/>
            <w:vAlign w:val="center"/>
            <w:hideMark/>
          </w:tcPr>
          <w:p w14:paraId="09CF120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1532803.4 (19.2)</w:t>
            </w:r>
          </w:p>
        </w:tc>
      </w:tr>
      <w:tr w:rsidR="00C81F9F" w:rsidRPr="00C81F9F" w14:paraId="79F6CB24" w14:textId="77777777" w:rsidTr="00C81F9F">
        <w:trPr>
          <w:trHeight w:val="285"/>
        </w:trPr>
        <w:tc>
          <w:tcPr>
            <w:tcW w:w="3777" w:type="dxa"/>
            <w:tcBorders>
              <w:top w:val="nil"/>
              <w:left w:val="nil"/>
              <w:bottom w:val="nil"/>
              <w:right w:val="nil"/>
            </w:tcBorders>
            <w:shd w:val="clear" w:color="auto" w:fill="auto"/>
            <w:noWrap/>
            <w:vAlign w:val="center"/>
            <w:hideMark/>
          </w:tcPr>
          <w:p w14:paraId="08FEB72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Race/Ethnicity</w:t>
            </w:r>
          </w:p>
        </w:tc>
        <w:tc>
          <w:tcPr>
            <w:tcW w:w="1820" w:type="dxa"/>
            <w:tcBorders>
              <w:top w:val="nil"/>
              <w:left w:val="nil"/>
              <w:bottom w:val="nil"/>
              <w:right w:val="nil"/>
            </w:tcBorders>
            <w:shd w:val="clear" w:color="auto" w:fill="auto"/>
            <w:vAlign w:val="center"/>
            <w:hideMark/>
          </w:tcPr>
          <w:p w14:paraId="2EC4719D"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41475AD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974DC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34B21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451CD7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14472D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26D57F4" w14:textId="77777777" w:rsidTr="00C81F9F">
        <w:trPr>
          <w:trHeight w:val="285"/>
        </w:trPr>
        <w:tc>
          <w:tcPr>
            <w:tcW w:w="3777" w:type="dxa"/>
            <w:tcBorders>
              <w:top w:val="nil"/>
              <w:left w:val="nil"/>
              <w:bottom w:val="nil"/>
              <w:right w:val="nil"/>
            </w:tcBorders>
            <w:shd w:val="clear" w:color="auto" w:fill="auto"/>
            <w:noWrap/>
            <w:vAlign w:val="center"/>
            <w:hideMark/>
          </w:tcPr>
          <w:p w14:paraId="0BDC1BE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White</w:t>
            </w:r>
          </w:p>
        </w:tc>
        <w:tc>
          <w:tcPr>
            <w:tcW w:w="1820" w:type="dxa"/>
            <w:tcBorders>
              <w:top w:val="nil"/>
              <w:left w:val="nil"/>
              <w:bottom w:val="nil"/>
              <w:right w:val="nil"/>
            </w:tcBorders>
            <w:shd w:val="clear" w:color="auto" w:fill="auto"/>
            <w:vAlign w:val="center"/>
            <w:hideMark/>
          </w:tcPr>
          <w:p w14:paraId="1626BE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762645.3 (59.9)</w:t>
            </w:r>
          </w:p>
        </w:tc>
        <w:tc>
          <w:tcPr>
            <w:tcW w:w="1600" w:type="dxa"/>
            <w:tcBorders>
              <w:top w:val="nil"/>
              <w:left w:val="nil"/>
              <w:bottom w:val="nil"/>
              <w:right w:val="nil"/>
            </w:tcBorders>
            <w:shd w:val="clear" w:color="auto" w:fill="auto"/>
            <w:vAlign w:val="center"/>
            <w:hideMark/>
          </w:tcPr>
          <w:p w14:paraId="6762BD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1368077.9 (66.6)</w:t>
            </w:r>
          </w:p>
        </w:tc>
        <w:tc>
          <w:tcPr>
            <w:tcW w:w="1660" w:type="dxa"/>
            <w:tcBorders>
              <w:top w:val="nil"/>
              <w:left w:val="nil"/>
              <w:bottom w:val="nil"/>
              <w:right w:val="nil"/>
            </w:tcBorders>
            <w:shd w:val="clear" w:color="auto" w:fill="auto"/>
            <w:vAlign w:val="center"/>
            <w:hideMark/>
          </w:tcPr>
          <w:p w14:paraId="520D8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1354773.1 (71.5)</w:t>
            </w:r>
          </w:p>
        </w:tc>
        <w:tc>
          <w:tcPr>
            <w:tcW w:w="1660" w:type="dxa"/>
            <w:tcBorders>
              <w:top w:val="nil"/>
              <w:left w:val="nil"/>
              <w:bottom w:val="nil"/>
              <w:right w:val="nil"/>
            </w:tcBorders>
            <w:shd w:val="clear" w:color="auto" w:fill="auto"/>
            <w:vAlign w:val="center"/>
            <w:hideMark/>
          </w:tcPr>
          <w:p w14:paraId="6B94FC5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2414174.9 (79.7)</w:t>
            </w:r>
          </w:p>
        </w:tc>
        <w:tc>
          <w:tcPr>
            <w:tcW w:w="1600" w:type="dxa"/>
            <w:tcBorders>
              <w:top w:val="nil"/>
              <w:left w:val="nil"/>
              <w:bottom w:val="nil"/>
              <w:right w:val="nil"/>
            </w:tcBorders>
            <w:shd w:val="clear" w:color="auto" w:fill="auto"/>
            <w:vAlign w:val="center"/>
            <w:hideMark/>
          </w:tcPr>
          <w:p w14:paraId="4DA1FD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2794604.7 (66.2)</w:t>
            </w:r>
          </w:p>
        </w:tc>
        <w:tc>
          <w:tcPr>
            <w:tcW w:w="1720" w:type="dxa"/>
            <w:tcBorders>
              <w:top w:val="nil"/>
              <w:left w:val="nil"/>
              <w:bottom w:val="nil"/>
              <w:right w:val="nil"/>
            </w:tcBorders>
            <w:shd w:val="clear" w:color="auto" w:fill="auto"/>
            <w:vAlign w:val="center"/>
            <w:hideMark/>
          </w:tcPr>
          <w:p w14:paraId="5A8744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5961428.7 (74.9)</w:t>
            </w:r>
          </w:p>
        </w:tc>
      </w:tr>
      <w:tr w:rsidR="00C81F9F" w:rsidRPr="00C81F9F" w14:paraId="127A36B8" w14:textId="77777777" w:rsidTr="00C81F9F">
        <w:trPr>
          <w:trHeight w:val="285"/>
        </w:trPr>
        <w:tc>
          <w:tcPr>
            <w:tcW w:w="3777" w:type="dxa"/>
            <w:tcBorders>
              <w:top w:val="nil"/>
              <w:left w:val="nil"/>
              <w:bottom w:val="nil"/>
              <w:right w:val="nil"/>
            </w:tcBorders>
            <w:shd w:val="clear" w:color="auto" w:fill="auto"/>
            <w:noWrap/>
            <w:vAlign w:val="center"/>
            <w:hideMark/>
          </w:tcPr>
          <w:p w14:paraId="07D3E32B"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Black</w:t>
            </w:r>
          </w:p>
        </w:tc>
        <w:tc>
          <w:tcPr>
            <w:tcW w:w="1820" w:type="dxa"/>
            <w:tcBorders>
              <w:top w:val="nil"/>
              <w:left w:val="nil"/>
              <w:bottom w:val="nil"/>
              <w:right w:val="nil"/>
            </w:tcBorders>
            <w:shd w:val="clear" w:color="auto" w:fill="auto"/>
            <w:vAlign w:val="center"/>
            <w:hideMark/>
          </w:tcPr>
          <w:p w14:paraId="66BE8C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274570.6 (21.6)</w:t>
            </w:r>
          </w:p>
        </w:tc>
        <w:tc>
          <w:tcPr>
            <w:tcW w:w="1600" w:type="dxa"/>
            <w:tcBorders>
              <w:top w:val="nil"/>
              <w:left w:val="nil"/>
              <w:bottom w:val="nil"/>
              <w:right w:val="nil"/>
            </w:tcBorders>
            <w:shd w:val="clear" w:color="auto" w:fill="auto"/>
            <w:vAlign w:val="center"/>
            <w:hideMark/>
          </w:tcPr>
          <w:p w14:paraId="3724378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319727.9 (15.6)</w:t>
            </w:r>
          </w:p>
        </w:tc>
        <w:tc>
          <w:tcPr>
            <w:tcW w:w="1660" w:type="dxa"/>
            <w:tcBorders>
              <w:top w:val="nil"/>
              <w:left w:val="nil"/>
              <w:bottom w:val="nil"/>
              <w:right w:val="nil"/>
            </w:tcBorders>
            <w:shd w:val="clear" w:color="auto" w:fill="auto"/>
            <w:vAlign w:val="center"/>
            <w:hideMark/>
          </w:tcPr>
          <w:p w14:paraId="0372F22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319393.8 (16.8)</w:t>
            </w:r>
          </w:p>
        </w:tc>
        <w:tc>
          <w:tcPr>
            <w:tcW w:w="1660" w:type="dxa"/>
            <w:tcBorders>
              <w:top w:val="nil"/>
              <w:left w:val="nil"/>
              <w:bottom w:val="nil"/>
              <w:right w:val="nil"/>
            </w:tcBorders>
            <w:shd w:val="clear" w:color="auto" w:fill="auto"/>
            <w:vAlign w:val="center"/>
            <w:hideMark/>
          </w:tcPr>
          <w:p w14:paraId="6BBFF61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314723.7 (10.4)</w:t>
            </w:r>
          </w:p>
        </w:tc>
        <w:tc>
          <w:tcPr>
            <w:tcW w:w="1600" w:type="dxa"/>
            <w:tcBorders>
              <w:top w:val="nil"/>
              <w:left w:val="nil"/>
              <w:bottom w:val="nil"/>
              <w:right w:val="nil"/>
            </w:tcBorders>
            <w:shd w:val="clear" w:color="auto" w:fill="auto"/>
            <w:vAlign w:val="center"/>
            <w:hideMark/>
          </w:tcPr>
          <w:p w14:paraId="3E51A8B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844987.7 (20.0)</w:t>
            </w:r>
          </w:p>
        </w:tc>
        <w:tc>
          <w:tcPr>
            <w:tcW w:w="1720" w:type="dxa"/>
            <w:tcBorders>
              <w:top w:val="nil"/>
              <w:left w:val="nil"/>
              <w:bottom w:val="nil"/>
              <w:right w:val="nil"/>
            </w:tcBorders>
            <w:shd w:val="clear" w:color="auto" w:fill="auto"/>
            <w:vAlign w:val="center"/>
            <w:hideMark/>
          </w:tcPr>
          <w:p w14:paraId="5DC2BA8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1046326.7 (13.1)</w:t>
            </w:r>
          </w:p>
        </w:tc>
      </w:tr>
      <w:tr w:rsidR="00C81F9F" w:rsidRPr="00C81F9F" w14:paraId="7BF65872" w14:textId="77777777" w:rsidTr="00C81F9F">
        <w:trPr>
          <w:trHeight w:val="285"/>
        </w:trPr>
        <w:tc>
          <w:tcPr>
            <w:tcW w:w="3777" w:type="dxa"/>
            <w:tcBorders>
              <w:top w:val="nil"/>
              <w:left w:val="nil"/>
              <w:bottom w:val="nil"/>
              <w:right w:val="nil"/>
            </w:tcBorders>
            <w:shd w:val="clear" w:color="auto" w:fill="auto"/>
            <w:noWrap/>
            <w:vAlign w:val="center"/>
            <w:hideMark/>
          </w:tcPr>
          <w:p w14:paraId="7591DF5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Hispanic/Latino</w:t>
            </w:r>
          </w:p>
        </w:tc>
        <w:tc>
          <w:tcPr>
            <w:tcW w:w="1820" w:type="dxa"/>
            <w:tcBorders>
              <w:top w:val="nil"/>
              <w:left w:val="nil"/>
              <w:bottom w:val="nil"/>
              <w:right w:val="nil"/>
            </w:tcBorders>
            <w:shd w:val="clear" w:color="auto" w:fill="auto"/>
            <w:vAlign w:val="center"/>
            <w:hideMark/>
          </w:tcPr>
          <w:p w14:paraId="78333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196393.1 (15.4)</w:t>
            </w:r>
          </w:p>
        </w:tc>
        <w:tc>
          <w:tcPr>
            <w:tcW w:w="1600" w:type="dxa"/>
            <w:tcBorders>
              <w:top w:val="nil"/>
              <w:left w:val="nil"/>
              <w:bottom w:val="nil"/>
              <w:right w:val="nil"/>
            </w:tcBorders>
            <w:shd w:val="clear" w:color="auto" w:fill="auto"/>
            <w:vAlign w:val="center"/>
            <w:hideMark/>
          </w:tcPr>
          <w:p w14:paraId="5FF80E7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257571.8 (12.5)</w:t>
            </w:r>
          </w:p>
        </w:tc>
        <w:tc>
          <w:tcPr>
            <w:tcW w:w="1660" w:type="dxa"/>
            <w:tcBorders>
              <w:top w:val="nil"/>
              <w:left w:val="nil"/>
              <w:bottom w:val="nil"/>
              <w:right w:val="nil"/>
            </w:tcBorders>
            <w:shd w:val="clear" w:color="auto" w:fill="auto"/>
            <w:vAlign w:val="center"/>
            <w:hideMark/>
          </w:tcPr>
          <w:p w14:paraId="4A5013E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171492.5 (9.0)</w:t>
            </w:r>
          </w:p>
        </w:tc>
        <w:tc>
          <w:tcPr>
            <w:tcW w:w="1660" w:type="dxa"/>
            <w:tcBorders>
              <w:top w:val="nil"/>
              <w:left w:val="nil"/>
              <w:bottom w:val="nil"/>
              <w:right w:val="nil"/>
            </w:tcBorders>
            <w:shd w:val="clear" w:color="auto" w:fill="auto"/>
            <w:vAlign w:val="center"/>
            <w:hideMark/>
          </w:tcPr>
          <w:p w14:paraId="7D180D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199751.8 (6.6)</w:t>
            </w:r>
          </w:p>
        </w:tc>
        <w:tc>
          <w:tcPr>
            <w:tcW w:w="1600" w:type="dxa"/>
            <w:tcBorders>
              <w:top w:val="nil"/>
              <w:left w:val="nil"/>
              <w:bottom w:val="nil"/>
              <w:right w:val="nil"/>
            </w:tcBorders>
            <w:shd w:val="clear" w:color="auto" w:fill="auto"/>
            <w:vAlign w:val="center"/>
            <w:hideMark/>
          </w:tcPr>
          <w:p w14:paraId="1EBDB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463015.7 (11.0)</w:t>
            </w:r>
          </w:p>
        </w:tc>
        <w:tc>
          <w:tcPr>
            <w:tcW w:w="1720" w:type="dxa"/>
            <w:tcBorders>
              <w:top w:val="nil"/>
              <w:left w:val="nil"/>
              <w:bottom w:val="nil"/>
              <w:right w:val="nil"/>
            </w:tcBorders>
            <w:shd w:val="clear" w:color="auto" w:fill="auto"/>
            <w:vAlign w:val="center"/>
            <w:hideMark/>
          </w:tcPr>
          <w:p w14:paraId="6F21BA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639574.3 (8.0)</w:t>
            </w:r>
          </w:p>
        </w:tc>
      </w:tr>
      <w:tr w:rsidR="00C81F9F" w:rsidRPr="00C81F9F" w14:paraId="11FFC77B" w14:textId="77777777" w:rsidTr="00C81F9F">
        <w:trPr>
          <w:trHeight w:val="285"/>
        </w:trPr>
        <w:tc>
          <w:tcPr>
            <w:tcW w:w="3777" w:type="dxa"/>
            <w:tcBorders>
              <w:top w:val="nil"/>
              <w:left w:val="nil"/>
              <w:bottom w:val="nil"/>
              <w:right w:val="nil"/>
            </w:tcBorders>
            <w:shd w:val="clear" w:color="auto" w:fill="auto"/>
            <w:noWrap/>
            <w:vAlign w:val="center"/>
            <w:hideMark/>
          </w:tcPr>
          <w:p w14:paraId="34ABFA2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American Indian/Alaska Native</w:t>
            </w:r>
          </w:p>
        </w:tc>
        <w:tc>
          <w:tcPr>
            <w:tcW w:w="1820" w:type="dxa"/>
            <w:tcBorders>
              <w:top w:val="nil"/>
              <w:left w:val="nil"/>
              <w:bottom w:val="nil"/>
              <w:right w:val="nil"/>
            </w:tcBorders>
            <w:shd w:val="clear" w:color="auto" w:fill="auto"/>
            <w:vAlign w:val="center"/>
            <w:hideMark/>
          </w:tcPr>
          <w:p w14:paraId="44A7D9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15385.5 (1.2)</w:t>
            </w:r>
          </w:p>
        </w:tc>
        <w:tc>
          <w:tcPr>
            <w:tcW w:w="1600" w:type="dxa"/>
            <w:tcBorders>
              <w:top w:val="nil"/>
              <w:left w:val="nil"/>
              <w:bottom w:val="nil"/>
              <w:right w:val="nil"/>
            </w:tcBorders>
            <w:shd w:val="clear" w:color="auto" w:fill="auto"/>
            <w:vAlign w:val="center"/>
            <w:hideMark/>
          </w:tcPr>
          <w:p w14:paraId="765A383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22876.9 (1.1)</w:t>
            </w:r>
          </w:p>
        </w:tc>
        <w:tc>
          <w:tcPr>
            <w:tcW w:w="1660" w:type="dxa"/>
            <w:tcBorders>
              <w:top w:val="nil"/>
              <w:left w:val="nil"/>
              <w:bottom w:val="nil"/>
              <w:right w:val="nil"/>
            </w:tcBorders>
            <w:shd w:val="clear" w:color="auto" w:fill="auto"/>
            <w:vAlign w:val="center"/>
            <w:hideMark/>
          </w:tcPr>
          <w:p w14:paraId="7E2BE4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25105.5 (1.3)</w:t>
            </w:r>
          </w:p>
        </w:tc>
        <w:tc>
          <w:tcPr>
            <w:tcW w:w="1660" w:type="dxa"/>
            <w:tcBorders>
              <w:top w:val="nil"/>
              <w:left w:val="nil"/>
              <w:bottom w:val="nil"/>
              <w:right w:val="nil"/>
            </w:tcBorders>
            <w:shd w:val="clear" w:color="auto" w:fill="auto"/>
            <w:vAlign w:val="center"/>
            <w:hideMark/>
          </w:tcPr>
          <w:p w14:paraId="74F7930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23328.1 (0.8)</w:t>
            </w:r>
          </w:p>
        </w:tc>
        <w:tc>
          <w:tcPr>
            <w:tcW w:w="1600" w:type="dxa"/>
            <w:tcBorders>
              <w:top w:val="nil"/>
              <w:left w:val="nil"/>
              <w:bottom w:val="nil"/>
              <w:right w:val="nil"/>
            </w:tcBorders>
            <w:shd w:val="clear" w:color="auto" w:fill="auto"/>
            <w:vAlign w:val="center"/>
            <w:hideMark/>
          </w:tcPr>
          <w:p w14:paraId="58D05B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44338.7 (1.1)</w:t>
            </w:r>
          </w:p>
        </w:tc>
        <w:tc>
          <w:tcPr>
            <w:tcW w:w="1720" w:type="dxa"/>
            <w:tcBorders>
              <w:top w:val="nil"/>
              <w:left w:val="nil"/>
              <w:bottom w:val="nil"/>
              <w:right w:val="nil"/>
            </w:tcBorders>
            <w:shd w:val="clear" w:color="auto" w:fill="auto"/>
            <w:vAlign w:val="center"/>
            <w:hideMark/>
          </w:tcPr>
          <w:p w14:paraId="4C6321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53119.3 (0.7)</w:t>
            </w:r>
          </w:p>
        </w:tc>
      </w:tr>
      <w:tr w:rsidR="00C81F9F" w:rsidRPr="00C81F9F" w14:paraId="4AC2B797" w14:textId="77777777" w:rsidTr="00C81F9F">
        <w:trPr>
          <w:trHeight w:val="285"/>
        </w:trPr>
        <w:tc>
          <w:tcPr>
            <w:tcW w:w="3777" w:type="dxa"/>
            <w:tcBorders>
              <w:top w:val="nil"/>
              <w:left w:val="nil"/>
              <w:bottom w:val="nil"/>
              <w:right w:val="nil"/>
            </w:tcBorders>
            <w:shd w:val="clear" w:color="auto" w:fill="auto"/>
            <w:noWrap/>
            <w:vAlign w:val="center"/>
            <w:hideMark/>
          </w:tcPr>
          <w:p w14:paraId="1C947F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Asian</w:t>
            </w:r>
          </w:p>
        </w:tc>
        <w:tc>
          <w:tcPr>
            <w:tcW w:w="1820" w:type="dxa"/>
            <w:tcBorders>
              <w:top w:val="nil"/>
              <w:left w:val="nil"/>
              <w:bottom w:val="nil"/>
              <w:right w:val="nil"/>
            </w:tcBorders>
            <w:shd w:val="clear" w:color="auto" w:fill="auto"/>
            <w:vAlign w:val="center"/>
            <w:hideMark/>
          </w:tcPr>
          <w:p w14:paraId="07F56F7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21015.1 (1.6)</w:t>
            </w:r>
          </w:p>
        </w:tc>
        <w:tc>
          <w:tcPr>
            <w:tcW w:w="1600" w:type="dxa"/>
            <w:tcBorders>
              <w:top w:val="nil"/>
              <w:left w:val="nil"/>
              <w:bottom w:val="nil"/>
              <w:right w:val="nil"/>
            </w:tcBorders>
            <w:shd w:val="clear" w:color="auto" w:fill="auto"/>
            <w:vAlign w:val="center"/>
            <w:hideMark/>
          </w:tcPr>
          <w:p w14:paraId="6DC31BF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79854.6 (3.9)</w:t>
            </w:r>
          </w:p>
        </w:tc>
        <w:tc>
          <w:tcPr>
            <w:tcW w:w="1660" w:type="dxa"/>
            <w:tcBorders>
              <w:top w:val="nil"/>
              <w:left w:val="nil"/>
              <w:bottom w:val="nil"/>
              <w:right w:val="nil"/>
            </w:tcBorders>
            <w:shd w:val="clear" w:color="auto" w:fill="auto"/>
            <w:vAlign w:val="center"/>
            <w:hideMark/>
          </w:tcPr>
          <w:p w14:paraId="711417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20068.9 (1.1)</w:t>
            </w:r>
          </w:p>
        </w:tc>
        <w:tc>
          <w:tcPr>
            <w:tcW w:w="1660" w:type="dxa"/>
            <w:tcBorders>
              <w:top w:val="nil"/>
              <w:left w:val="nil"/>
              <w:bottom w:val="nil"/>
              <w:right w:val="nil"/>
            </w:tcBorders>
            <w:shd w:val="clear" w:color="auto" w:fill="auto"/>
            <w:vAlign w:val="center"/>
            <w:hideMark/>
          </w:tcPr>
          <w:p w14:paraId="2ADD8F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70387.3 (2.3)</w:t>
            </w:r>
          </w:p>
        </w:tc>
        <w:tc>
          <w:tcPr>
            <w:tcW w:w="1600" w:type="dxa"/>
            <w:tcBorders>
              <w:top w:val="nil"/>
              <w:left w:val="nil"/>
              <w:bottom w:val="nil"/>
              <w:right w:val="nil"/>
            </w:tcBorders>
            <w:shd w:val="clear" w:color="auto" w:fill="auto"/>
            <w:vAlign w:val="center"/>
            <w:hideMark/>
          </w:tcPr>
          <w:p w14:paraId="10DDF0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60015.6 (1.4)</w:t>
            </w:r>
          </w:p>
        </w:tc>
        <w:tc>
          <w:tcPr>
            <w:tcW w:w="1720" w:type="dxa"/>
            <w:tcBorders>
              <w:top w:val="nil"/>
              <w:left w:val="nil"/>
              <w:bottom w:val="nil"/>
              <w:right w:val="nil"/>
            </w:tcBorders>
            <w:shd w:val="clear" w:color="auto" w:fill="auto"/>
            <w:vAlign w:val="center"/>
            <w:hideMark/>
          </w:tcPr>
          <w:p w14:paraId="2D6D07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244833.0 (3.1)</w:t>
            </w:r>
          </w:p>
        </w:tc>
      </w:tr>
      <w:tr w:rsidR="00C81F9F" w:rsidRPr="00C81F9F" w14:paraId="02F9486B" w14:textId="77777777" w:rsidTr="00C81F9F">
        <w:trPr>
          <w:trHeight w:val="285"/>
        </w:trPr>
        <w:tc>
          <w:tcPr>
            <w:tcW w:w="3777" w:type="dxa"/>
            <w:tcBorders>
              <w:top w:val="nil"/>
              <w:left w:val="nil"/>
              <w:bottom w:val="nil"/>
              <w:right w:val="nil"/>
            </w:tcBorders>
            <w:shd w:val="clear" w:color="auto" w:fill="auto"/>
            <w:noWrap/>
            <w:vAlign w:val="center"/>
            <w:hideMark/>
          </w:tcPr>
          <w:p w14:paraId="2B09F1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779E6F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3767.9 (0.3)</w:t>
            </w:r>
          </w:p>
        </w:tc>
        <w:tc>
          <w:tcPr>
            <w:tcW w:w="1600" w:type="dxa"/>
            <w:tcBorders>
              <w:top w:val="nil"/>
              <w:left w:val="nil"/>
              <w:bottom w:val="nil"/>
              <w:right w:val="nil"/>
            </w:tcBorders>
            <w:shd w:val="clear" w:color="auto" w:fill="auto"/>
            <w:vAlign w:val="center"/>
            <w:hideMark/>
          </w:tcPr>
          <w:p w14:paraId="5A9E78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5294.7 (0.3)</w:t>
            </w:r>
          </w:p>
        </w:tc>
        <w:tc>
          <w:tcPr>
            <w:tcW w:w="1660" w:type="dxa"/>
            <w:tcBorders>
              <w:top w:val="nil"/>
              <w:left w:val="nil"/>
              <w:bottom w:val="nil"/>
              <w:right w:val="nil"/>
            </w:tcBorders>
            <w:shd w:val="clear" w:color="auto" w:fill="auto"/>
            <w:vAlign w:val="center"/>
            <w:hideMark/>
          </w:tcPr>
          <w:p w14:paraId="0C719C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4704.3 (0.2)</w:t>
            </w:r>
          </w:p>
        </w:tc>
        <w:tc>
          <w:tcPr>
            <w:tcW w:w="1660" w:type="dxa"/>
            <w:tcBorders>
              <w:top w:val="nil"/>
              <w:left w:val="nil"/>
              <w:bottom w:val="nil"/>
              <w:right w:val="nil"/>
            </w:tcBorders>
            <w:shd w:val="clear" w:color="auto" w:fill="auto"/>
            <w:vAlign w:val="center"/>
            <w:hideMark/>
          </w:tcPr>
          <w:p w14:paraId="7D7EE03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7641.1 (0.3)</w:t>
            </w:r>
          </w:p>
        </w:tc>
        <w:tc>
          <w:tcPr>
            <w:tcW w:w="1600" w:type="dxa"/>
            <w:tcBorders>
              <w:top w:val="nil"/>
              <w:left w:val="nil"/>
              <w:bottom w:val="nil"/>
              <w:right w:val="nil"/>
            </w:tcBorders>
            <w:shd w:val="clear" w:color="auto" w:fill="auto"/>
            <w:vAlign w:val="center"/>
            <w:hideMark/>
          </w:tcPr>
          <w:p w14:paraId="076DB7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12340.8 (0.3)</w:t>
            </w:r>
          </w:p>
        </w:tc>
        <w:tc>
          <w:tcPr>
            <w:tcW w:w="1720" w:type="dxa"/>
            <w:tcBorders>
              <w:top w:val="nil"/>
              <w:left w:val="nil"/>
              <w:bottom w:val="nil"/>
              <w:right w:val="nil"/>
            </w:tcBorders>
            <w:shd w:val="clear" w:color="auto" w:fill="auto"/>
            <w:vAlign w:val="center"/>
            <w:hideMark/>
          </w:tcPr>
          <w:p w14:paraId="171E5D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17338.6 (0.2)</w:t>
            </w:r>
          </w:p>
        </w:tc>
      </w:tr>
      <w:tr w:rsidR="00C81F9F" w:rsidRPr="00C81F9F" w14:paraId="065030C9" w14:textId="77777777" w:rsidTr="00C81F9F">
        <w:trPr>
          <w:trHeight w:val="285"/>
        </w:trPr>
        <w:tc>
          <w:tcPr>
            <w:tcW w:w="3777" w:type="dxa"/>
            <w:tcBorders>
              <w:top w:val="nil"/>
              <w:left w:val="nil"/>
              <w:bottom w:val="nil"/>
              <w:right w:val="nil"/>
            </w:tcBorders>
            <w:shd w:val="clear" w:color="auto" w:fill="auto"/>
            <w:noWrap/>
            <w:vAlign w:val="center"/>
            <w:hideMark/>
          </w:tcPr>
          <w:p w14:paraId="305BED31"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Health Insurance Coverage</w:t>
            </w:r>
          </w:p>
        </w:tc>
        <w:tc>
          <w:tcPr>
            <w:tcW w:w="1820" w:type="dxa"/>
            <w:tcBorders>
              <w:top w:val="nil"/>
              <w:left w:val="nil"/>
              <w:bottom w:val="nil"/>
              <w:right w:val="nil"/>
            </w:tcBorders>
            <w:shd w:val="clear" w:color="auto" w:fill="auto"/>
            <w:vAlign w:val="center"/>
            <w:hideMark/>
          </w:tcPr>
          <w:p w14:paraId="51A72CB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156C71D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C58A98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06DCC5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F44BC9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B047D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0BA39213" w14:textId="77777777" w:rsidTr="00C81F9F">
        <w:trPr>
          <w:trHeight w:val="285"/>
        </w:trPr>
        <w:tc>
          <w:tcPr>
            <w:tcW w:w="3777" w:type="dxa"/>
            <w:tcBorders>
              <w:top w:val="nil"/>
              <w:left w:val="nil"/>
              <w:bottom w:val="nil"/>
              <w:right w:val="nil"/>
            </w:tcBorders>
            <w:shd w:val="clear" w:color="auto" w:fill="auto"/>
            <w:noWrap/>
            <w:vAlign w:val="center"/>
            <w:hideMark/>
          </w:tcPr>
          <w:p w14:paraId="4D6C3DD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None</w:t>
            </w:r>
          </w:p>
        </w:tc>
        <w:tc>
          <w:tcPr>
            <w:tcW w:w="1820" w:type="dxa"/>
            <w:tcBorders>
              <w:top w:val="nil"/>
              <w:left w:val="nil"/>
              <w:bottom w:val="nil"/>
              <w:right w:val="nil"/>
            </w:tcBorders>
            <w:shd w:val="clear" w:color="auto" w:fill="auto"/>
            <w:vAlign w:val="center"/>
            <w:hideMark/>
          </w:tcPr>
          <w:p w14:paraId="4C8D9BD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321969.8 (25.3)</w:t>
            </w:r>
          </w:p>
        </w:tc>
        <w:tc>
          <w:tcPr>
            <w:tcW w:w="1600" w:type="dxa"/>
            <w:tcBorders>
              <w:top w:val="nil"/>
              <w:left w:val="nil"/>
              <w:bottom w:val="nil"/>
              <w:right w:val="nil"/>
            </w:tcBorders>
            <w:shd w:val="clear" w:color="auto" w:fill="auto"/>
            <w:vAlign w:val="center"/>
            <w:hideMark/>
          </w:tcPr>
          <w:p w14:paraId="6F9FE0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96992.3 (4.7)</w:t>
            </w:r>
          </w:p>
        </w:tc>
        <w:tc>
          <w:tcPr>
            <w:tcW w:w="1660" w:type="dxa"/>
            <w:tcBorders>
              <w:top w:val="nil"/>
              <w:left w:val="nil"/>
              <w:bottom w:val="nil"/>
              <w:right w:val="nil"/>
            </w:tcBorders>
            <w:shd w:val="clear" w:color="auto" w:fill="auto"/>
            <w:vAlign w:val="center"/>
            <w:hideMark/>
          </w:tcPr>
          <w:p w14:paraId="636F53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475956.7 (25.2)</w:t>
            </w:r>
          </w:p>
        </w:tc>
        <w:tc>
          <w:tcPr>
            <w:tcW w:w="1660" w:type="dxa"/>
            <w:tcBorders>
              <w:top w:val="nil"/>
              <w:left w:val="nil"/>
              <w:bottom w:val="nil"/>
              <w:right w:val="nil"/>
            </w:tcBorders>
            <w:shd w:val="clear" w:color="auto" w:fill="auto"/>
            <w:vAlign w:val="center"/>
            <w:hideMark/>
          </w:tcPr>
          <w:p w14:paraId="40E388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111246.1 (3.7)</w:t>
            </w:r>
          </w:p>
        </w:tc>
        <w:tc>
          <w:tcPr>
            <w:tcW w:w="1600" w:type="dxa"/>
            <w:tcBorders>
              <w:top w:val="nil"/>
              <w:left w:val="nil"/>
              <w:bottom w:val="nil"/>
              <w:right w:val="nil"/>
            </w:tcBorders>
            <w:shd w:val="clear" w:color="auto" w:fill="auto"/>
            <w:vAlign w:val="center"/>
            <w:hideMark/>
          </w:tcPr>
          <w:p w14:paraId="73FE54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1285644.8 (30.6)</w:t>
            </w:r>
          </w:p>
        </w:tc>
        <w:tc>
          <w:tcPr>
            <w:tcW w:w="1720" w:type="dxa"/>
            <w:tcBorders>
              <w:top w:val="nil"/>
              <w:left w:val="nil"/>
              <w:bottom w:val="nil"/>
              <w:right w:val="nil"/>
            </w:tcBorders>
            <w:shd w:val="clear" w:color="auto" w:fill="auto"/>
            <w:vAlign w:val="center"/>
            <w:hideMark/>
          </w:tcPr>
          <w:p w14:paraId="7EEE00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410375.3 (5.2)</w:t>
            </w:r>
          </w:p>
        </w:tc>
      </w:tr>
      <w:tr w:rsidR="00C81F9F" w:rsidRPr="00C81F9F" w14:paraId="57BC4EB8" w14:textId="77777777" w:rsidTr="00C81F9F">
        <w:trPr>
          <w:trHeight w:val="285"/>
        </w:trPr>
        <w:tc>
          <w:tcPr>
            <w:tcW w:w="3777" w:type="dxa"/>
            <w:tcBorders>
              <w:top w:val="nil"/>
              <w:left w:val="nil"/>
              <w:bottom w:val="nil"/>
              <w:right w:val="nil"/>
            </w:tcBorders>
            <w:shd w:val="clear" w:color="auto" w:fill="auto"/>
            <w:noWrap/>
            <w:vAlign w:val="center"/>
            <w:hideMark/>
          </w:tcPr>
          <w:p w14:paraId="1D27A58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Public Insurance (Medicaid/CHIP)</w:t>
            </w:r>
          </w:p>
        </w:tc>
        <w:tc>
          <w:tcPr>
            <w:tcW w:w="1820" w:type="dxa"/>
            <w:tcBorders>
              <w:top w:val="nil"/>
              <w:left w:val="nil"/>
              <w:bottom w:val="nil"/>
              <w:right w:val="nil"/>
            </w:tcBorders>
            <w:shd w:val="clear" w:color="auto" w:fill="auto"/>
            <w:vAlign w:val="center"/>
            <w:hideMark/>
          </w:tcPr>
          <w:p w14:paraId="15057E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243829.1 (19.2)</w:t>
            </w:r>
          </w:p>
        </w:tc>
        <w:tc>
          <w:tcPr>
            <w:tcW w:w="1600" w:type="dxa"/>
            <w:tcBorders>
              <w:top w:val="nil"/>
              <w:left w:val="nil"/>
              <w:bottom w:val="nil"/>
              <w:right w:val="nil"/>
            </w:tcBorders>
            <w:shd w:val="clear" w:color="auto" w:fill="auto"/>
            <w:vAlign w:val="center"/>
            <w:hideMark/>
          </w:tcPr>
          <w:p w14:paraId="0EDDC9F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397405.6 (19.4)</w:t>
            </w:r>
          </w:p>
        </w:tc>
        <w:tc>
          <w:tcPr>
            <w:tcW w:w="1660" w:type="dxa"/>
            <w:tcBorders>
              <w:top w:val="nil"/>
              <w:left w:val="nil"/>
              <w:bottom w:val="nil"/>
              <w:right w:val="nil"/>
            </w:tcBorders>
            <w:shd w:val="clear" w:color="auto" w:fill="auto"/>
            <w:vAlign w:val="center"/>
            <w:hideMark/>
          </w:tcPr>
          <w:p w14:paraId="6D993C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382161.9 (20.2)</w:t>
            </w:r>
          </w:p>
        </w:tc>
        <w:tc>
          <w:tcPr>
            <w:tcW w:w="1660" w:type="dxa"/>
            <w:tcBorders>
              <w:top w:val="nil"/>
              <w:left w:val="nil"/>
              <w:bottom w:val="nil"/>
              <w:right w:val="nil"/>
            </w:tcBorders>
            <w:shd w:val="clear" w:color="auto" w:fill="auto"/>
            <w:vAlign w:val="center"/>
            <w:hideMark/>
          </w:tcPr>
          <w:p w14:paraId="2AB10B6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498622.5 (16.5)</w:t>
            </w:r>
          </w:p>
        </w:tc>
        <w:tc>
          <w:tcPr>
            <w:tcW w:w="1600" w:type="dxa"/>
            <w:tcBorders>
              <w:top w:val="nil"/>
              <w:left w:val="nil"/>
              <w:bottom w:val="nil"/>
              <w:right w:val="nil"/>
            </w:tcBorders>
            <w:shd w:val="clear" w:color="auto" w:fill="auto"/>
            <w:vAlign w:val="center"/>
            <w:hideMark/>
          </w:tcPr>
          <w:p w14:paraId="651033F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728162.3 (17.3)</w:t>
            </w:r>
          </w:p>
        </w:tc>
        <w:tc>
          <w:tcPr>
            <w:tcW w:w="1720" w:type="dxa"/>
            <w:tcBorders>
              <w:top w:val="nil"/>
              <w:left w:val="nil"/>
              <w:bottom w:val="nil"/>
              <w:right w:val="nil"/>
            </w:tcBorders>
            <w:shd w:val="clear" w:color="auto" w:fill="auto"/>
            <w:vAlign w:val="center"/>
            <w:hideMark/>
          </w:tcPr>
          <w:p w14:paraId="39A706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1138810.5 (14.3)</w:t>
            </w:r>
          </w:p>
        </w:tc>
      </w:tr>
      <w:tr w:rsidR="00C81F9F" w:rsidRPr="00C81F9F" w14:paraId="6C1E63E0" w14:textId="77777777" w:rsidTr="00C81F9F">
        <w:trPr>
          <w:trHeight w:val="285"/>
        </w:trPr>
        <w:tc>
          <w:tcPr>
            <w:tcW w:w="3777" w:type="dxa"/>
            <w:tcBorders>
              <w:top w:val="nil"/>
              <w:left w:val="nil"/>
              <w:bottom w:val="nil"/>
              <w:right w:val="nil"/>
            </w:tcBorders>
            <w:shd w:val="clear" w:color="auto" w:fill="auto"/>
            <w:noWrap/>
            <w:vAlign w:val="center"/>
            <w:hideMark/>
          </w:tcPr>
          <w:p w14:paraId="6E24D2C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Private</w:t>
            </w:r>
          </w:p>
        </w:tc>
        <w:tc>
          <w:tcPr>
            <w:tcW w:w="1820" w:type="dxa"/>
            <w:tcBorders>
              <w:top w:val="nil"/>
              <w:left w:val="nil"/>
              <w:bottom w:val="nil"/>
              <w:right w:val="nil"/>
            </w:tcBorders>
            <w:shd w:val="clear" w:color="auto" w:fill="auto"/>
            <w:vAlign w:val="center"/>
            <w:hideMark/>
          </w:tcPr>
          <w:p w14:paraId="15B789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466939.6 (36.7)</w:t>
            </w:r>
          </w:p>
        </w:tc>
        <w:tc>
          <w:tcPr>
            <w:tcW w:w="1600" w:type="dxa"/>
            <w:tcBorders>
              <w:top w:val="nil"/>
              <w:left w:val="nil"/>
              <w:bottom w:val="nil"/>
              <w:right w:val="nil"/>
            </w:tcBorders>
            <w:shd w:val="clear" w:color="auto" w:fill="auto"/>
            <w:vAlign w:val="center"/>
            <w:hideMark/>
          </w:tcPr>
          <w:p w14:paraId="3D2089D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1041669.2 (50.8)</w:t>
            </w:r>
          </w:p>
        </w:tc>
        <w:tc>
          <w:tcPr>
            <w:tcW w:w="1660" w:type="dxa"/>
            <w:tcBorders>
              <w:top w:val="nil"/>
              <w:left w:val="nil"/>
              <w:bottom w:val="nil"/>
              <w:right w:val="nil"/>
            </w:tcBorders>
            <w:shd w:val="clear" w:color="auto" w:fill="auto"/>
            <w:vAlign w:val="center"/>
            <w:hideMark/>
          </w:tcPr>
          <w:p w14:paraId="2454FC7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618065.9 (32.7)</w:t>
            </w:r>
          </w:p>
        </w:tc>
        <w:tc>
          <w:tcPr>
            <w:tcW w:w="1660" w:type="dxa"/>
            <w:tcBorders>
              <w:top w:val="nil"/>
              <w:left w:val="nil"/>
              <w:bottom w:val="nil"/>
              <w:right w:val="nil"/>
            </w:tcBorders>
            <w:shd w:val="clear" w:color="auto" w:fill="auto"/>
            <w:vAlign w:val="center"/>
            <w:hideMark/>
          </w:tcPr>
          <w:p w14:paraId="6B66F2C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1590471.4 (52.6)</w:t>
            </w:r>
          </w:p>
        </w:tc>
        <w:tc>
          <w:tcPr>
            <w:tcW w:w="1600" w:type="dxa"/>
            <w:tcBorders>
              <w:top w:val="nil"/>
              <w:left w:val="nil"/>
              <w:bottom w:val="nil"/>
              <w:right w:val="nil"/>
            </w:tcBorders>
            <w:shd w:val="clear" w:color="auto" w:fill="auto"/>
            <w:vAlign w:val="center"/>
            <w:hideMark/>
          </w:tcPr>
          <w:p w14:paraId="677D361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1492673.9 (35.5)</w:t>
            </w:r>
          </w:p>
        </w:tc>
        <w:tc>
          <w:tcPr>
            <w:tcW w:w="1720" w:type="dxa"/>
            <w:tcBorders>
              <w:top w:val="nil"/>
              <w:left w:val="nil"/>
              <w:bottom w:val="nil"/>
              <w:right w:val="nil"/>
            </w:tcBorders>
            <w:shd w:val="clear" w:color="auto" w:fill="auto"/>
            <w:vAlign w:val="center"/>
            <w:hideMark/>
          </w:tcPr>
          <w:p w14:paraId="499174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4573969.1 (57.5)</w:t>
            </w:r>
          </w:p>
        </w:tc>
      </w:tr>
      <w:tr w:rsidR="00C81F9F" w:rsidRPr="00C81F9F" w14:paraId="3376CA00" w14:textId="77777777" w:rsidTr="00C81F9F">
        <w:trPr>
          <w:trHeight w:val="285"/>
        </w:trPr>
        <w:tc>
          <w:tcPr>
            <w:tcW w:w="3777" w:type="dxa"/>
            <w:tcBorders>
              <w:top w:val="nil"/>
              <w:left w:val="nil"/>
              <w:bottom w:val="nil"/>
              <w:right w:val="nil"/>
            </w:tcBorders>
            <w:shd w:val="clear" w:color="auto" w:fill="auto"/>
            <w:noWrap/>
            <w:vAlign w:val="center"/>
            <w:hideMark/>
          </w:tcPr>
          <w:p w14:paraId="64EA6EF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Military</w:t>
            </w:r>
          </w:p>
        </w:tc>
        <w:tc>
          <w:tcPr>
            <w:tcW w:w="1820" w:type="dxa"/>
            <w:tcBorders>
              <w:top w:val="nil"/>
              <w:left w:val="nil"/>
              <w:bottom w:val="nil"/>
              <w:right w:val="nil"/>
            </w:tcBorders>
            <w:shd w:val="clear" w:color="auto" w:fill="auto"/>
            <w:vAlign w:val="center"/>
            <w:hideMark/>
          </w:tcPr>
          <w:p w14:paraId="10AF53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18252.2 (1.4)</w:t>
            </w:r>
          </w:p>
        </w:tc>
        <w:tc>
          <w:tcPr>
            <w:tcW w:w="1600" w:type="dxa"/>
            <w:tcBorders>
              <w:top w:val="nil"/>
              <w:left w:val="nil"/>
              <w:bottom w:val="nil"/>
              <w:right w:val="nil"/>
            </w:tcBorders>
            <w:shd w:val="clear" w:color="auto" w:fill="auto"/>
            <w:vAlign w:val="center"/>
            <w:hideMark/>
          </w:tcPr>
          <w:p w14:paraId="312C7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125139.6 (6.1)</w:t>
            </w:r>
          </w:p>
        </w:tc>
        <w:tc>
          <w:tcPr>
            <w:tcW w:w="1660" w:type="dxa"/>
            <w:tcBorders>
              <w:top w:val="nil"/>
              <w:left w:val="nil"/>
              <w:bottom w:val="nil"/>
              <w:right w:val="nil"/>
            </w:tcBorders>
            <w:shd w:val="clear" w:color="auto" w:fill="auto"/>
            <w:vAlign w:val="center"/>
            <w:hideMark/>
          </w:tcPr>
          <w:p w14:paraId="11C4CB0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35798.0 (1.9)</w:t>
            </w:r>
          </w:p>
        </w:tc>
        <w:tc>
          <w:tcPr>
            <w:tcW w:w="1660" w:type="dxa"/>
            <w:tcBorders>
              <w:top w:val="nil"/>
              <w:left w:val="nil"/>
              <w:bottom w:val="nil"/>
              <w:right w:val="nil"/>
            </w:tcBorders>
            <w:shd w:val="clear" w:color="auto" w:fill="auto"/>
            <w:vAlign w:val="center"/>
            <w:hideMark/>
          </w:tcPr>
          <w:p w14:paraId="45ADF38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206855.3 (6.8)</w:t>
            </w:r>
          </w:p>
        </w:tc>
        <w:tc>
          <w:tcPr>
            <w:tcW w:w="1600" w:type="dxa"/>
            <w:tcBorders>
              <w:top w:val="nil"/>
              <w:left w:val="nil"/>
              <w:bottom w:val="nil"/>
              <w:right w:val="nil"/>
            </w:tcBorders>
            <w:shd w:val="clear" w:color="auto" w:fill="auto"/>
            <w:vAlign w:val="center"/>
            <w:hideMark/>
          </w:tcPr>
          <w:p w14:paraId="3D648B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61814.6 (1.5)</w:t>
            </w:r>
          </w:p>
        </w:tc>
        <w:tc>
          <w:tcPr>
            <w:tcW w:w="1720" w:type="dxa"/>
            <w:tcBorders>
              <w:top w:val="nil"/>
              <w:left w:val="nil"/>
              <w:bottom w:val="nil"/>
              <w:right w:val="nil"/>
            </w:tcBorders>
            <w:shd w:val="clear" w:color="auto" w:fill="auto"/>
            <w:vAlign w:val="center"/>
            <w:hideMark/>
          </w:tcPr>
          <w:p w14:paraId="55442C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451068.5 (5.7)</w:t>
            </w:r>
          </w:p>
        </w:tc>
      </w:tr>
      <w:tr w:rsidR="00C81F9F" w:rsidRPr="00C81F9F" w14:paraId="47C53155" w14:textId="77777777" w:rsidTr="00C81F9F">
        <w:trPr>
          <w:trHeight w:val="285"/>
        </w:trPr>
        <w:tc>
          <w:tcPr>
            <w:tcW w:w="3777" w:type="dxa"/>
            <w:tcBorders>
              <w:top w:val="nil"/>
              <w:left w:val="nil"/>
              <w:bottom w:val="nil"/>
              <w:right w:val="nil"/>
            </w:tcBorders>
            <w:shd w:val="clear" w:color="auto" w:fill="auto"/>
            <w:noWrap/>
            <w:vAlign w:val="center"/>
            <w:hideMark/>
          </w:tcPr>
          <w:p w14:paraId="6F30379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Medicare</w:t>
            </w:r>
          </w:p>
        </w:tc>
        <w:tc>
          <w:tcPr>
            <w:tcW w:w="1820" w:type="dxa"/>
            <w:tcBorders>
              <w:top w:val="nil"/>
              <w:left w:val="nil"/>
              <w:bottom w:val="nil"/>
              <w:right w:val="nil"/>
            </w:tcBorders>
            <w:shd w:val="clear" w:color="auto" w:fill="auto"/>
            <w:vAlign w:val="center"/>
            <w:hideMark/>
          </w:tcPr>
          <w:p w14:paraId="27D0A02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216756.3 (17.1)</w:t>
            </w:r>
          </w:p>
        </w:tc>
        <w:tc>
          <w:tcPr>
            <w:tcW w:w="1600" w:type="dxa"/>
            <w:tcBorders>
              <w:top w:val="nil"/>
              <w:left w:val="nil"/>
              <w:bottom w:val="nil"/>
              <w:right w:val="nil"/>
            </w:tcBorders>
            <w:shd w:val="clear" w:color="auto" w:fill="auto"/>
            <w:vAlign w:val="center"/>
            <w:hideMark/>
          </w:tcPr>
          <w:p w14:paraId="099CAF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384122.1 (18.7)</w:t>
            </w:r>
          </w:p>
        </w:tc>
        <w:tc>
          <w:tcPr>
            <w:tcW w:w="1660" w:type="dxa"/>
            <w:tcBorders>
              <w:top w:val="nil"/>
              <w:left w:val="nil"/>
              <w:bottom w:val="nil"/>
              <w:right w:val="nil"/>
            </w:tcBorders>
            <w:shd w:val="clear" w:color="auto" w:fill="auto"/>
            <w:vAlign w:val="center"/>
            <w:hideMark/>
          </w:tcPr>
          <w:p w14:paraId="5B18631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372219.3 (19.7)</w:t>
            </w:r>
          </w:p>
        </w:tc>
        <w:tc>
          <w:tcPr>
            <w:tcW w:w="1660" w:type="dxa"/>
            <w:tcBorders>
              <w:top w:val="nil"/>
              <w:left w:val="nil"/>
              <w:bottom w:val="nil"/>
              <w:right w:val="nil"/>
            </w:tcBorders>
            <w:shd w:val="clear" w:color="auto" w:fill="auto"/>
            <w:vAlign w:val="center"/>
            <w:hideMark/>
          </w:tcPr>
          <w:p w14:paraId="519F20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616005.1 (20.4)</w:t>
            </w:r>
          </w:p>
        </w:tc>
        <w:tc>
          <w:tcPr>
            <w:tcW w:w="1600" w:type="dxa"/>
            <w:tcBorders>
              <w:top w:val="nil"/>
              <w:left w:val="nil"/>
              <w:bottom w:val="nil"/>
              <w:right w:val="nil"/>
            </w:tcBorders>
            <w:shd w:val="clear" w:color="auto" w:fill="auto"/>
            <w:vAlign w:val="center"/>
            <w:hideMark/>
          </w:tcPr>
          <w:p w14:paraId="609EA99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627517.9 (14.9)</w:t>
            </w:r>
          </w:p>
        </w:tc>
        <w:tc>
          <w:tcPr>
            <w:tcW w:w="1720" w:type="dxa"/>
            <w:tcBorders>
              <w:top w:val="nil"/>
              <w:left w:val="nil"/>
              <w:bottom w:val="nil"/>
              <w:right w:val="nil"/>
            </w:tcBorders>
            <w:shd w:val="clear" w:color="auto" w:fill="auto"/>
            <w:vAlign w:val="center"/>
            <w:hideMark/>
          </w:tcPr>
          <w:p w14:paraId="41DC9E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1364089.1 (17.2)</w:t>
            </w:r>
          </w:p>
        </w:tc>
      </w:tr>
      <w:tr w:rsidR="00C81F9F" w:rsidRPr="00C81F9F" w14:paraId="433210B3" w14:textId="77777777" w:rsidTr="00C81F9F">
        <w:trPr>
          <w:trHeight w:val="285"/>
        </w:trPr>
        <w:tc>
          <w:tcPr>
            <w:tcW w:w="3777" w:type="dxa"/>
            <w:tcBorders>
              <w:top w:val="nil"/>
              <w:left w:val="nil"/>
              <w:bottom w:val="nil"/>
              <w:right w:val="nil"/>
            </w:tcBorders>
            <w:shd w:val="clear" w:color="auto" w:fill="auto"/>
            <w:noWrap/>
            <w:vAlign w:val="center"/>
            <w:hideMark/>
          </w:tcPr>
          <w:p w14:paraId="7302645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DCF5A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2921.4 (0.2)</w:t>
            </w:r>
          </w:p>
        </w:tc>
        <w:tc>
          <w:tcPr>
            <w:tcW w:w="1600" w:type="dxa"/>
            <w:tcBorders>
              <w:top w:val="nil"/>
              <w:left w:val="nil"/>
              <w:bottom w:val="nil"/>
              <w:right w:val="nil"/>
            </w:tcBorders>
            <w:shd w:val="clear" w:color="auto" w:fill="auto"/>
            <w:vAlign w:val="center"/>
            <w:hideMark/>
          </w:tcPr>
          <w:p w14:paraId="56CEFF9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5098.1 (0.2)</w:t>
            </w:r>
          </w:p>
        </w:tc>
        <w:tc>
          <w:tcPr>
            <w:tcW w:w="1660" w:type="dxa"/>
            <w:tcBorders>
              <w:top w:val="nil"/>
              <w:left w:val="nil"/>
              <w:bottom w:val="nil"/>
              <w:right w:val="nil"/>
            </w:tcBorders>
            <w:shd w:val="clear" w:color="auto" w:fill="auto"/>
            <w:vAlign w:val="center"/>
            <w:hideMark/>
          </w:tcPr>
          <w:p w14:paraId="5E312F8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5174.3 (0.3)</w:t>
            </w:r>
          </w:p>
        </w:tc>
        <w:tc>
          <w:tcPr>
            <w:tcW w:w="1660" w:type="dxa"/>
            <w:tcBorders>
              <w:top w:val="nil"/>
              <w:left w:val="nil"/>
              <w:bottom w:val="nil"/>
              <w:right w:val="nil"/>
            </w:tcBorders>
            <w:shd w:val="clear" w:color="auto" w:fill="auto"/>
            <w:vAlign w:val="center"/>
            <w:hideMark/>
          </w:tcPr>
          <w:p w14:paraId="1FFA4E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3378.5 (0.1)</w:t>
            </w:r>
          </w:p>
        </w:tc>
        <w:tc>
          <w:tcPr>
            <w:tcW w:w="1600" w:type="dxa"/>
            <w:tcBorders>
              <w:top w:val="nil"/>
              <w:left w:val="nil"/>
              <w:bottom w:val="nil"/>
              <w:right w:val="nil"/>
            </w:tcBorders>
            <w:shd w:val="clear" w:color="auto" w:fill="auto"/>
            <w:vAlign w:val="center"/>
            <w:hideMark/>
          </w:tcPr>
          <w:p w14:paraId="60A81E0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10847.1 (0.3)</w:t>
            </w:r>
          </w:p>
        </w:tc>
        <w:tc>
          <w:tcPr>
            <w:tcW w:w="1720" w:type="dxa"/>
            <w:tcBorders>
              <w:top w:val="nil"/>
              <w:left w:val="nil"/>
              <w:bottom w:val="nil"/>
              <w:right w:val="nil"/>
            </w:tcBorders>
            <w:shd w:val="clear" w:color="auto" w:fill="auto"/>
            <w:vAlign w:val="center"/>
            <w:hideMark/>
          </w:tcPr>
          <w:p w14:paraId="2C93F5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12089.2 (0.2)</w:t>
            </w:r>
          </w:p>
        </w:tc>
      </w:tr>
      <w:tr w:rsidR="00C81F9F" w:rsidRPr="00C81F9F" w14:paraId="50270444" w14:textId="77777777" w:rsidTr="00C81F9F">
        <w:trPr>
          <w:trHeight w:val="285"/>
        </w:trPr>
        <w:tc>
          <w:tcPr>
            <w:tcW w:w="3777" w:type="dxa"/>
            <w:tcBorders>
              <w:top w:val="nil"/>
              <w:left w:val="nil"/>
              <w:bottom w:val="nil"/>
              <w:right w:val="nil"/>
            </w:tcBorders>
            <w:shd w:val="clear" w:color="auto" w:fill="auto"/>
            <w:noWrap/>
            <w:vAlign w:val="center"/>
            <w:hideMark/>
          </w:tcPr>
          <w:p w14:paraId="72B769D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Education</w:t>
            </w:r>
          </w:p>
        </w:tc>
        <w:tc>
          <w:tcPr>
            <w:tcW w:w="1820" w:type="dxa"/>
            <w:tcBorders>
              <w:top w:val="nil"/>
              <w:left w:val="nil"/>
              <w:bottom w:val="nil"/>
              <w:right w:val="nil"/>
            </w:tcBorders>
            <w:shd w:val="clear" w:color="auto" w:fill="auto"/>
            <w:vAlign w:val="center"/>
            <w:hideMark/>
          </w:tcPr>
          <w:p w14:paraId="0164032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74DA6CF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A92886E"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288ED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A15E07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745085B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DA27243" w14:textId="77777777" w:rsidTr="00C81F9F">
        <w:trPr>
          <w:trHeight w:val="285"/>
        </w:trPr>
        <w:tc>
          <w:tcPr>
            <w:tcW w:w="3777" w:type="dxa"/>
            <w:tcBorders>
              <w:top w:val="nil"/>
              <w:left w:val="nil"/>
              <w:bottom w:val="nil"/>
              <w:right w:val="nil"/>
            </w:tcBorders>
            <w:shd w:val="clear" w:color="auto" w:fill="auto"/>
            <w:noWrap/>
            <w:vAlign w:val="center"/>
            <w:hideMark/>
          </w:tcPr>
          <w:p w14:paraId="03DB7A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High School or Less</w:t>
            </w:r>
          </w:p>
        </w:tc>
        <w:tc>
          <w:tcPr>
            <w:tcW w:w="1820" w:type="dxa"/>
            <w:tcBorders>
              <w:top w:val="nil"/>
              <w:left w:val="nil"/>
              <w:bottom w:val="nil"/>
              <w:right w:val="nil"/>
            </w:tcBorders>
            <w:shd w:val="clear" w:color="auto" w:fill="auto"/>
            <w:vAlign w:val="center"/>
            <w:hideMark/>
          </w:tcPr>
          <w:p w14:paraId="15F733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734748.8 (58.0)</w:t>
            </w:r>
          </w:p>
        </w:tc>
        <w:tc>
          <w:tcPr>
            <w:tcW w:w="1600" w:type="dxa"/>
            <w:tcBorders>
              <w:top w:val="nil"/>
              <w:left w:val="nil"/>
              <w:bottom w:val="nil"/>
              <w:right w:val="nil"/>
            </w:tcBorders>
            <w:shd w:val="clear" w:color="auto" w:fill="auto"/>
            <w:vAlign w:val="center"/>
            <w:hideMark/>
          </w:tcPr>
          <w:p w14:paraId="477230E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1065573.4 (52.2)</w:t>
            </w:r>
          </w:p>
        </w:tc>
        <w:tc>
          <w:tcPr>
            <w:tcW w:w="1660" w:type="dxa"/>
            <w:tcBorders>
              <w:top w:val="nil"/>
              <w:left w:val="nil"/>
              <w:bottom w:val="nil"/>
              <w:right w:val="nil"/>
            </w:tcBorders>
            <w:shd w:val="clear" w:color="auto" w:fill="auto"/>
            <w:vAlign w:val="center"/>
            <w:hideMark/>
          </w:tcPr>
          <w:p w14:paraId="02CB615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1051034.3 (55.8)</w:t>
            </w:r>
          </w:p>
        </w:tc>
        <w:tc>
          <w:tcPr>
            <w:tcW w:w="1660" w:type="dxa"/>
            <w:tcBorders>
              <w:top w:val="nil"/>
              <w:left w:val="nil"/>
              <w:bottom w:val="nil"/>
              <w:right w:val="nil"/>
            </w:tcBorders>
            <w:shd w:val="clear" w:color="auto" w:fill="auto"/>
            <w:vAlign w:val="center"/>
            <w:hideMark/>
          </w:tcPr>
          <w:p w14:paraId="4F631D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1429955.7 (47.4)</w:t>
            </w:r>
          </w:p>
        </w:tc>
        <w:tc>
          <w:tcPr>
            <w:tcW w:w="1600" w:type="dxa"/>
            <w:tcBorders>
              <w:top w:val="nil"/>
              <w:left w:val="nil"/>
              <w:bottom w:val="nil"/>
              <w:right w:val="nil"/>
            </w:tcBorders>
            <w:shd w:val="clear" w:color="auto" w:fill="auto"/>
            <w:vAlign w:val="center"/>
            <w:hideMark/>
          </w:tcPr>
          <w:p w14:paraId="286612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2310737.6 (55.1)</w:t>
            </w:r>
          </w:p>
        </w:tc>
        <w:tc>
          <w:tcPr>
            <w:tcW w:w="1720" w:type="dxa"/>
            <w:tcBorders>
              <w:top w:val="nil"/>
              <w:left w:val="nil"/>
              <w:bottom w:val="nil"/>
              <w:right w:val="nil"/>
            </w:tcBorders>
            <w:shd w:val="clear" w:color="auto" w:fill="auto"/>
            <w:vAlign w:val="center"/>
            <w:hideMark/>
          </w:tcPr>
          <w:p w14:paraId="6EE9E2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3571093.8 (45.0)</w:t>
            </w:r>
          </w:p>
        </w:tc>
      </w:tr>
      <w:tr w:rsidR="00C81F9F" w:rsidRPr="00C81F9F" w14:paraId="5625F92A" w14:textId="77777777" w:rsidTr="00C81F9F">
        <w:trPr>
          <w:trHeight w:val="285"/>
        </w:trPr>
        <w:tc>
          <w:tcPr>
            <w:tcW w:w="3777" w:type="dxa"/>
            <w:tcBorders>
              <w:top w:val="nil"/>
              <w:left w:val="nil"/>
              <w:bottom w:val="nil"/>
              <w:right w:val="nil"/>
            </w:tcBorders>
            <w:shd w:val="clear" w:color="auto" w:fill="auto"/>
            <w:noWrap/>
            <w:vAlign w:val="center"/>
            <w:hideMark/>
          </w:tcPr>
          <w:p w14:paraId="7C06254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Some College</w:t>
            </w:r>
          </w:p>
        </w:tc>
        <w:tc>
          <w:tcPr>
            <w:tcW w:w="1820" w:type="dxa"/>
            <w:tcBorders>
              <w:top w:val="nil"/>
              <w:left w:val="nil"/>
              <w:bottom w:val="nil"/>
              <w:right w:val="nil"/>
            </w:tcBorders>
            <w:shd w:val="clear" w:color="auto" w:fill="auto"/>
            <w:vAlign w:val="center"/>
            <w:hideMark/>
          </w:tcPr>
          <w:p w14:paraId="12D092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386110.5 (30.5)</w:t>
            </w:r>
          </w:p>
        </w:tc>
        <w:tc>
          <w:tcPr>
            <w:tcW w:w="1600" w:type="dxa"/>
            <w:tcBorders>
              <w:top w:val="nil"/>
              <w:left w:val="nil"/>
              <w:bottom w:val="nil"/>
              <w:right w:val="nil"/>
            </w:tcBorders>
            <w:shd w:val="clear" w:color="auto" w:fill="auto"/>
            <w:vAlign w:val="center"/>
            <w:hideMark/>
          </w:tcPr>
          <w:p w14:paraId="66A40CB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566380.7 (27.7)</w:t>
            </w:r>
          </w:p>
        </w:tc>
        <w:tc>
          <w:tcPr>
            <w:tcW w:w="1660" w:type="dxa"/>
            <w:tcBorders>
              <w:top w:val="nil"/>
              <w:left w:val="nil"/>
              <w:bottom w:val="nil"/>
              <w:right w:val="nil"/>
            </w:tcBorders>
            <w:shd w:val="clear" w:color="auto" w:fill="auto"/>
            <w:vAlign w:val="center"/>
            <w:hideMark/>
          </w:tcPr>
          <w:p w14:paraId="3E87A3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608890.9 (32.4)</w:t>
            </w:r>
          </w:p>
        </w:tc>
        <w:tc>
          <w:tcPr>
            <w:tcW w:w="1660" w:type="dxa"/>
            <w:tcBorders>
              <w:top w:val="nil"/>
              <w:left w:val="nil"/>
              <w:bottom w:val="nil"/>
              <w:right w:val="nil"/>
            </w:tcBorders>
            <w:shd w:val="clear" w:color="auto" w:fill="auto"/>
            <w:vAlign w:val="center"/>
            <w:hideMark/>
          </w:tcPr>
          <w:p w14:paraId="74A34C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854274.1 (28.3)</w:t>
            </w:r>
          </w:p>
        </w:tc>
        <w:tc>
          <w:tcPr>
            <w:tcW w:w="1600" w:type="dxa"/>
            <w:tcBorders>
              <w:top w:val="nil"/>
              <w:left w:val="nil"/>
              <w:bottom w:val="nil"/>
              <w:right w:val="nil"/>
            </w:tcBorders>
            <w:shd w:val="clear" w:color="auto" w:fill="auto"/>
            <w:vAlign w:val="center"/>
            <w:hideMark/>
          </w:tcPr>
          <w:p w14:paraId="37C56AA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1368270.2 (32.7)</w:t>
            </w:r>
          </w:p>
        </w:tc>
        <w:tc>
          <w:tcPr>
            <w:tcW w:w="1720" w:type="dxa"/>
            <w:tcBorders>
              <w:top w:val="nil"/>
              <w:left w:val="nil"/>
              <w:bottom w:val="nil"/>
              <w:right w:val="nil"/>
            </w:tcBorders>
            <w:shd w:val="clear" w:color="auto" w:fill="auto"/>
            <w:vAlign w:val="center"/>
            <w:hideMark/>
          </w:tcPr>
          <w:p w14:paraId="2B9A366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2294780.0 (28.9)</w:t>
            </w:r>
          </w:p>
        </w:tc>
      </w:tr>
      <w:tr w:rsidR="00C81F9F" w:rsidRPr="00C81F9F" w14:paraId="39AD6E9D" w14:textId="77777777" w:rsidTr="00C81F9F">
        <w:trPr>
          <w:trHeight w:val="285"/>
        </w:trPr>
        <w:tc>
          <w:tcPr>
            <w:tcW w:w="3777" w:type="dxa"/>
            <w:tcBorders>
              <w:top w:val="nil"/>
              <w:left w:val="nil"/>
              <w:bottom w:val="nil"/>
              <w:right w:val="nil"/>
            </w:tcBorders>
            <w:shd w:val="clear" w:color="auto" w:fill="auto"/>
            <w:noWrap/>
            <w:vAlign w:val="center"/>
            <w:hideMark/>
          </w:tcPr>
          <w:p w14:paraId="09D4A1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College Degree +</w:t>
            </w:r>
          </w:p>
        </w:tc>
        <w:tc>
          <w:tcPr>
            <w:tcW w:w="1820" w:type="dxa"/>
            <w:tcBorders>
              <w:top w:val="nil"/>
              <w:left w:val="nil"/>
              <w:bottom w:val="nil"/>
              <w:right w:val="nil"/>
            </w:tcBorders>
            <w:shd w:val="clear" w:color="auto" w:fill="auto"/>
            <w:vAlign w:val="center"/>
            <w:hideMark/>
          </w:tcPr>
          <w:p w14:paraId="3D4DB59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145874.7 (11.5)</w:t>
            </w:r>
          </w:p>
        </w:tc>
        <w:tc>
          <w:tcPr>
            <w:tcW w:w="1600" w:type="dxa"/>
            <w:tcBorders>
              <w:top w:val="nil"/>
              <w:left w:val="nil"/>
              <w:bottom w:val="nil"/>
              <w:right w:val="nil"/>
            </w:tcBorders>
            <w:shd w:val="clear" w:color="auto" w:fill="auto"/>
            <w:vAlign w:val="center"/>
            <w:hideMark/>
          </w:tcPr>
          <w:p w14:paraId="693B305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410085.9 (20.1)</w:t>
            </w:r>
          </w:p>
        </w:tc>
        <w:tc>
          <w:tcPr>
            <w:tcW w:w="1660" w:type="dxa"/>
            <w:tcBorders>
              <w:top w:val="nil"/>
              <w:left w:val="nil"/>
              <w:bottom w:val="nil"/>
              <w:right w:val="nil"/>
            </w:tcBorders>
            <w:shd w:val="clear" w:color="auto" w:fill="auto"/>
            <w:vAlign w:val="center"/>
            <w:hideMark/>
          </w:tcPr>
          <w:p w14:paraId="1EBABA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222088.2 (11.8)</w:t>
            </w:r>
          </w:p>
        </w:tc>
        <w:tc>
          <w:tcPr>
            <w:tcW w:w="1660" w:type="dxa"/>
            <w:tcBorders>
              <w:top w:val="nil"/>
              <w:left w:val="nil"/>
              <w:bottom w:val="nil"/>
              <w:right w:val="nil"/>
            </w:tcBorders>
            <w:shd w:val="clear" w:color="auto" w:fill="auto"/>
            <w:vAlign w:val="center"/>
            <w:hideMark/>
          </w:tcPr>
          <w:p w14:paraId="7C9BFB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730832.0 (24.2)</w:t>
            </w:r>
          </w:p>
        </w:tc>
        <w:tc>
          <w:tcPr>
            <w:tcW w:w="1600" w:type="dxa"/>
            <w:tcBorders>
              <w:top w:val="nil"/>
              <w:left w:val="nil"/>
              <w:bottom w:val="nil"/>
              <w:right w:val="nil"/>
            </w:tcBorders>
            <w:shd w:val="clear" w:color="auto" w:fill="auto"/>
            <w:vAlign w:val="center"/>
            <w:hideMark/>
          </w:tcPr>
          <w:p w14:paraId="0715A2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511632.9 (12.2)</w:t>
            </w:r>
          </w:p>
        </w:tc>
        <w:tc>
          <w:tcPr>
            <w:tcW w:w="1720" w:type="dxa"/>
            <w:tcBorders>
              <w:top w:val="nil"/>
              <w:left w:val="nil"/>
              <w:bottom w:val="nil"/>
              <w:right w:val="nil"/>
            </w:tcBorders>
            <w:shd w:val="clear" w:color="auto" w:fill="auto"/>
            <w:vAlign w:val="center"/>
            <w:hideMark/>
          </w:tcPr>
          <w:p w14:paraId="640BF47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2063992.3 (26.0)</w:t>
            </w:r>
          </w:p>
        </w:tc>
      </w:tr>
      <w:tr w:rsidR="00C81F9F" w:rsidRPr="00C81F9F" w14:paraId="2F99452B" w14:textId="77777777" w:rsidTr="00C81F9F">
        <w:trPr>
          <w:trHeight w:val="285"/>
        </w:trPr>
        <w:tc>
          <w:tcPr>
            <w:tcW w:w="3777" w:type="dxa"/>
            <w:tcBorders>
              <w:top w:val="nil"/>
              <w:left w:val="nil"/>
              <w:bottom w:val="nil"/>
              <w:right w:val="nil"/>
            </w:tcBorders>
            <w:shd w:val="clear" w:color="auto" w:fill="auto"/>
            <w:noWrap/>
            <w:vAlign w:val="center"/>
            <w:hideMark/>
          </w:tcPr>
          <w:p w14:paraId="4D795586"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lastRenderedPageBreak/>
              <w:t>Household Income</w:t>
            </w:r>
          </w:p>
        </w:tc>
        <w:tc>
          <w:tcPr>
            <w:tcW w:w="1820" w:type="dxa"/>
            <w:tcBorders>
              <w:top w:val="nil"/>
              <w:left w:val="nil"/>
              <w:bottom w:val="nil"/>
              <w:right w:val="nil"/>
            </w:tcBorders>
            <w:shd w:val="clear" w:color="auto" w:fill="auto"/>
            <w:vAlign w:val="center"/>
            <w:hideMark/>
          </w:tcPr>
          <w:p w14:paraId="42D2E360"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2F69B0B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4AD4A5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70936E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078D2E1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E2D015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04B0975" w14:textId="77777777" w:rsidTr="00C81F9F">
        <w:trPr>
          <w:trHeight w:val="285"/>
        </w:trPr>
        <w:tc>
          <w:tcPr>
            <w:tcW w:w="3777" w:type="dxa"/>
            <w:tcBorders>
              <w:top w:val="nil"/>
              <w:left w:val="nil"/>
              <w:bottom w:val="nil"/>
              <w:right w:val="nil"/>
            </w:tcBorders>
            <w:shd w:val="clear" w:color="auto" w:fill="auto"/>
            <w:noWrap/>
            <w:vAlign w:val="center"/>
            <w:hideMark/>
          </w:tcPr>
          <w:p w14:paraId="25FF3EF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&lt; $20,000</w:t>
            </w:r>
          </w:p>
        </w:tc>
        <w:tc>
          <w:tcPr>
            <w:tcW w:w="1820" w:type="dxa"/>
            <w:tcBorders>
              <w:top w:val="nil"/>
              <w:left w:val="nil"/>
              <w:bottom w:val="nil"/>
              <w:right w:val="nil"/>
            </w:tcBorders>
            <w:shd w:val="clear" w:color="auto" w:fill="auto"/>
            <w:vAlign w:val="center"/>
            <w:hideMark/>
          </w:tcPr>
          <w:p w14:paraId="4C1E5F7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574066.5 (45.1)</w:t>
            </w:r>
          </w:p>
        </w:tc>
        <w:tc>
          <w:tcPr>
            <w:tcW w:w="1600" w:type="dxa"/>
            <w:tcBorders>
              <w:top w:val="nil"/>
              <w:left w:val="nil"/>
              <w:bottom w:val="nil"/>
              <w:right w:val="nil"/>
            </w:tcBorders>
            <w:shd w:val="clear" w:color="auto" w:fill="auto"/>
            <w:vAlign w:val="center"/>
            <w:hideMark/>
          </w:tcPr>
          <w:p w14:paraId="44424A9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576371.3 (28.1)</w:t>
            </w:r>
          </w:p>
        </w:tc>
        <w:tc>
          <w:tcPr>
            <w:tcW w:w="1660" w:type="dxa"/>
            <w:tcBorders>
              <w:top w:val="nil"/>
              <w:left w:val="nil"/>
              <w:bottom w:val="nil"/>
              <w:right w:val="nil"/>
            </w:tcBorders>
            <w:shd w:val="clear" w:color="auto" w:fill="auto"/>
            <w:vAlign w:val="center"/>
            <w:hideMark/>
          </w:tcPr>
          <w:p w14:paraId="3E34CA0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949730.5 (50.1)</w:t>
            </w:r>
          </w:p>
        </w:tc>
        <w:tc>
          <w:tcPr>
            <w:tcW w:w="1660" w:type="dxa"/>
            <w:tcBorders>
              <w:top w:val="nil"/>
              <w:left w:val="nil"/>
              <w:bottom w:val="nil"/>
              <w:right w:val="nil"/>
            </w:tcBorders>
            <w:shd w:val="clear" w:color="auto" w:fill="auto"/>
            <w:vAlign w:val="center"/>
            <w:hideMark/>
          </w:tcPr>
          <w:p w14:paraId="0A36CD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823869.0 (27.2)</w:t>
            </w:r>
          </w:p>
        </w:tc>
        <w:tc>
          <w:tcPr>
            <w:tcW w:w="1600" w:type="dxa"/>
            <w:tcBorders>
              <w:top w:val="nil"/>
              <w:left w:val="nil"/>
              <w:bottom w:val="nil"/>
              <w:right w:val="nil"/>
            </w:tcBorders>
            <w:shd w:val="clear" w:color="auto" w:fill="auto"/>
            <w:vAlign w:val="center"/>
            <w:hideMark/>
          </w:tcPr>
          <w:p w14:paraId="737C3D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1939293.9 (46.0)</w:t>
            </w:r>
          </w:p>
        </w:tc>
        <w:tc>
          <w:tcPr>
            <w:tcW w:w="1720" w:type="dxa"/>
            <w:tcBorders>
              <w:top w:val="nil"/>
              <w:left w:val="nil"/>
              <w:bottom w:val="nil"/>
              <w:right w:val="nil"/>
            </w:tcBorders>
            <w:shd w:val="clear" w:color="auto" w:fill="auto"/>
            <w:vAlign w:val="center"/>
            <w:hideMark/>
          </w:tcPr>
          <w:p w14:paraId="004132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1830836.8 (23.0)</w:t>
            </w:r>
          </w:p>
        </w:tc>
      </w:tr>
      <w:tr w:rsidR="00C81F9F" w:rsidRPr="00C81F9F" w14:paraId="35B2A549" w14:textId="77777777" w:rsidTr="00C81F9F">
        <w:trPr>
          <w:trHeight w:val="285"/>
        </w:trPr>
        <w:tc>
          <w:tcPr>
            <w:tcW w:w="3777" w:type="dxa"/>
            <w:tcBorders>
              <w:top w:val="nil"/>
              <w:left w:val="nil"/>
              <w:bottom w:val="nil"/>
              <w:right w:val="nil"/>
            </w:tcBorders>
            <w:shd w:val="clear" w:color="auto" w:fill="auto"/>
            <w:noWrap/>
            <w:vAlign w:val="center"/>
            <w:hideMark/>
          </w:tcPr>
          <w:p w14:paraId="39B6AE2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$20,000 to &lt; $45,000</w:t>
            </w:r>
          </w:p>
        </w:tc>
        <w:tc>
          <w:tcPr>
            <w:tcW w:w="1820" w:type="dxa"/>
            <w:tcBorders>
              <w:top w:val="nil"/>
              <w:left w:val="nil"/>
              <w:bottom w:val="nil"/>
              <w:right w:val="nil"/>
            </w:tcBorders>
            <w:shd w:val="clear" w:color="auto" w:fill="auto"/>
            <w:vAlign w:val="center"/>
            <w:hideMark/>
          </w:tcPr>
          <w:p w14:paraId="30444F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323401.4 (25.4)</w:t>
            </w:r>
          </w:p>
        </w:tc>
        <w:tc>
          <w:tcPr>
            <w:tcW w:w="1600" w:type="dxa"/>
            <w:tcBorders>
              <w:top w:val="nil"/>
              <w:left w:val="nil"/>
              <w:bottom w:val="nil"/>
              <w:right w:val="nil"/>
            </w:tcBorders>
            <w:shd w:val="clear" w:color="auto" w:fill="auto"/>
            <w:vAlign w:val="center"/>
            <w:hideMark/>
          </w:tcPr>
          <w:p w14:paraId="47A17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416123.4 (20.3)</w:t>
            </w:r>
          </w:p>
        </w:tc>
        <w:tc>
          <w:tcPr>
            <w:tcW w:w="1660" w:type="dxa"/>
            <w:tcBorders>
              <w:top w:val="nil"/>
              <w:left w:val="nil"/>
              <w:bottom w:val="nil"/>
              <w:right w:val="nil"/>
            </w:tcBorders>
            <w:shd w:val="clear" w:color="auto" w:fill="auto"/>
            <w:vAlign w:val="center"/>
            <w:hideMark/>
          </w:tcPr>
          <w:p w14:paraId="17F32D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459014.3 (24.2)</w:t>
            </w:r>
          </w:p>
        </w:tc>
        <w:tc>
          <w:tcPr>
            <w:tcW w:w="1660" w:type="dxa"/>
            <w:tcBorders>
              <w:top w:val="nil"/>
              <w:left w:val="nil"/>
              <w:bottom w:val="nil"/>
              <w:right w:val="nil"/>
            </w:tcBorders>
            <w:shd w:val="clear" w:color="auto" w:fill="auto"/>
            <w:vAlign w:val="center"/>
            <w:hideMark/>
          </w:tcPr>
          <w:p w14:paraId="67300B0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640813.9 (21.1)</w:t>
            </w:r>
          </w:p>
        </w:tc>
        <w:tc>
          <w:tcPr>
            <w:tcW w:w="1600" w:type="dxa"/>
            <w:tcBorders>
              <w:top w:val="nil"/>
              <w:left w:val="nil"/>
              <w:bottom w:val="nil"/>
              <w:right w:val="nil"/>
            </w:tcBorders>
            <w:shd w:val="clear" w:color="auto" w:fill="auto"/>
            <w:vAlign w:val="center"/>
            <w:hideMark/>
          </w:tcPr>
          <w:p w14:paraId="3924D0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1046478.0 (24.8)</w:t>
            </w:r>
          </w:p>
        </w:tc>
        <w:tc>
          <w:tcPr>
            <w:tcW w:w="1720" w:type="dxa"/>
            <w:tcBorders>
              <w:top w:val="nil"/>
              <w:left w:val="nil"/>
              <w:bottom w:val="nil"/>
              <w:right w:val="nil"/>
            </w:tcBorders>
            <w:shd w:val="clear" w:color="auto" w:fill="auto"/>
            <w:vAlign w:val="center"/>
            <w:hideMark/>
          </w:tcPr>
          <w:p w14:paraId="546B5BE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1537042.2 (19.3)</w:t>
            </w:r>
          </w:p>
        </w:tc>
      </w:tr>
      <w:tr w:rsidR="00C81F9F" w:rsidRPr="00C81F9F" w14:paraId="7DEFCBC2" w14:textId="77777777" w:rsidTr="00C81F9F">
        <w:trPr>
          <w:trHeight w:val="285"/>
        </w:trPr>
        <w:tc>
          <w:tcPr>
            <w:tcW w:w="3777" w:type="dxa"/>
            <w:tcBorders>
              <w:top w:val="nil"/>
              <w:left w:val="nil"/>
              <w:bottom w:val="nil"/>
              <w:right w:val="nil"/>
            </w:tcBorders>
            <w:shd w:val="clear" w:color="auto" w:fill="auto"/>
            <w:noWrap/>
            <w:vAlign w:val="center"/>
            <w:hideMark/>
          </w:tcPr>
          <w:p w14:paraId="217BA39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$45,000 to &lt; $65,000</w:t>
            </w:r>
          </w:p>
        </w:tc>
        <w:tc>
          <w:tcPr>
            <w:tcW w:w="1820" w:type="dxa"/>
            <w:tcBorders>
              <w:top w:val="nil"/>
              <w:left w:val="nil"/>
              <w:bottom w:val="nil"/>
              <w:right w:val="nil"/>
            </w:tcBorders>
            <w:shd w:val="clear" w:color="auto" w:fill="auto"/>
            <w:vAlign w:val="center"/>
            <w:hideMark/>
          </w:tcPr>
          <w:p w14:paraId="1F40531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243470.7 (19.1)</w:t>
            </w:r>
          </w:p>
        </w:tc>
        <w:tc>
          <w:tcPr>
            <w:tcW w:w="1600" w:type="dxa"/>
            <w:tcBorders>
              <w:top w:val="nil"/>
              <w:left w:val="nil"/>
              <w:bottom w:val="nil"/>
              <w:right w:val="nil"/>
            </w:tcBorders>
            <w:shd w:val="clear" w:color="auto" w:fill="auto"/>
            <w:vAlign w:val="center"/>
            <w:hideMark/>
          </w:tcPr>
          <w:p w14:paraId="01C074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467633.0 (22.8)</w:t>
            </w:r>
          </w:p>
        </w:tc>
        <w:tc>
          <w:tcPr>
            <w:tcW w:w="1660" w:type="dxa"/>
            <w:tcBorders>
              <w:top w:val="nil"/>
              <w:left w:val="nil"/>
              <w:bottom w:val="nil"/>
              <w:right w:val="nil"/>
            </w:tcBorders>
            <w:shd w:val="clear" w:color="auto" w:fill="auto"/>
            <w:vAlign w:val="center"/>
            <w:hideMark/>
          </w:tcPr>
          <w:p w14:paraId="4F4C741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314766.9 (16.6)</w:t>
            </w:r>
          </w:p>
        </w:tc>
        <w:tc>
          <w:tcPr>
            <w:tcW w:w="1660" w:type="dxa"/>
            <w:tcBorders>
              <w:top w:val="nil"/>
              <w:left w:val="nil"/>
              <w:bottom w:val="nil"/>
              <w:right w:val="nil"/>
            </w:tcBorders>
            <w:shd w:val="clear" w:color="auto" w:fill="auto"/>
            <w:vAlign w:val="center"/>
            <w:hideMark/>
          </w:tcPr>
          <w:p w14:paraId="430F98D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643604.9 (21.2)</w:t>
            </w:r>
          </w:p>
        </w:tc>
        <w:tc>
          <w:tcPr>
            <w:tcW w:w="1600" w:type="dxa"/>
            <w:tcBorders>
              <w:top w:val="nil"/>
              <w:left w:val="nil"/>
              <w:bottom w:val="nil"/>
              <w:right w:val="nil"/>
            </w:tcBorders>
            <w:shd w:val="clear" w:color="auto" w:fill="auto"/>
            <w:vAlign w:val="center"/>
            <w:hideMark/>
          </w:tcPr>
          <w:p w14:paraId="486736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776030.1 (18.4)</w:t>
            </w:r>
          </w:p>
        </w:tc>
        <w:tc>
          <w:tcPr>
            <w:tcW w:w="1720" w:type="dxa"/>
            <w:tcBorders>
              <w:top w:val="nil"/>
              <w:left w:val="nil"/>
              <w:bottom w:val="nil"/>
              <w:right w:val="nil"/>
            </w:tcBorders>
            <w:shd w:val="clear" w:color="auto" w:fill="auto"/>
            <w:vAlign w:val="center"/>
            <w:hideMark/>
          </w:tcPr>
          <w:p w14:paraId="3AAF9B9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1761969.1 (22.1)</w:t>
            </w:r>
          </w:p>
        </w:tc>
      </w:tr>
      <w:tr w:rsidR="00C81F9F" w:rsidRPr="00C81F9F" w14:paraId="3736AF97" w14:textId="77777777" w:rsidTr="00C81F9F">
        <w:trPr>
          <w:trHeight w:val="285"/>
        </w:trPr>
        <w:tc>
          <w:tcPr>
            <w:tcW w:w="3777" w:type="dxa"/>
            <w:tcBorders>
              <w:top w:val="nil"/>
              <w:left w:val="nil"/>
              <w:bottom w:val="nil"/>
              <w:right w:val="nil"/>
            </w:tcBorders>
            <w:shd w:val="clear" w:color="auto" w:fill="auto"/>
            <w:noWrap/>
            <w:vAlign w:val="center"/>
            <w:hideMark/>
          </w:tcPr>
          <w:p w14:paraId="7368D99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$65,000 to &lt; $85,000</w:t>
            </w:r>
          </w:p>
        </w:tc>
        <w:tc>
          <w:tcPr>
            <w:tcW w:w="1820" w:type="dxa"/>
            <w:tcBorders>
              <w:top w:val="nil"/>
              <w:left w:val="nil"/>
              <w:bottom w:val="nil"/>
              <w:right w:val="nil"/>
            </w:tcBorders>
            <w:shd w:val="clear" w:color="auto" w:fill="auto"/>
            <w:vAlign w:val="center"/>
            <w:hideMark/>
          </w:tcPr>
          <w:p w14:paraId="187184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79488.3 (6.2)</w:t>
            </w:r>
          </w:p>
        </w:tc>
        <w:tc>
          <w:tcPr>
            <w:tcW w:w="1600" w:type="dxa"/>
            <w:tcBorders>
              <w:top w:val="nil"/>
              <w:left w:val="nil"/>
              <w:bottom w:val="nil"/>
              <w:right w:val="nil"/>
            </w:tcBorders>
            <w:shd w:val="clear" w:color="auto" w:fill="auto"/>
            <w:vAlign w:val="center"/>
            <w:hideMark/>
          </w:tcPr>
          <w:p w14:paraId="55EB5C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224663.7 (10.9)</w:t>
            </w:r>
          </w:p>
        </w:tc>
        <w:tc>
          <w:tcPr>
            <w:tcW w:w="1660" w:type="dxa"/>
            <w:tcBorders>
              <w:top w:val="nil"/>
              <w:left w:val="nil"/>
              <w:bottom w:val="nil"/>
              <w:right w:val="nil"/>
            </w:tcBorders>
            <w:shd w:val="clear" w:color="auto" w:fill="auto"/>
            <w:vAlign w:val="center"/>
            <w:hideMark/>
          </w:tcPr>
          <w:p w14:paraId="4155C34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100902.7 (5.3)</w:t>
            </w:r>
          </w:p>
        </w:tc>
        <w:tc>
          <w:tcPr>
            <w:tcW w:w="1660" w:type="dxa"/>
            <w:tcBorders>
              <w:top w:val="nil"/>
              <w:left w:val="nil"/>
              <w:bottom w:val="nil"/>
              <w:right w:val="nil"/>
            </w:tcBorders>
            <w:shd w:val="clear" w:color="auto" w:fill="auto"/>
            <w:vAlign w:val="center"/>
            <w:hideMark/>
          </w:tcPr>
          <w:p w14:paraId="123066F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314559.3 (10.4)</w:t>
            </w:r>
          </w:p>
        </w:tc>
        <w:tc>
          <w:tcPr>
            <w:tcW w:w="1600" w:type="dxa"/>
            <w:tcBorders>
              <w:top w:val="nil"/>
              <w:left w:val="nil"/>
              <w:bottom w:val="nil"/>
              <w:right w:val="nil"/>
            </w:tcBorders>
            <w:shd w:val="clear" w:color="auto" w:fill="auto"/>
            <w:vAlign w:val="center"/>
            <w:hideMark/>
          </w:tcPr>
          <w:p w14:paraId="65EAB6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269453.2 (6.4)</w:t>
            </w:r>
          </w:p>
        </w:tc>
        <w:tc>
          <w:tcPr>
            <w:tcW w:w="1720" w:type="dxa"/>
            <w:tcBorders>
              <w:top w:val="nil"/>
              <w:left w:val="nil"/>
              <w:bottom w:val="nil"/>
              <w:right w:val="nil"/>
            </w:tcBorders>
            <w:shd w:val="clear" w:color="auto" w:fill="auto"/>
            <w:vAlign w:val="center"/>
            <w:hideMark/>
          </w:tcPr>
          <w:p w14:paraId="78718CE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939823.6 (11.8)</w:t>
            </w:r>
          </w:p>
        </w:tc>
      </w:tr>
      <w:tr w:rsidR="00C81F9F" w:rsidRPr="00C81F9F" w14:paraId="6FE16263" w14:textId="77777777" w:rsidTr="00C81F9F">
        <w:trPr>
          <w:trHeight w:val="285"/>
        </w:trPr>
        <w:tc>
          <w:tcPr>
            <w:tcW w:w="3777" w:type="dxa"/>
            <w:tcBorders>
              <w:top w:val="nil"/>
              <w:left w:val="nil"/>
              <w:bottom w:val="nil"/>
              <w:right w:val="nil"/>
            </w:tcBorders>
            <w:shd w:val="clear" w:color="auto" w:fill="auto"/>
            <w:noWrap/>
            <w:vAlign w:val="center"/>
            <w:hideMark/>
          </w:tcPr>
          <w:p w14:paraId="47FB06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$85,000 to &lt; $100,000</w:t>
            </w:r>
          </w:p>
        </w:tc>
        <w:tc>
          <w:tcPr>
            <w:tcW w:w="1820" w:type="dxa"/>
            <w:tcBorders>
              <w:top w:val="nil"/>
              <w:left w:val="nil"/>
              <w:bottom w:val="nil"/>
              <w:right w:val="nil"/>
            </w:tcBorders>
            <w:shd w:val="clear" w:color="auto" w:fill="auto"/>
            <w:vAlign w:val="center"/>
            <w:hideMark/>
          </w:tcPr>
          <w:p w14:paraId="043543C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24359.3 (1.9)</w:t>
            </w:r>
          </w:p>
        </w:tc>
        <w:tc>
          <w:tcPr>
            <w:tcW w:w="1600" w:type="dxa"/>
            <w:tcBorders>
              <w:top w:val="nil"/>
              <w:left w:val="nil"/>
              <w:bottom w:val="nil"/>
              <w:right w:val="nil"/>
            </w:tcBorders>
            <w:shd w:val="clear" w:color="auto" w:fill="auto"/>
            <w:vAlign w:val="center"/>
            <w:hideMark/>
          </w:tcPr>
          <w:p w14:paraId="0A75022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120192.7 (5.9)</w:t>
            </w:r>
          </w:p>
        </w:tc>
        <w:tc>
          <w:tcPr>
            <w:tcW w:w="1660" w:type="dxa"/>
            <w:tcBorders>
              <w:top w:val="nil"/>
              <w:left w:val="nil"/>
              <w:bottom w:val="nil"/>
              <w:right w:val="nil"/>
            </w:tcBorders>
            <w:shd w:val="clear" w:color="auto" w:fill="auto"/>
            <w:vAlign w:val="center"/>
            <w:hideMark/>
          </w:tcPr>
          <w:p w14:paraId="45DF7C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34169.3 (1.8)</w:t>
            </w:r>
          </w:p>
        </w:tc>
        <w:tc>
          <w:tcPr>
            <w:tcW w:w="1660" w:type="dxa"/>
            <w:tcBorders>
              <w:top w:val="nil"/>
              <w:left w:val="nil"/>
              <w:bottom w:val="nil"/>
              <w:right w:val="nil"/>
            </w:tcBorders>
            <w:shd w:val="clear" w:color="auto" w:fill="auto"/>
            <w:vAlign w:val="center"/>
            <w:hideMark/>
          </w:tcPr>
          <w:p w14:paraId="29BC579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193219.8 (6.4)</w:t>
            </w:r>
          </w:p>
        </w:tc>
        <w:tc>
          <w:tcPr>
            <w:tcW w:w="1600" w:type="dxa"/>
            <w:tcBorders>
              <w:top w:val="nil"/>
              <w:left w:val="nil"/>
              <w:bottom w:val="nil"/>
              <w:right w:val="nil"/>
            </w:tcBorders>
            <w:shd w:val="clear" w:color="auto" w:fill="auto"/>
            <w:vAlign w:val="center"/>
            <w:hideMark/>
          </w:tcPr>
          <w:p w14:paraId="397943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87039.1 (2.1)</w:t>
            </w:r>
          </w:p>
        </w:tc>
        <w:tc>
          <w:tcPr>
            <w:tcW w:w="1720" w:type="dxa"/>
            <w:tcBorders>
              <w:top w:val="nil"/>
              <w:left w:val="nil"/>
              <w:bottom w:val="nil"/>
              <w:right w:val="nil"/>
            </w:tcBorders>
            <w:shd w:val="clear" w:color="auto" w:fill="auto"/>
            <w:vAlign w:val="center"/>
            <w:hideMark/>
          </w:tcPr>
          <w:p w14:paraId="7C29EF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605169.0 (7.6)</w:t>
            </w:r>
          </w:p>
        </w:tc>
      </w:tr>
      <w:tr w:rsidR="00C81F9F" w:rsidRPr="00C81F9F" w14:paraId="33466884" w14:textId="77777777" w:rsidTr="00C81F9F">
        <w:trPr>
          <w:trHeight w:val="285"/>
        </w:trPr>
        <w:tc>
          <w:tcPr>
            <w:tcW w:w="3777" w:type="dxa"/>
            <w:tcBorders>
              <w:top w:val="nil"/>
              <w:left w:val="nil"/>
              <w:bottom w:val="nil"/>
              <w:right w:val="nil"/>
            </w:tcBorders>
            <w:shd w:val="clear" w:color="auto" w:fill="auto"/>
            <w:noWrap/>
            <w:vAlign w:val="center"/>
            <w:hideMark/>
          </w:tcPr>
          <w:p w14:paraId="348864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$100,000 or more</w:t>
            </w:r>
          </w:p>
        </w:tc>
        <w:tc>
          <w:tcPr>
            <w:tcW w:w="1820" w:type="dxa"/>
            <w:tcBorders>
              <w:top w:val="nil"/>
              <w:left w:val="nil"/>
              <w:bottom w:val="nil"/>
              <w:right w:val="nil"/>
            </w:tcBorders>
            <w:shd w:val="clear" w:color="auto" w:fill="auto"/>
            <w:vAlign w:val="center"/>
            <w:hideMark/>
          </w:tcPr>
          <w:p w14:paraId="6F8F070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28991.3 (2.3)</w:t>
            </w:r>
          </w:p>
        </w:tc>
        <w:tc>
          <w:tcPr>
            <w:tcW w:w="1600" w:type="dxa"/>
            <w:tcBorders>
              <w:top w:val="nil"/>
              <w:left w:val="nil"/>
              <w:bottom w:val="nil"/>
              <w:right w:val="nil"/>
            </w:tcBorders>
            <w:shd w:val="clear" w:color="auto" w:fill="auto"/>
            <w:vAlign w:val="center"/>
            <w:hideMark/>
          </w:tcPr>
          <w:p w14:paraId="5D0D5E2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248419.7 (12.1)</w:t>
            </w:r>
          </w:p>
        </w:tc>
        <w:tc>
          <w:tcPr>
            <w:tcW w:w="1660" w:type="dxa"/>
            <w:tcBorders>
              <w:top w:val="nil"/>
              <w:left w:val="nil"/>
              <w:bottom w:val="nil"/>
              <w:right w:val="nil"/>
            </w:tcBorders>
            <w:shd w:val="clear" w:color="auto" w:fill="auto"/>
            <w:vAlign w:val="center"/>
            <w:hideMark/>
          </w:tcPr>
          <w:p w14:paraId="64E0CF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36954.3 (1.9)</w:t>
            </w:r>
          </w:p>
        </w:tc>
        <w:tc>
          <w:tcPr>
            <w:tcW w:w="1660" w:type="dxa"/>
            <w:tcBorders>
              <w:top w:val="nil"/>
              <w:left w:val="nil"/>
              <w:bottom w:val="nil"/>
              <w:right w:val="nil"/>
            </w:tcBorders>
            <w:shd w:val="clear" w:color="auto" w:fill="auto"/>
            <w:vAlign w:val="center"/>
            <w:hideMark/>
          </w:tcPr>
          <w:p w14:paraId="1F8B5EA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413940.1 (13.7)</w:t>
            </w:r>
          </w:p>
        </w:tc>
        <w:tc>
          <w:tcPr>
            <w:tcW w:w="1600" w:type="dxa"/>
            <w:tcBorders>
              <w:top w:val="nil"/>
              <w:left w:val="nil"/>
              <w:bottom w:val="nil"/>
              <w:right w:val="nil"/>
            </w:tcBorders>
            <w:shd w:val="clear" w:color="auto" w:fill="auto"/>
            <w:vAlign w:val="center"/>
            <w:hideMark/>
          </w:tcPr>
          <w:p w14:paraId="40BB522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101008.8 (2.4)</w:t>
            </w:r>
          </w:p>
        </w:tc>
        <w:tc>
          <w:tcPr>
            <w:tcW w:w="1720" w:type="dxa"/>
            <w:tcBorders>
              <w:top w:val="nil"/>
              <w:left w:val="nil"/>
              <w:bottom w:val="nil"/>
              <w:right w:val="nil"/>
            </w:tcBorders>
            <w:shd w:val="clear" w:color="auto" w:fill="auto"/>
            <w:vAlign w:val="center"/>
            <w:hideMark/>
          </w:tcPr>
          <w:p w14:paraId="6D4CB84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1287779.9 (16.2)</w:t>
            </w:r>
          </w:p>
        </w:tc>
      </w:tr>
      <w:tr w:rsidR="00C81F9F" w:rsidRPr="00C81F9F" w14:paraId="2F5B3149" w14:textId="77777777" w:rsidTr="00C81F9F">
        <w:trPr>
          <w:trHeight w:val="285"/>
        </w:trPr>
        <w:tc>
          <w:tcPr>
            <w:tcW w:w="3777" w:type="dxa"/>
            <w:tcBorders>
              <w:top w:val="nil"/>
              <w:left w:val="nil"/>
              <w:bottom w:val="nil"/>
              <w:right w:val="nil"/>
            </w:tcBorders>
            <w:shd w:val="clear" w:color="auto" w:fill="auto"/>
            <w:noWrap/>
            <w:vAlign w:val="center"/>
            <w:hideMark/>
          </w:tcPr>
          <w:p w14:paraId="2F245902"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Smoking Status</w:t>
            </w:r>
          </w:p>
        </w:tc>
        <w:tc>
          <w:tcPr>
            <w:tcW w:w="1820" w:type="dxa"/>
            <w:tcBorders>
              <w:top w:val="nil"/>
              <w:left w:val="nil"/>
              <w:bottom w:val="nil"/>
              <w:right w:val="nil"/>
            </w:tcBorders>
            <w:shd w:val="clear" w:color="auto" w:fill="auto"/>
            <w:noWrap/>
            <w:vAlign w:val="bottom"/>
            <w:hideMark/>
          </w:tcPr>
          <w:p w14:paraId="20777F6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235ED4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814B7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1DC2E7C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9426E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4A52A7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C29435F" w14:textId="77777777" w:rsidTr="00C81F9F">
        <w:trPr>
          <w:trHeight w:val="285"/>
        </w:trPr>
        <w:tc>
          <w:tcPr>
            <w:tcW w:w="3777" w:type="dxa"/>
            <w:tcBorders>
              <w:top w:val="nil"/>
              <w:left w:val="nil"/>
              <w:bottom w:val="nil"/>
              <w:right w:val="nil"/>
            </w:tcBorders>
            <w:shd w:val="clear" w:color="auto" w:fill="auto"/>
            <w:noWrap/>
            <w:vAlign w:val="center"/>
            <w:hideMark/>
          </w:tcPr>
          <w:p w14:paraId="587E826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Never</w:t>
            </w:r>
          </w:p>
        </w:tc>
        <w:tc>
          <w:tcPr>
            <w:tcW w:w="1820" w:type="dxa"/>
            <w:tcBorders>
              <w:top w:val="nil"/>
              <w:left w:val="nil"/>
              <w:bottom w:val="nil"/>
              <w:right w:val="nil"/>
            </w:tcBorders>
            <w:shd w:val="clear" w:color="auto" w:fill="auto"/>
            <w:noWrap/>
            <w:vAlign w:val="bottom"/>
            <w:hideMark/>
          </w:tcPr>
          <w:p w14:paraId="085C9A4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1248483.9 (45.3)</w:t>
            </w:r>
          </w:p>
        </w:tc>
        <w:tc>
          <w:tcPr>
            <w:tcW w:w="1600" w:type="dxa"/>
            <w:tcBorders>
              <w:top w:val="nil"/>
              <w:left w:val="nil"/>
              <w:bottom w:val="nil"/>
              <w:right w:val="nil"/>
            </w:tcBorders>
            <w:shd w:val="clear" w:color="auto" w:fill="auto"/>
            <w:noWrap/>
            <w:vAlign w:val="bottom"/>
            <w:hideMark/>
          </w:tcPr>
          <w:p w14:paraId="63987EB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2267261.1 (52.4) </w:t>
            </w:r>
          </w:p>
        </w:tc>
        <w:tc>
          <w:tcPr>
            <w:tcW w:w="1660" w:type="dxa"/>
            <w:tcBorders>
              <w:top w:val="nil"/>
              <w:left w:val="nil"/>
              <w:bottom w:val="nil"/>
              <w:right w:val="nil"/>
            </w:tcBorders>
            <w:shd w:val="clear" w:color="auto" w:fill="auto"/>
            <w:noWrap/>
            <w:vAlign w:val="bottom"/>
            <w:hideMark/>
          </w:tcPr>
          <w:p w14:paraId="6C42579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1449656.9 (37.6) </w:t>
            </w:r>
          </w:p>
        </w:tc>
        <w:tc>
          <w:tcPr>
            <w:tcW w:w="1660" w:type="dxa"/>
            <w:tcBorders>
              <w:top w:val="nil"/>
              <w:left w:val="nil"/>
              <w:bottom w:val="nil"/>
              <w:right w:val="nil"/>
            </w:tcBorders>
            <w:shd w:val="clear" w:color="auto" w:fill="auto"/>
            <w:noWrap/>
            <w:vAlign w:val="center"/>
            <w:hideMark/>
          </w:tcPr>
          <w:p w14:paraId="4828557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2796679.1 (46.0)</w:t>
            </w:r>
          </w:p>
        </w:tc>
        <w:tc>
          <w:tcPr>
            <w:tcW w:w="1600" w:type="dxa"/>
            <w:tcBorders>
              <w:top w:val="nil"/>
              <w:left w:val="nil"/>
              <w:bottom w:val="nil"/>
              <w:right w:val="nil"/>
            </w:tcBorders>
            <w:shd w:val="clear" w:color="auto" w:fill="auto"/>
            <w:noWrap/>
            <w:vAlign w:val="bottom"/>
            <w:hideMark/>
          </w:tcPr>
          <w:p w14:paraId="4E6477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3761504.8 (42.7)</w:t>
            </w:r>
          </w:p>
        </w:tc>
        <w:tc>
          <w:tcPr>
            <w:tcW w:w="1720" w:type="dxa"/>
            <w:tcBorders>
              <w:top w:val="nil"/>
              <w:left w:val="nil"/>
              <w:bottom w:val="nil"/>
              <w:right w:val="nil"/>
            </w:tcBorders>
            <w:shd w:val="clear" w:color="auto" w:fill="auto"/>
            <w:noWrap/>
            <w:vAlign w:val="center"/>
            <w:hideMark/>
          </w:tcPr>
          <w:p w14:paraId="7F4744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8691956.3 (52.3)</w:t>
            </w:r>
          </w:p>
        </w:tc>
      </w:tr>
      <w:tr w:rsidR="00C81F9F" w:rsidRPr="00C81F9F" w14:paraId="0F708844" w14:textId="77777777" w:rsidTr="00C81F9F">
        <w:trPr>
          <w:trHeight w:val="285"/>
        </w:trPr>
        <w:tc>
          <w:tcPr>
            <w:tcW w:w="3777" w:type="dxa"/>
            <w:tcBorders>
              <w:top w:val="nil"/>
              <w:left w:val="nil"/>
              <w:bottom w:val="nil"/>
              <w:right w:val="nil"/>
            </w:tcBorders>
            <w:shd w:val="clear" w:color="auto" w:fill="auto"/>
            <w:noWrap/>
            <w:vAlign w:val="center"/>
            <w:hideMark/>
          </w:tcPr>
          <w:p w14:paraId="060A8E2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Former</w:t>
            </w:r>
          </w:p>
        </w:tc>
        <w:tc>
          <w:tcPr>
            <w:tcW w:w="1820" w:type="dxa"/>
            <w:tcBorders>
              <w:top w:val="nil"/>
              <w:left w:val="nil"/>
              <w:bottom w:val="nil"/>
              <w:right w:val="nil"/>
            </w:tcBorders>
            <w:shd w:val="clear" w:color="auto" w:fill="auto"/>
            <w:noWrap/>
            <w:vAlign w:val="bottom"/>
            <w:hideMark/>
          </w:tcPr>
          <w:p w14:paraId="5DFCEE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786087.3 (28.5)</w:t>
            </w:r>
          </w:p>
        </w:tc>
        <w:tc>
          <w:tcPr>
            <w:tcW w:w="1600" w:type="dxa"/>
            <w:tcBorders>
              <w:top w:val="nil"/>
              <w:left w:val="nil"/>
              <w:bottom w:val="nil"/>
              <w:right w:val="nil"/>
            </w:tcBorders>
            <w:shd w:val="clear" w:color="auto" w:fill="auto"/>
            <w:noWrap/>
            <w:vAlign w:val="bottom"/>
            <w:hideMark/>
          </w:tcPr>
          <w:p w14:paraId="4B61E6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485042.3 (34.3)</w:t>
            </w:r>
          </w:p>
        </w:tc>
        <w:tc>
          <w:tcPr>
            <w:tcW w:w="1660" w:type="dxa"/>
            <w:tcBorders>
              <w:top w:val="nil"/>
              <w:left w:val="nil"/>
              <w:bottom w:val="nil"/>
              <w:right w:val="nil"/>
            </w:tcBorders>
            <w:shd w:val="clear" w:color="auto" w:fill="auto"/>
            <w:noWrap/>
            <w:vAlign w:val="bottom"/>
            <w:hideMark/>
          </w:tcPr>
          <w:p w14:paraId="05D551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1049201.6 (27.2)</w:t>
            </w:r>
          </w:p>
        </w:tc>
        <w:tc>
          <w:tcPr>
            <w:tcW w:w="1660" w:type="dxa"/>
            <w:tcBorders>
              <w:top w:val="nil"/>
              <w:left w:val="nil"/>
              <w:bottom w:val="nil"/>
              <w:right w:val="nil"/>
            </w:tcBorders>
            <w:shd w:val="clear" w:color="auto" w:fill="auto"/>
            <w:noWrap/>
            <w:vAlign w:val="center"/>
            <w:hideMark/>
          </w:tcPr>
          <w:p w14:paraId="639396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2376857.2 (39.1)</w:t>
            </w:r>
          </w:p>
        </w:tc>
        <w:tc>
          <w:tcPr>
            <w:tcW w:w="1600" w:type="dxa"/>
            <w:tcBorders>
              <w:top w:val="nil"/>
              <w:left w:val="nil"/>
              <w:bottom w:val="nil"/>
              <w:right w:val="nil"/>
            </w:tcBorders>
            <w:shd w:val="clear" w:color="auto" w:fill="auto"/>
            <w:noWrap/>
            <w:vAlign w:val="bottom"/>
            <w:hideMark/>
          </w:tcPr>
          <w:p w14:paraId="301499B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2127650.7 (24.2)</w:t>
            </w:r>
          </w:p>
        </w:tc>
        <w:tc>
          <w:tcPr>
            <w:tcW w:w="1720" w:type="dxa"/>
            <w:tcBorders>
              <w:top w:val="nil"/>
              <w:left w:val="nil"/>
              <w:bottom w:val="nil"/>
              <w:right w:val="nil"/>
            </w:tcBorders>
            <w:shd w:val="clear" w:color="auto" w:fill="auto"/>
            <w:noWrap/>
            <w:vAlign w:val="center"/>
            <w:hideMark/>
          </w:tcPr>
          <w:p w14:paraId="2159DC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5495561.7 (33.1)</w:t>
            </w:r>
          </w:p>
        </w:tc>
      </w:tr>
      <w:tr w:rsidR="00C81F9F" w:rsidRPr="00C81F9F" w14:paraId="15825C99" w14:textId="77777777" w:rsidTr="00C81F9F">
        <w:trPr>
          <w:trHeight w:val="285"/>
        </w:trPr>
        <w:tc>
          <w:tcPr>
            <w:tcW w:w="3777" w:type="dxa"/>
            <w:tcBorders>
              <w:top w:val="nil"/>
              <w:left w:val="nil"/>
              <w:bottom w:val="nil"/>
              <w:right w:val="nil"/>
            </w:tcBorders>
            <w:shd w:val="clear" w:color="auto" w:fill="auto"/>
            <w:vAlign w:val="bottom"/>
            <w:hideMark/>
          </w:tcPr>
          <w:p w14:paraId="6B28526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Current</w:t>
            </w:r>
          </w:p>
        </w:tc>
        <w:tc>
          <w:tcPr>
            <w:tcW w:w="1820" w:type="dxa"/>
            <w:tcBorders>
              <w:top w:val="nil"/>
              <w:left w:val="nil"/>
              <w:bottom w:val="nil"/>
              <w:right w:val="nil"/>
            </w:tcBorders>
            <w:shd w:val="clear" w:color="auto" w:fill="auto"/>
            <w:noWrap/>
            <w:vAlign w:val="bottom"/>
            <w:hideMark/>
          </w:tcPr>
          <w:p w14:paraId="04EDE7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723574.5 (26.2)</w:t>
            </w:r>
          </w:p>
        </w:tc>
        <w:tc>
          <w:tcPr>
            <w:tcW w:w="1600" w:type="dxa"/>
            <w:tcBorders>
              <w:top w:val="nil"/>
              <w:left w:val="nil"/>
              <w:bottom w:val="nil"/>
              <w:right w:val="nil"/>
            </w:tcBorders>
            <w:shd w:val="clear" w:color="auto" w:fill="auto"/>
            <w:noWrap/>
            <w:vAlign w:val="bottom"/>
            <w:hideMark/>
          </w:tcPr>
          <w:p w14:paraId="35DCA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571186.9 (13.2)</w:t>
            </w:r>
          </w:p>
        </w:tc>
        <w:tc>
          <w:tcPr>
            <w:tcW w:w="1660" w:type="dxa"/>
            <w:tcBorders>
              <w:top w:val="nil"/>
              <w:left w:val="nil"/>
              <w:bottom w:val="nil"/>
              <w:right w:val="nil"/>
            </w:tcBorders>
            <w:shd w:val="clear" w:color="auto" w:fill="auto"/>
            <w:noWrap/>
            <w:vAlign w:val="bottom"/>
            <w:hideMark/>
          </w:tcPr>
          <w:p w14:paraId="6D25893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1355225.9 (35.2)</w:t>
            </w:r>
          </w:p>
        </w:tc>
        <w:tc>
          <w:tcPr>
            <w:tcW w:w="1660" w:type="dxa"/>
            <w:tcBorders>
              <w:top w:val="nil"/>
              <w:left w:val="nil"/>
              <w:bottom w:val="nil"/>
              <w:right w:val="nil"/>
            </w:tcBorders>
            <w:shd w:val="clear" w:color="000000" w:fill="FFFFFF"/>
            <w:noWrap/>
            <w:vAlign w:val="center"/>
            <w:hideMark/>
          </w:tcPr>
          <w:p w14:paraId="540D3F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910527.1 (15.0)</w:t>
            </w:r>
          </w:p>
        </w:tc>
        <w:tc>
          <w:tcPr>
            <w:tcW w:w="1600" w:type="dxa"/>
            <w:tcBorders>
              <w:top w:val="nil"/>
              <w:left w:val="nil"/>
              <w:bottom w:val="nil"/>
              <w:right w:val="nil"/>
            </w:tcBorders>
            <w:shd w:val="clear" w:color="auto" w:fill="auto"/>
            <w:noWrap/>
            <w:vAlign w:val="bottom"/>
            <w:hideMark/>
          </w:tcPr>
          <w:p w14:paraId="1B5445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2920187.5 (33.1)</w:t>
            </w:r>
          </w:p>
        </w:tc>
        <w:tc>
          <w:tcPr>
            <w:tcW w:w="1720" w:type="dxa"/>
            <w:tcBorders>
              <w:top w:val="nil"/>
              <w:left w:val="nil"/>
              <w:bottom w:val="nil"/>
              <w:right w:val="nil"/>
            </w:tcBorders>
            <w:shd w:val="clear" w:color="000000" w:fill="FFFFFF"/>
            <w:noWrap/>
            <w:vAlign w:val="center"/>
            <w:hideMark/>
          </w:tcPr>
          <w:p w14:paraId="0AEBDCC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2424061.0 (14.6)</w:t>
            </w:r>
          </w:p>
        </w:tc>
      </w:tr>
      <w:tr w:rsidR="00C81F9F" w:rsidRPr="00C81F9F" w14:paraId="5633DAB7" w14:textId="77777777" w:rsidTr="00C81F9F">
        <w:trPr>
          <w:trHeight w:val="285"/>
        </w:trPr>
        <w:tc>
          <w:tcPr>
            <w:tcW w:w="3777" w:type="dxa"/>
            <w:tcBorders>
              <w:top w:val="nil"/>
              <w:left w:val="nil"/>
              <w:bottom w:val="nil"/>
              <w:right w:val="nil"/>
            </w:tcBorders>
            <w:shd w:val="clear" w:color="auto" w:fill="auto"/>
            <w:vAlign w:val="bottom"/>
            <w:hideMark/>
          </w:tcPr>
          <w:p w14:paraId="45270EEE"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Cost-Related Nonadherence</w:t>
            </w:r>
          </w:p>
        </w:tc>
        <w:tc>
          <w:tcPr>
            <w:tcW w:w="1820" w:type="dxa"/>
            <w:tcBorders>
              <w:top w:val="nil"/>
              <w:left w:val="nil"/>
              <w:bottom w:val="nil"/>
              <w:right w:val="nil"/>
            </w:tcBorders>
            <w:shd w:val="clear" w:color="auto" w:fill="auto"/>
            <w:noWrap/>
            <w:vAlign w:val="bottom"/>
            <w:hideMark/>
          </w:tcPr>
          <w:p w14:paraId="0674A6E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443337E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7BF509F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28C092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148988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11429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5A7ADD4" w14:textId="77777777" w:rsidTr="00C81F9F">
        <w:trPr>
          <w:trHeight w:val="285"/>
        </w:trPr>
        <w:tc>
          <w:tcPr>
            <w:tcW w:w="3777" w:type="dxa"/>
            <w:tcBorders>
              <w:top w:val="nil"/>
              <w:left w:val="nil"/>
              <w:bottom w:val="nil"/>
              <w:right w:val="nil"/>
            </w:tcBorders>
            <w:shd w:val="clear" w:color="auto" w:fill="auto"/>
            <w:noWrap/>
            <w:vAlign w:val="bottom"/>
            <w:hideMark/>
          </w:tcPr>
          <w:p w14:paraId="1E5A8C1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Needed but couldn't afford medication</w:t>
            </w:r>
          </w:p>
        </w:tc>
        <w:tc>
          <w:tcPr>
            <w:tcW w:w="1820" w:type="dxa"/>
            <w:tcBorders>
              <w:top w:val="nil"/>
              <w:left w:val="nil"/>
              <w:bottom w:val="nil"/>
              <w:right w:val="nil"/>
            </w:tcBorders>
            <w:shd w:val="clear" w:color="auto" w:fill="auto"/>
            <w:noWrap/>
            <w:vAlign w:val="bottom"/>
            <w:hideMark/>
          </w:tcPr>
          <w:p w14:paraId="12BD91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2400453.7 (86.8)</w:t>
            </w:r>
          </w:p>
        </w:tc>
        <w:tc>
          <w:tcPr>
            <w:tcW w:w="1600" w:type="dxa"/>
            <w:tcBorders>
              <w:top w:val="nil"/>
              <w:left w:val="nil"/>
              <w:bottom w:val="nil"/>
              <w:right w:val="nil"/>
            </w:tcBorders>
            <w:shd w:val="clear" w:color="auto" w:fill="auto"/>
            <w:noWrap/>
            <w:vAlign w:val="bottom"/>
            <w:hideMark/>
          </w:tcPr>
          <w:p w14:paraId="0D7CC26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063A5AB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3412747.5 (88.4)</w:t>
            </w:r>
          </w:p>
        </w:tc>
        <w:tc>
          <w:tcPr>
            <w:tcW w:w="1660" w:type="dxa"/>
            <w:tcBorders>
              <w:top w:val="nil"/>
              <w:left w:val="nil"/>
              <w:bottom w:val="nil"/>
              <w:right w:val="nil"/>
            </w:tcBorders>
            <w:shd w:val="clear" w:color="auto" w:fill="auto"/>
            <w:noWrap/>
            <w:vAlign w:val="center"/>
            <w:hideMark/>
          </w:tcPr>
          <w:p w14:paraId="07B7A11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0 (0.0)  </w:t>
            </w:r>
          </w:p>
        </w:tc>
        <w:tc>
          <w:tcPr>
            <w:tcW w:w="1600" w:type="dxa"/>
            <w:tcBorders>
              <w:top w:val="nil"/>
              <w:left w:val="nil"/>
              <w:bottom w:val="nil"/>
              <w:right w:val="nil"/>
            </w:tcBorders>
            <w:shd w:val="clear" w:color="auto" w:fill="auto"/>
            <w:noWrap/>
            <w:vAlign w:val="bottom"/>
            <w:hideMark/>
          </w:tcPr>
          <w:p w14:paraId="2AAA90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7708209.7 (87.3)</w:t>
            </w:r>
          </w:p>
        </w:tc>
        <w:tc>
          <w:tcPr>
            <w:tcW w:w="1720" w:type="dxa"/>
            <w:tcBorders>
              <w:top w:val="nil"/>
              <w:left w:val="nil"/>
              <w:bottom w:val="nil"/>
              <w:right w:val="nil"/>
            </w:tcBorders>
            <w:shd w:val="clear" w:color="auto" w:fill="auto"/>
            <w:noWrap/>
            <w:vAlign w:val="center"/>
            <w:hideMark/>
          </w:tcPr>
          <w:p w14:paraId="6C6B910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7F08C3D7" w14:textId="77777777" w:rsidTr="00C81F9F">
        <w:trPr>
          <w:trHeight w:val="285"/>
        </w:trPr>
        <w:tc>
          <w:tcPr>
            <w:tcW w:w="3777" w:type="dxa"/>
            <w:tcBorders>
              <w:top w:val="nil"/>
              <w:left w:val="nil"/>
              <w:bottom w:val="nil"/>
              <w:right w:val="nil"/>
            </w:tcBorders>
            <w:shd w:val="clear" w:color="auto" w:fill="auto"/>
            <w:noWrap/>
            <w:vAlign w:val="bottom"/>
            <w:hideMark/>
          </w:tcPr>
          <w:p w14:paraId="3CC49A9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Skipped medication doses*</w:t>
            </w:r>
          </w:p>
        </w:tc>
        <w:tc>
          <w:tcPr>
            <w:tcW w:w="1820" w:type="dxa"/>
            <w:tcBorders>
              <w:top w:val="nil"/>
              <w:left w:val="nil"/>
              <w:bottom w:val="nil"/>
              <w:right w:val="nil"/>
            </w:tcBorders>
            <w:shd w:val="clear" w:color="auto" w:fill="auto"/>
            <w:noWrap/>
            <w:vAlign w:val="bottom"/>
            <w:hideMark/>
          </w:tcPr>
          <w:p w14:paraId="5D6CA24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1874447.0 (56.2)</w:t>
            </w:r>
          </w:p>
        </w:tc>
        <w:tc>
          <w:tcPr>
            <w:tcW w:w="1600" w:type="dxa"/>
            <w:tcBorders>
              <w:top w:val="nil"/>
              <w:left w:val="nil"/>
              <w:bottom w:val="nil"/>
              <w:right w:val="nil"/>
            </w:tcBorders>
            <w:shd w:val="clear" w:color="auto" w:fill="auto"/>
            <w:noWrap/>
            <w:vAlign w:val="bottom"/>
            <w:hideMark/>
          </w:tcPr>
          <w:p w14:paraId="2B9B23F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79BF72D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2222249.2 (52.9)</w:t>
            </w:r>
          </w:p>
        </w:tc>
        <w:tc>
          <w:tcPr>
            <w:tcW w:w="1660" w:type="dxa"/>
            <w:tcBorders>
              <w:top w:val="nil"/>
              <w:left w:val="nil"/>
              <w:bottom w:val="nil"/>
              <w:right w:val="nil"/>
            </w:tcBorders>
            <w:shd w:val="clear" w:color="auto" w:fill="auto"/>
            <w:noWrap/>
            <w:vAlign w:val="bottom"/>
            <w:hideMark/>
          </w:tcPr>
          <w:p w14:paraId="40A5F0E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3917DAB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5371382.6 (53.6)</w:t>
            </w:r>
          </w:p>
        </w:tc>
        <w:tc>
          <w:tcPr>
            <w:tcW w:w="1720" w:type="dxa"/>
            <w:tcBorders>
              <w:top w:val="nil"/>
              <w:left w:val="nil"/>
              <w:bottom w:val="nil"/>
              <w:right w:val="nil"/>
            </w:tcBorders>
            <w:shd w:val="clear" w:color="auto" w:fill="auto"/>
            <w:noWrap/>
            <w:vAlign w:val="bottom"/>
            <w:hideMark/>
          </w:tcPr>
          <w:p w14:paraId="632E373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2528AB96" w14:textId="77777777" w:rsidTr="00C81F9F">
        <w:trPr>
          <w:trHeight w:val="285"/>
        </w:trPr>
        <w:tc>
          <w:tcPr>
            <w:tcW w:w="3777" w:type="dxa"/>
            <w:tcBorders>
              <w:top w:val="nil"/>
              <w:left w:val="nil"/>
              <w:bottom w:val="nil"/>
              <w:right w:val="nil"/>
            </w:tcBorders>
            <w:shd w:val="clear" w:color="auto" w:fill="auto"/>
            <w:noWrap/>
            <w:vAlign w:val="bottom"/>
            <w:hideMark/>
          </w:tcPr>
          <w:p w14:paraId="0E4E1C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Delayed medication doses*</w:t>
            </w:r>
          </w:p>
        </w:tc>
        <w:tc>
          <w:tcPr>
            <w:tcW w:w="1820" w:type="dxa"/>
            <w:tcBorders>
              <w:top w:val="nil"/>
              <w:left w:val="nil"/>
              <w:bottom w:val="nil"/>
              <w:right w:val="nil"/>
            </w:tcBorders>
            <w:shd w:val="clear" w:color="auto" w:fill="auto"/>
            <w:noWrap/>
            <w:vAlign w:val="bottom"/>
            <w:hideMark/>
          </w:tcPr>
          <w:p w14:paraId="659F64F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2347292.6 (70.3) </w:t>
            </w:r>
          </w:p>
        </w:tc>
        <w:tc>
          <w:tcPr>
            <w:tcW w:w="1600" w:type="dxa"/>
            <w:tcBorders>
              <w:top w:val="nil"/>
              <w:left w:val="nil"/>
              <w:bottom w:val="nil"/>
              <w:right w:val="nil"/>
            </w:tcBorders>
            <w:shd w:val="clear" w:color="auto" w:fill="auto"/>
            <w:noWrap/>
            <w:vAlign w:val="bottom"/>
            <w:hideMark/>
          </w:tcPr>
          <w:p w14:paraId="2EF273F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2658733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2875838.6 (68.4)</w:t>
            </w:r>
          </w:p>
        </w:tc>
        <w:tc>
          <w:tcPr>
            <w:tcW w:w="1660" w:type="dxa"/>
            <w:tcBorders>
              <w:top w:val="nil"/>
              <w:left w:val="nil"/>
              <w:bottom w:val="nil"/>
              <w:right w:val="nil"/>
            </w:tcBorders>
            <w:shd w:val="clear" w:color="auto" w:fill="auto"/>
            <w:noWrap/>
            <w:vAlign w:val="bottom"/>
            <w:hideMark/>
          </w:tcPr>
          <w:p w14:paraId="2A49220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52AB5BF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6854083.4 (68.4)</w:t>
            </w:r>
          </w:p>
        </w:tc>
        <w:tc>
          <w:tcPr>
            <w:tcW w:w="1720" w:type="dxa"/>
            <w:tcBorders>
              <w:top w:val="nil"/>
              <w:left w:val="nil"/>
              <w:bottom w:val="nil"/>
              <w:right w:val="nil"/>
            </w:tcBorders>
            <w:shd w:val="clear" w:color="auto" w:fill="auto"/>
            <w:noWrap/>
            <w:vAlign w:val="bottom"/>
            <w:hideMark/>
          </w:tcPr>
          <w:p w14:paraId="12F391A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023F5A09" w14:textId="77777777" w:rsidTr="00C81F9F">
        <w:trPr>
          <w:trHeight w:val="285"/>
        </w:trPr>
        <w:tc>
          <w:tcPr>
            <w:tcW w:w="3777" w:type="dxa"/>
            <w:tcBorders>
              <w:top w:val="nil"/>
              <w:left w:val="nil"/>
              <w:bottom w:val="nil"/>
              <w:right w:val="nil"/>
            </w:tcBorders>
            <w:shd w:val="clear" w:color="auto" w:fill="auto"/>
            <w:noWrap/>
            <w:vAlign w:val="bottom"/>
            <w:hideMark/>
          </w:tcPr>
          <w:p w14:paraId="244B5822"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Took less medicine than prescribed*</w:t>
            </w:r>
          </w:p>
        </w:tc>
        <w:tc>
          <w:tcPr>
            <w:tcW w:w="1820" w:type="dxa"/>
            <w:tcBorders>
              <w:top w:val="nil"/>
              <w:left w:val="nil"/>
              <w:bottom w:val="nil"/>
              <w:right w:val="nil"/>
            </w:tcBorders>
            <w:shd w:val="clear" w:color="auto" w:fill="auto"/>
            <w:noWrap/>
            <w:vAlign w:val="bottom"/>
            <w:hideMark/>
          </w:tcPr>
          <w:p w14:paraId="7980E47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1932055.2 (57.9)</w:t>
            </w:r>
          </w:p>
        </w:tc>
        <w:tc>
          <w:tcPr>
            <w:tcW w:w="1600" w:type="dxa"/>
            <w:tcBorders>
              <w:top w:val="nil"/>
              <w:left w:val="nil"/>
              <w:bottom w:val="nil"/>
              <w:right w:val="nil"/>
            </w:tcBorders>
            <w:shd w:val="clear" w:color="auto" w:fill="auto"/>
            <w:noWrap/>
            <w:vAlign w:val="bottom"/>
            <w:hideMark/>
          </w:tcPr>
          <w:p w14:paraId="60CAB5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5B9A2AC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2339466.4 (55.7)</w:t>
            </w:r>
          </w:p>
        </w:tc>
        <w:tc>
          <w:tcPr>
            <w:tcW w:w="1660" w:type="dxa"/>
            <w:tcBorders>
              <w:top w:val="nil"/>
              <w:left w:val="nil"/>
              <w:bottom w:val="nil"/>
              <w:right w:val="nil"/>
            </w:tcBorders>
            <w:shd w:val="clear" w:color="auto" w:fill="auto"/>
            <w:noWrap/>
            <w:vAlign w:val="bottom"/>
            <w:hideMark/>
          </w:tcPr>
          <w:p w14:paraId="446906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0C3A1B7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5652058.2 (56.4)</w:t>
            </w:r>
          </w:p>
        </w:tc>
        <w:tc>
          <w:tcPr>
            <w:tcW w:w="1720" w:type="dxa"/>
            <w:tcBorders>
              <w:top w:val="nil"/>
              <w:left w:val="nil"/>
              <w:bottom w:val="nil"/>
              <w:right w:val="nil"/>
            </w:tcBorders>
            <w:shd w:val="clear" w:color="auto" w:fill="auto"/>
            <w:noWrap/>
            <w:vAlign w:val="bottom"/>
            <w:hideMark/>
          </w:tcPr>
          <w:p w14:paraId="2C3B83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35D5B35C" w14:textId="77777777" w:rsidTr="00C81F9F">
        <w:trPr>
          <w:trHeight w:val="285"/>
        </w:trPr>
        <w:tc>
          <w:tcPr>
            <w:tcW w:w="10517" w:type="dxa"/>
            <w:gridSpan w:val="5"/>
            <w:tcBorders>
              <w:top w:val="single" w:sz="4" w:space="0" w:color="auto"/>
              <w:left w:val="nil"/>
              <w:bottom w:val="nil"/>
              <w:right w:val="nil"/>
            </w:tcBorders>
            <w:shd w:val="clear" w:color="auto" w:fill="auto"/>
            <w:noWrap/>
            <w:vAlign w:val="bottom"/>
            <w:hideMark/>
          </w:tcPr>
          <w:p w14:paraId="536DB21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Note: All numbers displayed in table are survey-weighted N (%) unless otherwise indicated. Bold face denotes statistically </w:t>
            </w:r>
          </w:p>
        </w:tc>
        <w:tc>
          <w:tcPr>
            <w:tcW w:w="1600" w:type="dxa"/>
            <w:tcBorders>
              <w:top w:val="single" w:sz="4" w:space="0" w:color="auto"/>
              <w:left w:val="nil"/>
              <w:bottom w:val="nil"/>
              <w:right w:val="nil"/>
            </w:tcBorders>
            <w:shd w:val="clear" w:color="auto" w:fill="auto"/>
            <w:noWrap/>
            <w:vAlign w:val="bottom"/>
            <w:hideMark/>
          </w:tcPr>
          <w:p w14:paraId="3255ACEB"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c>
          <w:tcPr>
            <w:tcW w:w="1720" w:type="dxa"/>
            <w:tcBorders>
              <w:top w:val="single" w:sz="4" w:space="0" w:color="auto"/>
              <w:left w:val="nil"/>
              <w:bottom w:val="nil"/>
              <w:right w:val="nil"/>
            </w:tcBorders>
            <w:shd w:val="clear" w:color="auto" w:fill="auto"/>
            <w:noWrap/>
            <w:vAlign w:val="bottom"/>
            <w:hideMark/>
          </w:tcPr>
          <w:p w14:paraId="1BD783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r>
      <w:tr w:rsidR="00C81F9F" w:rsidRPr="00C81F9F" w14:paraId="7BF04513" w14:textId="77777777" w:rsidTr="00C81F9F">
        <w:trPr>
          <w:trHeight w:val="285"/>
        </w:trPr>
        <w:tc>
          <w:tcPr>
            <w:tcW w:w="12117" w:type="dxa"/>
            <w:gridSpan w:val="6"/>
            <w:tcBorders>
              <w:top w:val="nil"/>
              <w:left w:val="nil"/>
              <w:bottom w:val="nil"/>
              <w:right w:val="nil"/>
            </w:tcBorders>
            <w:shd w:val="clear" w:color="auto" w:fill="auto"/>
            <w:noWrap/>
            <w:vAlign w:val="bottom"/>
            <w:hideMark/>
          </w:tcPr>
          <w:p w14:paraId="624EB0B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significant differences (p &lt; 0.05) between CRN and no CRN within each disease category, as determined by t-tests or Rao-Scott Chi-Square tests.</w:t>
            </w:r>
          </w:p>
        </w:tc>
        <w:tc>
          <w:tcPr>
            <w:tcW w:w="1720" w:type="dxa"/>
            <w:tcBorders>
              <w:top w:val="nil"/>
              <w:left w:val="nil"/>
              <w:bottom w:val="nil"/>
              <w:right w:val="nil"/>
            </w:tcBorders>
            <w:shd w:val="clear" w:color="auto" w:fill="auto"/>
            <w:noWrap/>
            <w:vAlign w:val="bottom"/>
            <w:hideMark/>
          </w:tcPr>
          <w:p w14:paraId="7FDDD2E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r>
      <w:tr w:rsidR="00C81F9F" w:rsidRPr="00C81F9F" w14:paraId="27AA93BF" w14:textId="77777777" w:rsidTr="00C81F9F">
        <w:trPr>
          <w:trHeight w:val="285"/>
        </w:trPr>
        <w:tc>
          <w:tcPr>
            <w:tcW w:w="5597" w:type="dxa"/>
            <w:gridSpan w:val="2"/>
            <w:tcBorders>
              <w:top w:val="nil"/>
              <w:left w:val="nil"/>
              <w:bottom w:val="nil"/>
              <w:right w:val="nil"/>
            </w:tcBorders>
            <w:shd w:val="clear" w:color="auto" w:fill="auto"/>
            <w:noWrap/>
            <w:vAlign w:val="bottom"/>
            <w:hideMark/>
          </w:tcPr>
          <w:p w14:paraId="4B96D86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*Indicates a survey item only included in 2010-2014 waves.</w:t>
            </w:r>
          </w:p>
        </w:tc>
        <w:tc>
          <w:tcPr>
            <w:tcW w:w="1600" w:type="dxa"/>
            <w:tcBorders>
              <w:top w:val="nil"/>
              <w:left w:val="nil"/>
              <w:bottom w:val="nil"/>
              <w:right w:val="nil"/>
            </w:tcBorders>
            <w:shd w:val="clear" w:color="auto" w:fill="auto"/>
            <w:noWrap/>
            <w:vAlign w:val="bottom"/>
            <w:hideMark/>
          </w:tcPr>
          <w:p w14:paraId="74F97E1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c>
          <w:tcPr>
            <w:tcW w:w="1660" w:type="dxa"/>
            <w:tcBorders>
              <w:top w:val="nil"/>
              <w:left w:val="nil"/>
              <w:bottom w:val="nil"/>
              <w:right w:val="nil"/>
            </w:tcBorders>
            <w:shd w:val="clear" w:color="auto" w:fill="auto"/>
            <w:noWrap/>
            <w:vAlign w:val="bottom"/>
            <w:hideMark/>
          </w:tcPr>
          <w:p w14:paraId="22668CC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5332605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4EA5D09A"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4A40813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bl>
    <w:p w14:paraId="09DACCAB" w14:textId="3DC5252B" w:rsidR="00C81F9F" w:rsidRPr="000B7F8C" w:rsidRDefault="00C81F9F" w:rsidP="007764C5">
      <w:pPr>
        <w:spacing w:line="240" w:lineRule="auto"/>
        <w:rPr>
          <w:rFonts w:ascii="Times New Roman" w:hAnsi="Times New Roman" w:cs="Times New Roman"/>
          <w:sz w:val="24"/>
          <w:szCs w:val="24"/>
        </w:rPr>
        <w:sectPr w:rsidR="00C81F9F" w:rsidRPr="000B7F8C" w:rsidSect="00B51C59">
          <w:pgSz w:w="15840" w:h="12240" w:orient="landscape"/>
          <w:pgMar w:top="1440" w:right="1440" w:bottom="1440" w:left="1440" w:header="720" w:footer="720" w:gutter="0"/>
          <w:cols w:space="720"/>
          <w:docGrid w:linePitch="360"/>
        </w:sectPr>
      </w:pPr>
    </w:p>
    <w:p w14:paraId="7A65B61F" w14:textId="5EEAD6BC" w:rsidR="00515DB2" w:rsidRDefault="004E5DB5" w:rsidP="006F32F8">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2. </w:t>
      </w:r>
      <w:r w:rsidR="0084711B">
        <w:rPr>
          <w:rFonts w:ascii="Times New Roman" w:hAnsi="Times New Roman" w:cs="Times New Roman"/>
          <w:sz w:val="24"/>
          <w:szCs w:val="24"/>
        </w:rPr>
        <w:t>Associations</w:t>
      </w:r>
      <w:r>
        <w:rPr>
          <w:rFonts w:ascii="Times New Roman" w:hAnsi="Times New Roman" w:cs="Times New Roman"/>
          <w:sz w:val="24"/>
          <w:szCs w:val="24"/>
        </w:rPr>
        <w:t xml:space="preserve"> of all-cause</w:t>
      </w:r>
      <w:r w:rsidR="00C640E7">
        <w:rPr>
          <w:rFonts w:ascii="Times New Roman" w:hAnsi="Times New Roman" w:cs="Times New Roman"/>
          <w:sz w:val="24"/>
          <w:szCs w:val="24"/>
        </w:rPr>
        <w:t xml:space="preserve"> and disease-specific mortality </w:t>
      </w:r>
      <w:r w:rsidR="0084711B">
        <w:rPr>
          <w:rFonts w:ascii="Times New Roman" w:hAnsi="Times New Roman" w:cs="Times New Roman"/>
          <w:sz w:val="24"/>
          <w:szCs w:val="24"/>
        </w:rPr>
        <w:t xml:space="preserve">with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p>
    <w:tbl>
      <w:tblPr>
        <w:tblW w:w="0" w:type="auto"/>
        <w:tblLook w:val="04A0" w:firstRow="1" w:lastRow="0" w:firstColumn="1" w:lastColumn="0" w:noHBand="0" w:noVBand="1"/>
      </w:tblPr>
      <w:tblGrid>
        <w:gridCol w:w="1400"/>
        <w:gridCol w:w="1258"/>
        <w:gridCol w:w="1076"/>
        <w:gridCol w:w="1944"/>
        <w:gridCol w:w="2013"/>
        <w:gridCol w:w="440"/>
        <w:gridCol w:w="1085"/>
        <w:gridCol w:w="1872"/>
        <w:gridCol w:w="1872"/>
      </w:tblGrid>
      <w:tr w:rsidR="00070F35" w:rsidRPr="00A2163B" w14:paraId="2B27BF0C" w14:textId="77777777" w:rsidTr="00C5041C">
        <w:trPr>
          <w:trHeight w:hRule="exact" w:val="432"/>
        </w:trPr>
        <w:tc>
          <w:tcPr>
            <w:tcW w:w="1720" w:type="dxa"/>
            <w:tcBorders>
              <w:top w:val="nil"/>
              <w:left w:val="nil"/>
              <w:bottom w:val="nil"/>
              <w:right w:val="nil"/>
            </w:tcBorders>
            <w:shd w:val="clear" w:color="auto" w:fill="auto"/>
            <w:noWrap/>
            <w:vAlign w:val="bottom"/>
            <w:hideMark/>
          </w:tcPr>
          <w:p w14:paraId="124B061A"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bottom"/>
            <w:hideMark/>
          </w:tcPr>
          <w:p w14:paraId="6335E0D8"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6220" w:type="dxa"/>
            <w:gridSpan w:val="3"/>
            <w:tcBorders>
              <w:top w:val="nil"/>
              <w:left w:val="nil"/>
              <w:bottom w:val="single" w:sz="4" w:space="0" w:color="auto"/>
              <w:right w:val="nil"/>
            </w:tcBorders>
            <w:shd w:val="clear" w:color="auto" w:fill="auto"/>
            <w:noWrap/>
            <w:vAlign w:val="bottom"/>
            <w:hideMark/>
          </w:tcPr>
          <w:p w14:paraId="24FFB0A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002916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5960" w:type="dxa"/>
            <w:gridSpan w:val="3"/>
            <w:tcBorders>
              <w:top w:val="nil"/>
              <w:left w:val="nil"/>
              <w:bottom w:val="single" w:sz="4" w:space="0" w:color="auto"/>
              <w:right w:val="nil"/>
            </w:tcBorders>
            <w:shd w:val="clear" w:color="auto" w:fill="auto"/>
            <w:noWrap/>
            <w:vAlign w:val="bottom"/>
            <w:hideMark/>
          </w:tcPr>
          <w:p w14:paraId="434AE45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Disease Specific Mortality</w:t>
            </w:r>
          </w:p>
        </w:tc>
      </w:tr>
      <w:tr w:rsidR="00070F35" w:rsidRPr="00A2163B" w14:paraId="1A368077" w14:textId="77777777" w:rsidTr="00C5041C">
        <w:trPr>
          <w:trHeight w:hRule="exact" w:val="576"/>
        </w:trPr>
        <w:tc>
          <w:tcPr>
            <w:tcW w:w="1720" w:type="dxa"/>
            <w:tcBorders>
              <w:top w:val="nil"/>
              <w:left w:val="nil"/>
              <w:bottom w:val="nil"/>
              <w:right w:val="nil"/>
            </w:tcBorders>
            <w:shd w:val="clear" w:color="auto" w:fill="auto"/>
            <w:noWrap/>
            <w:vAlign w:val="bottom"/>
            <w:hideMark/>
          </w:tcPr>
          <w:p w14:paraId="2ED8E98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5282D1E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Follow-Up Time, Weeks Median (IQR)</w:t>
            </w:r>
          </w:p>
        </w:tc>
        <w:tc>
          <w:tcPr>
            <w:tcW w:w="1309" w:type="dxa"/>
            <w:tcBorders>
              <w:top w:val="nil"/>
              <w:left w:val="nil"/>
              <w:bottom w:val="nil"/>
              <w:right w:val="nil"/>
            </w:tcBorders>
            <w:shd w:val="clear" w:color="auto" w:fill="auto"/>
            <w:noWrap/>
            <w:vAlign w:val="bottom"/>
            <w:hideMark/>
          </w:tcPr>
          <w:p w14:paraId="7FBB752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412" w:type="dxa"/>
            <w:tcBorders>
              <w:top w:val="nil"/>
              <w:left w:val="nil"/>
              <w:bottom w:val="nil"/>
              <w:right w:val="nil"/>
            </w:tcBorders>
            <w:shd w:val="clear" w:color="auto" w:fill="auto"/>
            <w:vAlign w:val="bottom"/>
            <w:hideMark/>
          </w:tcPr>
          <w:p w14:paraId="558ABBD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499" w:type="dxa"/>
            <w:tcBorders>
              <w:top w:val="nil"/>
              <w:left w:val="nil"/>
              <w:bottom w:val="nil"/>
              <w:right w:val="nil"/>
            </w:tcBorders>
            <w:shd w:val="clear" w:color="auto" w:fill="auto"/>
            <w:vAlign w:val="bottom"/>
            <w:hideMark/>
          </w:tcPr>
          <w:p w14:paraId="4654795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31BF3F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10FA46C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320" w:type="dxa"/>
            <w:tcBorders>
              <w:top w:val="nil"/>
              <w:left w:val="nil"/>
              <w:bottom w:val="nil"/>
              <w:right w:val="nil"/>
            </w:tcBorders>
            <w:shd w:val="clear" w:color="auto" w:fill="auto"/>
            <w:vAlign w:val="bottom"/>
            <w:hideMark/>
          </w:tcPr>
          <w:p w14:paraId="6C7A415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320" w:type="dxa"/>
            <w:tcBorders>
              <w:top w:val="nil"/>
              <w:left w:val="nil"/>
              <w:bottom w:val="nil"/>
              <w:right w:val="nil"/>
            </w:tcBorders>
            <w:shd w:val="clear" w:color="auto" w:fill="auto"/>
            <w:vAlign w:val="bottom"/>
            <w:hideMark/>
          </w:tcPr>
          <w:p w14:paraId="2928B86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3</w:t>
            </w:r>
          </w:p>
        </w:tc>
      </w:tr>
      <w:tr w:rsidR="00070F35" w:rsidRPr="00A2163B" w14:paraId="42945599" w14:textId="77777777" w:rsidTr="00C5041C">
        <w:trPr>
          <w:trHeight w:hRule="exact" w:val="432"/>
        </w:trPr>
        <w:tc>
          <w:tcPr>
            <w:tcW w:w="1720" w:type="dxa"/>
            <w:tcBorders>
              <w:top w:val="nil"/>
              <w:left w:val="nil"/>
              <w:bottom w:val="single" w:sz="4" w:space="0" w:color="auto"/>
              <w:right w:val="nil"/>
            </w:tcBorders>
            <w:shd w:val="clear" w:color="auto" w:fill="auto"/>
            <w:noWrap/>
            <w:vAlign w:val="bottom"/>
            <w:hideMark/>
          </w:tcPr>
          <w:p w14:paraId="37EB082F"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4EA5BA5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09" w:type="dxa"/>
            <w:tcBorders>
              <w:top w:val="nil"/>
              <w:left w:val="nil"/>
              <w:bottom w:val="single" w:sz="4" w:space="0" w:color="auto"/>
              <w:right w:val="nil"/>
            </w:tcBorders>
            <w:shd w:val="clear" w:color="auto" w:fill="auto"/>
            <w:noWrap/>
            <w:vAlign w:val="bottom"/>
            <w:hideMark/>
          </w:tcPr>
          <w:p w14:paraId="46EA1EC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1EAA9DB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27159E3"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1921C3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noWrap/>
            <w:vAlign w:val="bottom"/>
            <w:hideMark/>
          </w:tcPr>
          <w:p w14:paraId="7D51B0D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41FA04C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F96ADB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1D11780F" w14:textId="77777777" w:rsidTr="00C5041C">
        <w:trPr>
          <w:trHeight w:hRule="exact" w:val="432"/>
        </w:trPr>
        <w:tc>
          <w:tcPr>
            <w:tcW w:w="1720" w:type="dxa"/>
            <w:tcBorders>
              <w:top w:val="nil"/>
              <w:left w:val="nil"/>
              <w:bottom w:val="nil"/>
              <w:right w:val="nil"/>
            </w:tcBorders>
            <w:shd w:val="clear" w:color="auto" w:fill="auto"/>
            <w:noWrap/>
            <w:vAlign w:val="bottom"/>
            <w:hideMark/>
          </w:tcPr>
          <w:p w14:paraId="4FA4A6E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7AA48B7D"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291 (156 - 504)</w:t>
            </w:r>
          </w:p>
        </w:tc>
        <w:tc>
          <w:tcPr>
            <w:tcW w:w="1309" w:type="dxa"/>
            <w:tcBorders>
              <w:top w:val="nil"/>
              <w:left w:val="nil"/>
              <w:bottom w:val="nil"/>
              <w:right w:val="nil"/>
            </w:tcBorders>
            <w:shd w:val="clear" w:color="auto" w:fill="auto"/>
            <w:noWrap/>
            <w:vAlign w:val="bottom"/>
            <w:hideMark/>
          </w:tcPr>
          <w:p w14:paraId="15883FD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8909 (23.6)</w:t>
            </w:r>
          </w:p>
        </w:tc>
        <w:tc>
          <w:tcPr>
            <w:tcW w:w="2412" w:type="dxa"/>
            <w:tcBorders>
              <w:top w:val="nil"/>
              <w:left w:val="nil"/>
              <w:bottom w:val="nil"/>
              <w:right w:val="nil"/>
            </w:tcBorders>
            <w:shd w:val="clear" w:color="auto" w:fill="auto"/>
            <w:noWrap/>
            <w:vAlign w:val="bottom"/>
            <w:hideMark/>
          </w:tcPr>
          <w:p w14:paraId="2706A1B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0.752 (0.694 - 0.815)</w:t>
            </w:r>
          </w:p>
        </w:tc>
        <w:tc>
          <w:tcPr>
            <w:tcW w:w="2499" w:type="dxa"/>
            <w:tcBorders>
              <w:top w:val="nil"/>
              <w:left w:val="nil"/>
              <w:bottom w:val="nil"/>
              <w:right w:val="nil"/>
            </w:tcBorders>
            <w:shd w:val="clear" w:color="auto" w:fill="auto"/>
            <w:noWrap/>
            <w:vAlign w:val="bottom"/>
            <w:hideMark/>
          </w:tcPr>
          <w:p w14:paraId="44774F5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1.183 (1.092 - 1.281)</w:t>
            </w:r>
          </w:p>
        </w:tc>
        <w:tc>
          <w:tcPr>
            <w:tcW w:w="500" w:type="dxa"/>
            <w:tcBorders>
              <w:top w:val="nil"/>
              <w:left w:val="nil"/>
              <w:bottom w:val="nil"/>
              <w:right w:val="nil"/>
            </w:tcBorders>
            <w:shd w:val="clear" w:color="auto" w:fill="auto"/>
            <w:noWrap/>
            <w:vAlign w:val="bottom"/>
            <w:hideMark/>
          </w:tcPr>
          <w:p w14:paraId="302C60C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18887E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3045 (8.74)</w:t>
            </w:r>
          </w:p>
        </w:tc>
        <w:tc>
          <w:tcPr>
            <w:tcW w:w="2320" w:type="dxa"/>
            <w:tcBorders>
              <w:top w:val="nil"/>
              <w:left w:val="nil"/>
              <w:bottom w:val="nil"/>
              <w:right w:val="nil"/>
            </w:tcBorders>
            <w:shd w:val="clear" w:color="auto" w:fill="auto"/>
            <w:noWrap/>
            <w:vAlign w:val="bottom"/>
            <w:hideMark/>
          </w:tcPr>
          <w:p w14:paraId="5DD2A72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0.766 (0.674 - 0.870)</w:t>
            </w:r>
          </w:p>
        </w:tc>
        <w:tc>
          <w:tcPr>
            <w:tcW w:w="2320" w:type="dxa"/>
            <w:tcBorders>
              <w:top w:val="nil"/>
              <w:left w:val="nil"/>
              <w:bottom w:val="nil"/>
              <w:right w:val="nil"/>
            </w:tcBorders>
            <w:shd w:val="clear" w:color="auto" w:fill="auto"/>
            <w:noWrap/>
            <w:vAlign w:val="bottom"/>
            <w:hideMark/>
          </w:tcPr>
          <w:p w14:paraId="75641F4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1.226 (1.074 - 1.399)</w:t>
            </w:r>
          </w:p>
        </w:tc>
      </w:tr>
      <w:tr w:rsidR="00070F35" w:rsidRPr="00A2163B" w14:paraId="63095EF0" w14:textId="77777777" w:rsidTr="00C5041C">
        <w:trPr>
          <w:trHeight w:hRule="exact" w:val="432"/>
        </w:trPr>
        <w:tc>
          <w:tcPr>
            <w:tcW w:w="1720" w:type="dxa"/>
            <w:tcBorders>
              <w:top w:val="nil"/>
              <w:left w:val="nil"/>
              <w:bottom w:val="nil"/>
              <w:right w:val="nil"/>
            </w:tcBorders>
            <w:shd w:val="clear" w:color="auto" w:fill="auto"/>
            <w:vAlign w:val="bottom"/>
            <w:hideMark/>
          </w:tcPr>
          <w:p w14:paraId="42379C02"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6A68DA4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 (160 - 534)</w:t>
            </w:r>
          </w:p>
        </w:tc>
        <w:tc>
          <w:tcPr>
            <w:tcW w:w="1309" w:type="dxa"/>
            <w:tcBorders>
              <w:top w:val="nil"/>
              <w:left w:val="nil"/>
              <w:bottom w:val="nil"/>
              <w:right w:val="nil"/>
            </w:tcBorders>
            <w:shd w:val="clear" w:color="auto" w:fill="auto"/>
            <w:noWrap/>
            <w:vAlign w:val="bottom"/>
            <w:hideMark/>
          </w:tcPr>
          <w:p w14:paraId="538AE90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16345 (27.8)</w:t>
            </w:r>
          </w:p>
        </w:tc>
        <w:tc>
          <w:tcPr>
            <w:tcW w:w="2412" w:type="dxa"/>
            <w:tcBorders>
              <w:top w:val="nil"/>
              <w:left w:val="nil"/>
              <w:bottom w:val="nil"/>
              <w:right w:val="nil"/>
            </w:tcBorders>
            <w:shd w:val="clear" w:color="auto" w:fill="auto"/>
            <w:noWrap/>
            <w:vAlign w:val="bottom"/>
            <w:hideMark/>
          </w:tcPr>
          <w:p w14:paraId="131A887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0.702 (0.658 - 0.750)</w:t>
            </w:r>
          </w:p>
        </w:tc>
        <w:tc>
          <w:tcPr>
            <w:tcW w:w="2499" w:type="dxa"/>
            <w:tcBorders>
              <w:top w:val="nil"/>
              <w:left w:val="nil"/>
              <w:bottom w:val="nil"/>
              <w:right w:val="nil"/>
            </w:tcBorders>
            <w:shd w:val="clear" w:color="auto" w:fill="auto"/>
            <w:noWrap/>
            <w:vAlign w:val="bottom"/>
            <w:hideMark/>
          </w:tcPr>
          <w:p w14:paraId="7BF1E55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1.148 (1.073 - 1.228)</w:t>
            </w:r>
          </w:p>
        </w:tc>
        <w:tc>
          <w:tcPr>
            <w:tcW w:w="500" w:type="dxa"/>
            <w:tcBorders>
              <w:top w:val="nil"/>
              <w:left w:val="nil"/>
              <w:bottom w:val="nil"/>
              <w:right w:val="nil"/>
            </w:tcBorders>
            <w:shd w:val="clear" w:color="auto" w:fill="auto"/>
            <w:noWrap/>
            <w:vAlign w:val="bottom"/>
            <w:hideMark/>
          </w:tcPr>
          <w:p w14:paraId="09F7351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BBC4CC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4845 (9.14)</w:t>
            </w:r>
          </w:p>
        </w:tc>
        <w:tc>
          <w:tcPr>
            <w:tcW w:w="2320" w:type="dxa"/>
            <w:tcBorders>
              <w:top w:val="nil"/>
              <w:left w:val="nil"/>
              <w:bottom w:val="nil"/>
              <w:right w:val="nil"/>
            </w:tcBorders>
            <w:shd w:val="clear" w:color="auto" w:fill="auto"/>
            <w:noWrap/>
            <w:vAlign w:val="bottom"/>
            <w:hideMark/>
          </w:tcPr>
          <w:p w14:paraId="31D978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0.618 (0.548 - 0.696)</w:t>
            </w:r>
          </w:p>
        </w:tc>
        <w:tc>
          <w:tcPr>
            <w:tcW w:w="2320" w:type="dxa"/>
            <w:tcBorders>
              <w:top w:val="nil"/>
              <w:left w:val="nil"/>
              <w:bottom w:val="nil"/>
              <w:right w:val="nil"/>
            </w:tcBorders>
            <w:shd w:val="clear" w:color="auto" w:fill="auto"/>
            <w:noWrap/>
            <w:vAlign w:val="bottom"/>
            <w:hideMark/>
          </w:tcPr>
          <w:p w14:paraId="7EDF99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1.123 (0.993 - 1.271)</w:t>
            </w:r>
          </w:p>
        </w:tc>
      </w:tr>
      <w:tr w:rsidR="00070F35" w:rsidRPr="00A2163B" w14:paraId="7F389E50" w14:textId="77777777" w:rsidTr="00C5041C">
        <w:trPr>
          <w:trHeight w:hRule="exact" w:val="432"/>
        </w:trPr>
        <w:tc>
          <w:tcPr>
            <w:tcW w:w="1720" w:type="dxa"/>
            <w:tcBorders>
              <w:top w:val="nil"/>
              <w:left w:val="nil"/>
              <w:bottom w:val="nil"/>
              <w:right w:val="nil"/>
            </w:tcBorders>
            <w:shd w:val="clear" w:color="auto" w:fill="auto"/>
            <w:vAlign w:val="bottom"/>
            <w:hideMark/>
          </w:tcPr>
          <w:p w14:paraId="798C051C" w14:textId="245EC8A0"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BAD00E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322 (169 - 552)</w:t>
            </w:r>
          </w:p>
        </w:tc>
        <w:tc>
          <w:tcPr>
            <w:tcW w:w="1309" w:type="dxa"/>
            <w:tcBorders>
              <w:top w:val="nil"/>
              <w:left w:val="nil"/>
              <w:bottom w:val="nil"/>
              <w:right w:val="nil"/>
            </w:tcBorders>
            <w:shd w:val="clear" w:color="auto" w:fill="auto"/>
            <w:noWrap/>
            <w:vAlign w:val="bottom"/>
            <w:hideMark/>
          </w:tcPr>
          <w:p w14:paraId="07086FF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28755 (19.5)</w:t>
            </w:r>
          </w:p>
        </w:tc>
        <w:tc>
          <w:tcPr>
            <w:tcW w:w="2412" w:type="dxa"/>
            <w:tcBorders>
              <w:top w:val="nil"/>
              <w:left w:val="nil"/>
              <w:bottom w:val="nil"/>
              <w:right w:val="nil"/>
            </w:tcBorders>
            <w:shd w:val="clear" w:color="auto" w:fill="auto"/>
            <w:noWrap/>
            <w:vAlign w:val="bottom"/>
            <w:hideMark/>
          </w:tcPr>
          <w:p w14:paraId="69BC2C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0.771 (0.732 - 0.813)</w:t>
            </w:r>
          </w:p>
        </w:tc>
        <w:tc>
          <w:tcPr>
            <w:tcW w:w="2499" w:type="dxa"/>
            <w:tcBorders>
              <w:top w:val="nil"/>
              <w:left w:val="nil"/>
              <w:bottom w:val="nil"/>
              <w:right w:val="nil"/>
            </w:tcBorders>
            <w:shd w:val="clear" w:color="auto" w:fill="auto"/>
            <w:noWrap/>
            <w:vAlign w:val="bottom"/>
            <w:hideMark/>
          </w:tcPr>
          <w:p w14:paraId="7307C99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1.230 (1.163 - 1.300)</w:t>
            </w:r>
          </w:p>
        </w:tc>
        <w:tc>
          <w:tcPr>
            <w:tcW w:w="500" w:type="dxa"/>
            <w:tcBorders>
              <w:top w:val="nil"/>
              <w:left w:val="nil"/>
              <w:bottom w:val="nil"/>
              <w:right w:val="nil"/>
            </w:tcBorders>
            <w:shd w:val="clear" w:color="auto" w:fill="auto"/>
            <w:noWrap/>
            <w:vAlign w:val="bottom"/>
            <w:hideMark/>
          </w:tcPr>
          <w:p w14:paraId="0CCC8D4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1E55A3B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10321 (7.44)</w:t>
            </w:r>
          </w:p>
        </w:tc>
        <w:tc>
          <w:tcPr>
            <w:tcW w:w="2320" w:type="dxa"/>
            <w:tcBorders>
              <w:top w:val="nil"/>
              <w:left w:val="nil"/>
              <w:bottom w:val="nil"/>
              <w:right w:val="nil"/>
            </w:tcBorders>
            <w:shd w:val="clear" w:color="auto" w:fill="auto"/>
            <w:noWrap/>
            <w:vAlign w:val="bottom"/>
            <w:hideMark/>
          </w:tcPr>
          <w:p w14:paraId="56761D5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0.728 (0.669 - 0.792)</w:t>
            </w:r>
          </w:p>
        </w:tc>
        <w:tc>
          <w:tcPr>
            <w:tcW w:w="2320" w:type="dxa"/>
            <w:tcBorders>
              <w:top w:val="nil"/>
              <w:left w:val="nil"/>
              <w:bottom w:val="nil"/>
              <w:right w:val="nil"/>
            </w:tcBorders>
            <w:shd w:val="clear" w:color="auto" w:fill="auto"/>
            <w:noWrap/>
            <w:vAlign w:val="bottom"/>
            <w:hideMark/>
          </w:tcPr>
          <w:p w14:paraId="0C504A2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1.310 (1.196 - 1.434)</w:t>
            </w:r>
          </w:p>
        </w:tc>
      </w:tr>
      <w:tr w:rsidR="00070F35" w:rsidRPr="00A2163B" w14:paraId="4B726BB4"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A1E6A75"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2000-2010 Waves</w:t>
            </w:r>
          </w:p>
        </w:tc>
        <w:tc>
          <w:tcPr>
            <w:tcW w:w="1309" w:type="dxa"/>
            <w:tcBorders>
              <w:top w:val="nil"/>
              <w:left w:val="nil"/>
              <w:bottom w:val="single" w:sz="4" w:space="0" w:color="auto"/>
              <w:right w:val="nil"/>
            </w:tcBorders>
            <w:shd w:val="clear" w:color="auto" w:fill="auto"/>
            <w:noWrap/>
            <w:vAlign w:val="bottom"/>
            <w:hideMark/>
          </w:tcPr>
          <w:p w14:paraId="3BE6ED0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252046A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6242C94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730C8D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6595B9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3BF44B9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605E6C2"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34E1A6DD"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F9AC050"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ED0BAC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465 (360 - 652)</w:t>
            </w:r>
          </w:p>
        </w:tc>
        <w:tc>
          <w:tcPr>
            <w:tcW w:w="1309" w:type="dxa"/>
            <w:tcBorders>
              <w:top w:val="nil"/>
              <w:left w:val="nil"/>
              <w:bottom w:val="nil"/>
              <w:right w:val="nil"/>
            </w:tcBorders>
            <w:shd w:val="clear" w:color="auto" w:fill="auto"/>
            <w:noWrap/>
            <w:vAlign w:val="bottom"/>
            <w:hideMark/>
          </w:tcPr>
          <w:p w14:paraId="589ACFC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7379 (34.1)</w:t>
            </w:r>
          </w:p>
        </w:tc>
        <w:tc>
          <w:tcPr>
            <w:tcW w:w="2412" w:type="dxa"/>
            <w:tcBorders>
              <w:top w:val="nil"/>
              <w:left w:val="nil"/>
              <w:bottom w:val="nil"/>
              <w:right w:val="nil"/>
            </w:tcBorders>
            <w:shd w:val="clear" w:color="auto" w:fill="auto"/>
            <w:noWrap/>
            <w:vAlign w:val="bottom"/>
            <w:hideMark/>
          </w:tcPr>
          <w:p w14:paraId="462274B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0.799 (0.731 - 0.875)</w:t>
            </w:r>
          </w:p>
        </w:tc>
        <w:tc>
          <w:tcPr>
            <w:tcW w:w="2499" w:type="dxa"/>
            <w:tcBorders>
              <w:top w:val="nil"/>
              <w:left w:val="nil"/>
              <w:bottom w:val="nil"/>
              <w:right w:val="nil"/>
            </w:tcBorders>
            <w:shd w:val="clear" w:color="auto" w:fill="auto"/>
            <w:noWrap/>
            <w:vAlign w:val="bottom"/>
            <w:hideMark/>
          </w:tcPr>
          <w:p w14:paraId="32E36AE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1.222 (1.112 - 1.345)</w:t>
            </w:r>
          </w:p>
        </w:tc>
        <w:tc>
          <w:tcPr>
            <w:tcW w:w="500" w:type="dxa"/>
            <w:tcBorders>
              <w:top w:val="nil"/>
              <w:left w:val="nil"/>
              <w:bottom w:val="nil"/>
              <w:right w:val="nil"/>
            </w:tcBorders>
            <w:shd w:val="clear" w:color="auto" w:fill="auto"/>
            <w:noWrap/>
            <w:vAlign w:val="bottom"/>
            <w:hideMark/>
          </w:tcPr>
          <w:p w14:paraId="59887655"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3307BF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2563 (13.0)</w:t>
            </w:r>
          </w:p>
        </w:tc>
        <w:tc>
          <w:tcPr>
            <w:tcW w:w="2320" w:type="dxa"/>
            <w:tcBorders>
              <w:top w:val="nil"/>
              <w:left w:val="nil"/>
              <w:bottom w:val="nil"/>
              <w:right w:val="nil"/>
            </w:tcBorders>
            <w:shd w:val="clear" w:color="auto" w:fill="auto"/>
            <w:noWrap/>
            <w:vAlign w:val="bottom"/>
            <w:hideMark/>
          </w:tcPr>
          <w:p w14:paraId="56115BF8"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0.809 (0.700 - 0.934)</w:t>
            </w:r>
          </w:p>
        </w:tc>
        <w:tc>
          <w:tcPr>
            <w:tcW w:w="2320" w:type="dxa"/>
            <w:tcBorders>
              <w:top w:val="nil"/>
              <w:left w:val="nil"/>
              <w:bottom w:val="nil"/>
              <w:right w:val="nil"/>
            </w:tcBorders>
            <w:shd w:val="clear" w:color="auto" w:fill="auto"/>
            <w:noWrap/>
            <w:vAlign w:val="bottom"/>
            <w:hideMark/>
          </w:tcPr>
          <w:p w14:paraId="730228B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1.289 (1.111 - 1.496)</w:t>
            </w:r>
          </w:p>
        </w:tc>
      </w:tr>
      <w:tr w:rsidR="00070F35" w:rsidRPr="00A2163B" w14:paraId="3CE658B2" w14:textId="77777777" w:rsidTr="00C5041C">
        <w:trPr>
          <w:trHeight w:hRule="exact" w:val="432"/>
        </w:trPr>
        <w:tc>
          <w:tcPr>
            <w:tcW w:w="1720" w:type="dxa"/>
            <w:tcBorders>
              <w:top w:val="nil"/>
              <w:left w:val="nil"/>
              <w:bottom w:val="nil"/>
              <w:right w:val="nil"/>
            </w:tcBorders>
            <w:shd w:val="clear" w:color="auto" w:fill="auto"/>
            <w:vAlign w:val="bottom"/>
            <w:hideMark/>
          </w:tcPr>
          <w:p w14:paraId="4FCB3BC9"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2C15D2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474 (330 - 630)</w:t>
            </w:r>
          </w:p>
        </w:tc>
        <w:tc>
          <w:tcPr>
            <w:tcW w:w="1309" w:type="dxa"/>
            <w:tcBorders>
              <w:top w:val="nil"/>
              <w:left w:val="nil"/>
              <w:bottom w:val="nil"/>
              <w:right w:val="nil"/>
            </w:tcBorders>
            <w:shd w:val="clear" w:color="auto" w:fill="auto"/>
            <w:noWrap/>
            <w:vAlign w:val="bottom"/>
            <w:hideMark/>
          </w:tcPr>
          <w:p w14:paraId="0F1F271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13771 (37.4)</w:t>
            </w:r>
          </w:p>
        </w:tc>
        <w:tc>
          <w:tcPr>
            <w:tcW w:w="2412" w:type="dxa"/>
            <w:tcBorders>
              <w:top w:val="nil"/>
              <w:left w:val="nil"/>
              <w:bottom w:val="nil"/>
              <w:right w:val="nil"/>
            </w:tcBorders>
            <w:shd w:val="clear" w:color="auto" w:fill="auto"/>
            <w:noWrap/>
            <w:vAlign w:val="bottom"/>
            <w:hideMark/>
          </w:tcPr>
          <w:p w14:paraId="392B5E3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0.734 (0.685 - 0.786)</w:t>
            </w:r>
          </w:p>
        </w:tc>
        <w:tc>
          <w:tcPr>
            <w:tcW w:w="2499" w:type="dxa"/>
            <w:tcBorders>
              <w:top w:val="nil"/>
              <w:left w:val="nil"/>
              <w:bottom w:val="nil"/>
              <w:right w:val="nil"/>
            </w:tcBorders>
            <w:shd w:val="clear" w:color="auto" w:fill="auto"/>
            <w:noWrap/>
            <w:vAlign w:val="bottom"/>
            <w:hideMark/>
          </w:tcPr>
          <w:p w14:paraId="4FCB55E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1.180 (1.100 - 1.271)</w:t>
            </w:r>
          </w:p>
        </w:tc>
        <w:tc>
          <w:tcPr>
            <w:tcW w:w="500" w:type="dxa"/>
            <w:tcBorders>
              <w:top w:val="nil"/>
              <w:left w:val="nil"/>
              <w:bottom w:val="nil"/>
              <w:right w:val="nil"/>
            </w:tcBorders>
            <w:shd w:val="clear" w:color="auto" w:fill="auto"/>
            <w:noWrap/>
            <w:vAlign w:val="bottom"/>
            <w:hideMark/>
          </w:tcPr>
          <w:p w14:paraId="46AB4F8A"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5174C0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4282 (12.9)</w:t>
            </w:r>
          </w:p>
        </w:tc>
        <w:tc>
          <w:tcPr>
            <w:tcW w:w="2320" w:type="dxa"/>
            <w:tcBorders>
              <w:top w:val="nil"/>
              <w:left w:val="nil"/>
              <w:bottom w:val="nil"/>
              <w:right w:val="nil"/>
            </w:tcBorders>
            <w:shd w:val="clear" w:color="auto" w:fill="auto"/>
            <w:noWrap/>
            <w:vAlign w:val="bottom"/>
            <w:hideMark/>
          </w:tcPr>
          <w:p w14:paraId="59CD96A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0.659 (0.582 - 0.747)</w:t>
            </w:r>
          </w:p>
        </w:tc>
        <w:tc>
          <w:tcPr>
            <w:tcW w:w="2320" w:type="dxa"/>
            <w:tcBorders>
              <w:top w:val="nil"/>
              <w:left w:val="nil"/>
              <w:bottom w:val="nil"/>
              <w:right w:val="nil"/>
            </w:tcBorders>
            <w:shd w:val="clear" w:color="auto" w:fill="auto"/>
            <w:noWrap/>
            <w:vAlign w:val="bottom"/>
            <w:hideMark/>
          </w:tcPr>
          <w:p w14:paraId="3F18FE73"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1.172 (1.028 - 1.334)</w:t>
            </w:r>
          </w:p>
        </w:tc>
      </w:tr>
      <w:tr w:rsidR="00070F35" w:rsidRPr="00A2163B" w14:paraId="7532A352" w14:textId="77777777" w:rsidTr="00C5041C">
        <w:trPr>
          <w:trHeight w:hRule="exact" w:val="432"/>
        </w:trPr>
        <w:tc>
          <w:tcPr>
            <w:tcW w:w="1720" w:type="dxa"/>
            <w:tcBorders>
              <w:top w:val="nil"/>
              <w:left w:val="nil"/>
              <w:bottom w:val="nil"/>
              <w:right w:val="nil"/>
            </w:tcBorders>
            <w:shd w:val="clear" w:color="auto" w:fill="auto"/>
            <w:vAlign w:val="bottom"/>
            <w:hideMark/>
          </w:tcPr>
          <w:p w14:paraId="6BE5731D" w14:textId="6FC035CE"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5C7E003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508 (360 - 652)</w:t>
            </w:r>
          </w:p>
        </w:tc>
        <w:tc>
          <w:tcPr>
            <w:tcW w:w="1309" w:type="dxa"/>
            <w:tcBorders>
              <w:top w:val="nil"/>
              <w:left w:val="nil"/>
              <w:bottom w:val="nil"/>
              <w:right w:val="nil"/>
            </w:tcBorders>
            <w:shd w:val="clear" w:color="auto" w:fill="auto"/>
            <w:noWrap/>
            <w:vAlign w:val="bottom"/>
            <w:hideMark/>
          </w:tcPr>
          <w:p w14:paraId="68DA3DE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24440 (27.1)</w:t>
            </w:r>
          </w:p>
        </w:tc>
        <w:tc>
          <w:tcPr>
            <w:tcW w:w="2412" w:type="dxa"/>
            <w:tcBorders>
              <w:top w:val="nil"/>
              <w:left w:val="nil"/>
              <w:bottom w:val="nil"/>
              <w:right w:val="nil"/>
            </w:tcBorders>
            <w:shd w:val="clear" w:color="auto" w:fill="auto"/>
            <w:noWrap/>
            <w:vAlign w:val="bottom"/>
            <w:hideMark/>
          </w:tcPr>
          <w:p w14:paraId="17869D0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0.805 (0.760 - 0.852)</w:t>
            </w:r>
          </w:p>
        </w:tc>
        <w:tc>
          <w:tcPr>
            <w:tcW w:w="2499" w:type="dxa"/>
            <w:tcBorders>
              <w:top w:val="nil"/>
              <w:left w:val="nil"/>
              <w:bottom w:val="nil"/>
              <w:right w:val="nil"/>
            </w:tcBorders>
            <w:shd w:val="clear" w:color="auto" w:fill="auto"/>
            <w:noWrap/>
            <w:vAlign w:val="bottom"/>
            <w:hideMark/>
          </w:tcPr>
          <w:p w14:paraId="224370B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1.265 (1.190 - 1.346)</w:t>
            </w:r>
          </w:p>
        </w:tc>
        <w:tc>
          <w:tcPr>
            <w:tcW w:w="500" w:type="dxa"/>
            <w:tcBorders>
              <w:top w:val="nil"/>
              <w:left w:val="nil"/>
              <w:bottom w:val="nil"/>
              <w:right w:val="nil"/>
            </w:tcBorders>
            <w:shd w:val="clear" w:color="auto" w:fill="auto"/>
            <w:noWrap/>
            <w:vAlign w:val="bottom"/>
            <w:hideMark/>
          </w:tcPr>
          <w:p w14:paraId="1047B5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29F9CA1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9023 (10.7)</w:t>
            </w:r>
          </w:p>
        </w:tc>
        <w:tc>
          <w:tcPr>
            <w:tcW w:w="2320" w:type="dxa"/>
            <w:tcBorders>
              <w:top w:val="nil"/>
              <w:left w:val="nil"/>
              <w:bottom w:val="nil"/>
              <w:right w:val="nil"/>
            </w:tcBorders>
            <w:shd w:val="clear" w:color="auto" w:fill="auto"/>
            <w:noWrap/>
            <w:vAlign w:val="bottom"/>
            <w:hideMark/>
          </w:tcPr>
          <w:p w14:paraId="6ECB367D"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0.758 (0.691 - 0.833)</w:t>
            </w:r>
          </w:p>
        </w:tc>
        <w:tc>
          <w:tcPr>
            <w:tcW w:w="2320" w:type="dxa"/>
            <w:tcBorders>
              <w:top w:val="nil"/>
              <w:left w:val="nil"/>
              <w:bottom w:val="nil"/>
              <w:right w:val="nil"/>
            </w:tcBorders>
            <w:shd w:val="clear" w:color="auto" w:fill="auto"/>
            <w:noWrap/>
            <w:vAlign w:val="bottom"/>
            <w:hideMark/>
          </w:tcPr>
          <w:p w14:paraId="04F63A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1.326 (1.198 - 1.467)</w:t>
            </w:r>
          </w:p>
        </w:tc>
      </w:tr>
      <w:tr w:rsidR="00070F35" w:rsidRPr="00A2163B" w14:paraId="6BC7EF3D"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2B07348"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2011 - 2014 Waves</w:t>
            </w:r>
          </w:p>
        </w:tc>
        <w:tc>
          <w:tcPr>
            <w:tcW w:w="1309" w:type="dxa"/>
            <w:tcBorders>
              <w:top w:val="nil"/>
              <w:left w:val="nil"/>
              <w:bottom w:val="single" w:sz="4" w:space="0" w:color="auto"/>
              <w:right w:val="nil"/>
            </w:tcBorders>
            <w:shd w:val="clear" w:color="auto" w:fill="auto"/>
            <w:noWrap/>
            <w:vAlign w:val="bottom"/>
            <w:hideMark/>
          </w:tcPr>
          <w:p w14:paraId="3643599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50D1A850"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632DB7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819DB8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5308144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77FEA4C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7F0487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50650B55"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031D5A4"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42DDF6B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(104 - 230)</w:t>
            </w:r>
          </w:p>
        </w:tc>
        <w:tc>
          <w:tcPr>
            <w:tcW w:w="1309" w:type="dxa"/>
            <w:tcBorders>
              <w:top w:val="nil"/>
              <w:left w:val="nil"/>
              <w:bottom w:val="nil"/>
              <w:right w:val="nil"/>
            </w:tcBorders>
            <w:shd w:val="clear" w:color="auto" w:fill="auto"/>
            <w:noWrap/>
            <w:vAlign w:val="bottom"/>
            <w:hideMark/>
          </w:tcPr>
          <w:p w14:paraId="584F2B0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1530 (9.50)</w:t>
            </w:r>
          </w:p>
        </w:tc>
        <w:tc>
          <w:tcPr>
            <w:tcW w:w="2412" w:type="dxa"/>
            <w:tcBorders>
              <w:top w:val="nil"/>
              <w:left w:val="nil"/>
              <w:bottom w:val="nil"/>
              <w:right w:val="nil"/>
            </w:tcBorders>
            <w:shd w:val="clear" w:color="auto" w:fill="auto"/>
            <w:noWrap/>
            <w:vAlign w:val="bottom"/>
            <w:hideMark/>
          </w:tcPr>
          <w:p w14:paraId="703306E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0.681 (0.605 - 0.767)</w:t>
            </w:r>
          </w:p>
        </w:tc>
        <w:tc>
          <w:tcPr>
            <w:tcW w:w="2499" w:type="dxa"/>
            <w:tcBorders>
              <w:top w:val="nil"/>
              <w:left w:val="nil"/>
              <w:bottom w:val="nil"/>
              <w:right w:val="nil"/>
            </w:tcBorders>
            <w:shd w:val="clear" w:color="auto" w:fill="auto"/>
            <w:noWrap/>
            <w:vAlign w:val="bottom"/>
            <w:hideMark/>
          </w:tcPr>
          <w:p w14:paraId="709DD2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xml:space="preserve"> 0.967 (0.800 - 1.173)</w:t>
            </w:r>
          </w:p>
        </w:tc>
        <w:tc>
          <w:tcPr>
            <w:tcW w:w="500" w:type="dxa"/>
            <w:tcBorders>
              <w:top w:val="nil"/>
              <w:left w:val="nil"/>
              <w:bottom w:val="nil"/>
              <w:right w:val="nil"/>
            </w:tcBorders>
            <w:shd w:val="clear" w:color="auto" w:fill="auto"/>
            <w:noWrap/>
            <w:vAlign w:val="bottom"/>
            <w:hideMark/>
          </w:tcPr>
          <w:p w14:paraId="71A7CDD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4D90F50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482 (3.20)</w:t>
            </w:r>
          </w:p>
        </w:tc>
        <w:tc>
          <w:tcPr>
            <w:tcW w:w="2320" w:type="dxa"/>
            <w:tcBorders>
              <w:top w:val="nil"/>
              <w:left w:val="nil"/>
              <w:bottom w:val="nil"/>
              <w:right w:val="nil"/>
            </w:tcBorders>
            <w:shd w:val="clear" w:color="auto" w:fill="auto"/>
            <w:noWrap/>
            <w:vAlign w:val="bottom"/>
            <w:hideMark/>
          </w:tcPr>
          <w:p w14:paraId="4D15808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0.779 (0.639 - 0.950)</w:t>
            </w:r>
          </w:p>
        </w:tc>
        <w:tc>
          <w:tcPr>
            <w:tcW w:w="2320" w:type="dxa"/>
            <w:tcBorders>
              <w:top w:val="nil"/>
              <w:left w:val="nil"/>
              <w:bottom w:val="nil"/>
              <w:right w:val="nil"/>
            </w:tcBorders>
            <w:shd w:val="clear" w:color="auto" w:fill="auto"/>
            <w:noWrap/>
            <w:vAlign w:val="bottom"/>
            <w:hideMark/>
          </w:tcPr>
          <w:p w14:paraId="4CF0E3E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1.055 (0.779 - 1.430)</w:t>
            </w:r>
          </w:p>
        </w:tc>
      </w:tr>
      <w:tr w:rsidR="00070F35" w:rsidRPr="00A2163B" w14:paraId="363CDBBC" w14:textId="77777777" w:rsidTr="00C5041C">
        <w:trPr>
          <w:trHeight w:hRule="exact" w:val="432"/>
        </w:trPr>
        <w:tc>
          <w:tcPr>
            <w:tcW w:w="1720" w:type="dxa"/>
            <w:tcBorders>
              <w:top w:val="nil"/>
              <w:left w:val="nil"/>
              <w:bottom w:val="nil"/>
              <w:right w:val="nil"/>
            </w:tcBorders>
            <w:shd w:val="clear" w:color="auto" w:fill="auto"/>
            <w:vAlign w:val="bottom"/>
            <w:hideMark/>
          </w:tcPr>
          <w:p w14:paraId="4F70AEF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0F539E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161 (100 - 230)</w:t>
            </w:r>
          </w:p>
        </w:tc>
        <w:tc>
          <w:tcPr>
            <w:tcW w:w="1309" w:type="dxa"/>
            <w:tcBorders>
              <w:top w:val="nil"/>
              <w:left w:val="nil"/>
              <w:bottom w:val="nil"/>
              <w:right w:val="nil"/>
            </w:tcBorders>
            <w:shd w:val="clear" w:color="auto" w:fill="auto"/>
            <w:noWrap/>
            <w:vAlign w:val="bottom"/>
            <w:hideMark/>
          </w:tcPr>
          <w:p w14:paraId="4ABC577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2574 (11.77)</w:t>
            </w:r>
          </w:p>
        </w:tc>
        <w:tc>
          <w:tcPr>
            <w:tcW w:w="2412" w:type="dxa"/>
            <w:tcBorders>
              <w:top w:val="nil"/>
              <w:left w:val="nil"/>
              <w:bottom w:val="nil"/>
              <w:right w:val="nil"/>
            </w:tcBorders>
            <w:shd w:val="clear" w:color="auto" w:fill="auto"/>
            <w:noWrap/>
            <w:vAlign w:val="bottom"/>
            <w:hideMark/>
          </w:tcPr>
          <w:p w14:paraId="36757C8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0.620 (0.562 - 0.684)</w:t>
            </w:r>
          </w:p>
        </w:tc>
        <w:tc>
          <w:tcPr>
            <w:tcW w:w="2499" w:type="dxa"/>
            <w:tcBorders>
              <w:top w:val="nil"/>
              <w:left w:val="nil"/>
              <w:bottom w:val="nil"/>
              <w:right w:val="nil"/>
            </w:tcBorders>
            <w:shd w:val="clear" w:color="auto" w:fill="auto"/>
            <w:noWrap/>
            <w:vAlign w:val="bottom"/>
            <w:hideMark/>
          </w:tcPr>
          <w:p w14:paraId="543715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1.019 (0.868 - 1.195)</w:t>
            </w:r>
          </w:p>
        </w:tc>
        <w:tc>
          <w:tcPr>
            <w:tcW w:w="500" w:type="dxa"/>
            <w:tcBorders>
              <w:top w:val="nil"/>
              <w:left w:val="nil"/>
              <w:bottom w:val="nil"/>
              <w:right w:val="nil"/>
            </w:tcBorders>
            <w:shd w:val="clear" w:color="auto" w:fill="auto"/>
            <w:noWrap/>
            <w:vAlign w:val="bottom"/>
            <w:hideMark/>
          </w:tcPr>
          <w:p w14:paraId="6037C3D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56601B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563 (2.84)</w:t>
            </w:r>
          </w:p>
        </w:tc>
        <w:tc>
          <w:tcPr>
            <w:tcW w:w="2320" w:type="dxa"/>
            <w:tcBorders>
              <w:top w:val="nil"/>
              <w:left w:val="nil"/>
              <w:bottom w:val="nil"/>
              <w:right w:val="nil"/>
            </w:tcBorders>
            <w:shd w:val="clear" w:color="auto" w:fill="auto"/>
            <w:noWrap/>
            <w:vAlign w:val="bottom"/>
            <w:hideMark/>
          </w:tcPr>
          <w:p w14:paraId="4002E09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0.768 (0.633 - 0.931)</w:t>
            </w:r>
          </w:p>
        </w:tc>
        <w:tc>
          <w:tcPr>
            <w:tcW w:w="2320" w:type="dxa"/>
            <w:tcBorders>
              <w:top w:val="nil"/>
              <w:left w:val="nil"/>
              <w:bottom w:val="nil"/>
              <w:right w:val="nil"/>
            </w:tcBorders>
            <w:shd w:val="clear" w:color="auto" w:fill="auto"/>
            <w:noWrap/>
            <w:vAlign w:val="bottom"/>
            <w:hideMark/>
          </w:tcPr>
          <w:p w14:paraId="496EAF0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1.054 (0.757 - 1.468)</w:t>
            </w:r>
          </w:p>
        </w:tc>
      </w:tr>
      <w:tr w:rsidR="00070F35" w:rsidRPr="00A2163B" w14:paraId="1EEB41E9" w14:textId="77777777" w:rsidTr="00C5041C">
        <w:trPr>
          <w:trHeight w:hRule="exact" w:val="432"/>
        </w:trPr>
        <w:tc>
          <w:tcPr>
            <w:tcW w:w="1720" w:type="dxa"/>
            <w:tcBorders>
              <w:top w:val="nil"/>
              <w:left w:val="nil"/>
              <w:bottom w:val="single" w:sz="4" w:space="0" w:color="auto"/>
              <w:right w:val="nil"/>
            </w:tcBorders>
            <w:shd w:val="clear" w:color="auto" w:fill="auto"/>
            <w:vAlign w:val="bottom"/>
            <w:hideMark/>
          </w:tcPr>
          <w:p w14:paraId="57C68660" w14:textId="31ADCD49"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761DEAD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(104 - 234)</w:t>
            </w:r>
          </w:p>
        </w:tc>
        <w:tc>
          <w:tcPr>
            <w:tcW w:w="1309" w:type="dxa"/>
            <w:tcBorders>
              <w:top w:val="nil"/>
              <w:left w:val="nil"/>
              <w:bottom w:val="single" w:sz="4" w:space="0" w:color="auto"/>
              <w:right w:val="nil"/>
            </w:tcBorders>
            <w:shd w:val="clear" w:color="auto" w:fill="auto"/>
            <w:noWrap/>
            <w:vAlign w:val="bottom"/>
            <w:hideMark/>
          </w:tcPr>
          <w:p w14:paraId="74C7FFE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4315 (7.53)</w:t>
            </w:r>
          </w:p>
        </w:tc>
        <w:tc>
          <w:tcPr>
            <w:tcW w:w="2412" w:type="dxa"/>
            <w:tcBorders>
              <w:top w:val="nil"/>
              <w:left w:val="nil"/>
              <w:bottom w:val="single" w:sz="4" w:space="0" w:color="auto"/>
              <w:right w:val="nil"/>
            </w:tcBorders>
            <w:shd w:val="clear" w:color="auto" w:fill="auto"/>
            <w:noWrap/>
            <w:vAlign w:val="bottom"/>
            <w:hideMark/>
          </w:tcPr>
          <w:p w14:paraId="37B0C55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0.695 (0.643 - 0.752)</w:t>
            </w:r>
          </w:p>
        </w:tc>
        <w:tc>
          <w:tcPr>
            <w:tcW w:w="2499" w:type="dxa"/>
            <w:tcBorders>
              <w:top w:val="nil"/>
              <w:left w:val="nil"/>
              <w:bottom w:val="single" w:sz="4" w:space="0" w:color="auto"/>
              <w:right w:val="nil"/>
            </w:tcBorders>
            <w:shd w:val="clear" w:color="auto" w:fill="auto"/>
            <w:noWrap/>
            <w:vAlign w:val="bottom"/>
            <w:hideMark/>
          </w:tcPr>
          <w:p w14:paraId="138F69A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1.083 (0.940 - 1.245)</w:t>
            </w:r>
          </w:p>
        </w:tc>
        <w:tc>
          <w:tcPr>
            <w:tcW w:w="500" w:type="dxa"/>
            <w:tcBorders>
              <w:top w:val="nil"/>
              <w:left w:val="nil"/>
              <w:bottom w:val="single" w:sz="4" w:space="0" w:color="auto"/>
              <w:right w:val="nil"/>
            </w:tcBorders>
            <w:shd w:val="clear" w:color="auto" w:fill="auto"/>
            <w:noWrap/>
            <w:vAlign w:val="bottom"/>
            <w:hideMark/>
          </w:tcPr>
          <w:p w14:paraId="7FD51DB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vAlign w:val="bottom"/>
            <w:hideMark/>
          </w:tcPr>
          <w:p w14:paraId="2DE1942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1298 (2.39)</w:t>
            </w:r>
          </w:p>
        </w:tc>
        <w:tc>
          <w:tcPr>
            <w:tcW w:w="2320" w:type="dxa"/>
            <w:tcBorders>
              <w:top w:val="nil"/>
              <w:left w:val="nil"/>
              <w:bottom w:val="single" w:sz="4" w:space="0" w:color="auto"/>
              <w:right w:val="nil"/>
            </w:tcBorders>
            <w:shd w:val="clear" w:color="auto" w:fill="auto"/>
            <w:noWrap/>
            <w:vAlign w:val="bottom"/>
            <w:hideMark/>
          </w:tcPr>
          <w:p w14:paraId="41FC74B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0.802 (0.700 - 0.918)</w:t>
            </w:r>
          </w:p>
        </w:tc>
        <w:tc>
          <w:tcPr>
            <w:tcW w:w="2320" w:type="dxa"/>
            <w:tcBorders>
              <w:top w:val="nil"/>
              <w:left w:val="nil"/>
              <w:bottom w:val="single" w:sz="4" w:space="0" w:color="auto"/>
              <w:right w:val="nil"/>
            </w:tcBorders>
            <w:shd w:val="clear" w:color="auto" w:fill="auto"/>
            <w:noWrap/>
            <w:vAlign w:val="bottom"/>
            <w:hideMark/>
          </w:tcPr>
          <w:p w14:paraId="0D15F882"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1.311 (1.051 - 1.634)</w:t>
            </w:r>
          </w:p>
        </w:tc>
      </w:tr>
    </w:tbl>
    <w:p w14:paraId="12658306" w14:textId="3DB0ADC9" w:rsidR="0017732E" w:rsidRDefault="00327BB6" w:rsidP="006F32F8">
      <w:pPr>
        <w:spacing w:line="240" w:lineRule="auto"/>
        <w:rPr>
          <w:rFonts w:ascii="Times New Roman" w:hAnsi="Times New Roman" w:cs="Times New Roman"/>
          <w:sz w:val="16"/>
          <w:szCs w:val="16"/>
        </w:rPr>
      </w:pPr>
      <w:r w:rsidRPr="00CC122F">
        <w:rPr>
          <w:rFonts w:ascii="Times New Roman" w:hAnsi="Times New Roman" w:cs="Times New Roman"/>
          <w:sz w:val="16"/>
          <w:szCs w:val="16"/>
        </w:rPr>
        <w:t xml:space="preserve">Note: </w:t>
      </w:r>
      <w:r w:rsidR="005F60A1" w:rsidRPr="00CC122F">
        <w:rPr>
          <w:rFonts w:ascii="Times New Roman" w:hAnsi="Times New Roman" w:cs="Times New Roman"/>
          <w:sz w:val="16"/>
          <w:szCs w:val="16"/>
        </w:rPr>
        <w:t>All hazard ratios are weighted for survey design</w:t>
      </w:r>
      <w:r w:rsidR="0021461B">
        <w:rPr>
          <w:rFonts w:ascii="Times New Roman" w:hAnsi="Times New Roman" w:cs="Times New Roman"/>
          <w:sz w:val="16"/>
          <w:szCs w:val="16"/>
        </w:rPr>
        <w:t>. Disease specific mortality is defined as</w:t>
      </w:r>
      <w:r w:rsidR="002371E9">
        <w:rPr>
          <w:rFonts w:ascii="Times New Roman" w:hAnsi="Times New Roman" w:cs="Times New Roman"/>
          <w:sz w:val="16"/>
          <w:szCs w:val="16"/>
        </w:rPr>
        <w:t xml:space="preserve"> having a listed cause of death of diabetes, </w:t>
      </w:r>
      <w:r w:rsidR="00B50FFD">
        <w:rPr>
          <w:rFonts w:ascii="Times New Roman" w:hAnsi="Times New Roman" w:cs="Times New Roman"/>
          <w:sz w:val="16"/>
          <w:szCs w:val="16"/>
        </w:rPr>
        <w:t xml:space="preserve">heart </w:t>
      </w:r>
      <w:r w:rsidR="00F52D2F">
        <w:rPr>
          <w:rFonts w:ascii="Times New Roman" w:hAnsi="Times New Roman" w:cs="Times New Roman"/>
          <w:sz w:val="16"/>
          <w:szCs w:val="16"/>
        </w:rPr>
        <w:t>or cerebrovascular disease</w:t>
      </w:r>
      <w:r w:rsidR="00C44B01">
        <w:rPr>
          <w:rFonts w:ascii="Times New Roman" w:hAnsi="Times New Roman" w:cs="Times New Roman"/>
          <w:sz w:val="16"/>
          <w:szCs w:val="16"/>
        </w:rPr>
        <w:t>, or heart, cerebrovascular disease or underlying hypertension for diabetes, CVD, and CVD with hypertension models, respectively.</w:t>
      </w:r>
      <w:r w:rsidR="001D1DDE">
        <w:rPr>
          <w:rFonts w:ascii="Times New Roman" w:hAnsi="Times New Roman" w:cs="Times New Roman"/>
          <w:sz w:val="16"/>
          <w:szCs w:val="16"/>
        </w:rPr>
        <w:t xml:space="preserve"> </w:t>
      </w:r>
      <w:r w:rsidR="008F140E">
        <w:rPr>
          <w:rFonts w:ascii="Times New Roman" w:hAnsi="Times New Roman" w:cs="Times New Roman"/>
          <w:sz w:val="16"/>
          <w:szCs w:val="16"/>
        </w:rPr>
        <w:t>Bold face denotes statistical significance.</w:t>
      </w:r>
      <w:r w:rsidR="00C44B01">
        <w:rPr>
          <w:rFonts w:ascii="Times New Roman" w:hAnsi="Times New Roman" w:cs="Times New Roman"/>
          <w:sz w:val="16"/>
          <w:szCs w:val="16"/>
        </w:rPr>
        <w:t xml:space="preserve"> </w:t>
      </w:r>
      <w:r w:rsidR="0017732E">
        <w:rPr>
          <w:rFonts w:ascii="Times New Roman" w:hAnsi="Times New Roman" w:cs="Times New Roman"/>
          <w:sz w:val="16"/>
          <w:szCs w:val="16"/>
        </w:rPr>
        <w:t>*</w:t>
      </w:r>
      <w:r w:rsidR="00D134DC">
        <w:rPr>
          <w:rFonts w:ascii="Times New Roman" w:hAnsi="Times New Roman" w:cs="Times New Roman"/>
          <w:sz w:val="16"/>
          <w:szCs w:val="16"/>
        </w:rPr>
        <w:t xml:space="preserve">The narrow definition of </w:t>
      </w:r>
      <w:r w:rsidR="00622C6E">
        <w:rPr>
          <w:rFonts w:ascii="Times New Roman" w:hAnsi="Times New Roman" w:cs="Times New Roman"/>
          <w:sz w:val="16"/>
          <w:szCs w:val="16"/>
        </w:rPr>
        <w:t>CVD i</w:t>
      </w:r>
      <w:r w:rsidR="00D134DC">
        <w:rPr>
          <w:rFonts w:ascii="Times New Roman" w:hAnsi="Times New Roman" w:cs="Times New Roman"/>
          <w:sz w:val="16"/>
          <w:szCs w:val="16"/>
        </w:rPr>
        <w:t>ncludes</w:t>
      </w:r>
      <w:r w:rsidR="00622C6E">
        <w:rPr>
          <w:rFonts w:ascii="Times New Roman" w:hAnsi="Times New Roman" w:cs="Times New Roman"/>
          <w:sz w:val="16"/>
          <w:szCs w:val="16"/>
        </w:rPr>
        <w:t xml:space="preserve"> heart attack, angina pectoris, coronary heart disease, </w:t>
      </w:r>
      <w:r w:rsidR="00242623">
        <w:rPr>
          <w:rFonts w:ascii="Times New Roman" w:hAnsi="Times New Roman" w:cs="Times New Roman"/>
          <w:sz w:val="16"/>
          <w:szCs w:val="16"/>
        </w:rPr>
        <w:t>other heart condition, or stroke</w:t>
      </w:r>
      <w:r w:rsidR="00D134DC">
        <w:rPr>
          <w:rFonts w:ascii="Times New Roman" w:hAnsi="Times New Roman" w:cs="Times New Roman"/>
          <w:sz w:val="16"/>
          <w:szCs w:val="16"/>
        </w:rPr>
        <w:t xml:space="preserve">. ** The expanded definition of CVD includes all </w:t>
      </w:r>
      <w:r w:rsidR="00C909D3">
        <w:rPr>
          <w:rFonts w:ascii="Times New Roman" w:hAnsi="Times New Roman" w:cs="Times New Roman"/>
          <w:sz w:val="16"/>
          <w:szCs w:val="16"/>
        </w:rPr>
        <w:t>conditions for the narrow definition or a diagnosis of hypertension.</w:t>
      </w:r>
      <w:r w:rsidR="005A07A2">
        <w:rPr>
          <w:rFonts w:ascii="Times New Roman" w:hAnsi="Times New Roman" w:cs="Times New Roman"/>
          <w:sz w:val="16"/>
          <w:szCs w:val="16"/>
        </w:rPr>
        <w:t xml:space="preserve"> 1. Unadjusted </w:t>
      </w:r>
      <w:r w:rsidR="009D4AFE">
        <w:rPr>
          <w:rFonts w:ascii="Times New Roman" w:hAnsi="Times New Roman" w:cs="Times New Roman"/>
          <w:sz w:val="16"/>
          <w:szCs w:val="16"/>
        </w:rPr>
        <w:t xml:space="preserve">Hazard Ratio. 2. Hazard Ratio adjusted for </w:t>
      </w:r>
      <w:r w:rsidR="002657DA"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sidR="00D456B9">
        <w:rPr>
          <w:rFonts w:ascii="Times New Roman" w:hAnsi="Times New Roman" w:cs="Times New Roman"/>
          <w:sz w:val="16"/>
          <w:szCs w:val="16"/>
        </w:rPr>
        <w:t xml:space="preserve">. 3. Hazard ratio adjusted for </w:t>
      </w:r>
      <w:r w:rsidR="00D456B9"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sidR="00D456B9">
        <w:rPr>
          <w:rFonts w:ascii="Times New Roman" w:hAnsi="Times New Roman" w:cs="Times New Roman"/>
          <w:sz w:val="16"/>
          <w:szCs w:val="16"/>
        </w:rPr>
        <w:t xml:space="preserve">and </w:t>
      </w:r>
      <w:r w:rsidR="00D456B9" w:rsidRPr="00D456B9">
        <w:rPr>
          <w:rFonts w:ascii="Times New Roman" w:hAnsi="Times New Roman" w:cs="Times New Roman"/>
          <w:sz w:val="16"/>
          <w:szCs w:val="16"/>
        </w:rPr>
        <w:t>education (≤ high school, some college, college degree or greater)</w:t>
      </w:r>
      <w:r w:rsidR="00D456B9">
        <w:rPr>
          <w:rFonts w:ascii="Times New Roman" w:hAnsi="Times New Roman" w:cs="Times New Roman"/>
          <w:sz w:val="16"/>
          <w:szCs w:val="16"/>
        </w:rPr>
        <w:t>.</w:t>
      </w:r>
      <w:r w:rsidR="001D1DDE">
        <w:rPr>
          <w:rFonts w:ascii="Times New Roman" w:hAnsi="Times New Roman" w:cs="Times New Roman"/>
          <w:sz w:val="16"/>
          <w:szCs w:val="16"/>
        </w:rPr>
        <w:t xml:space="preserve"> Abbreviations: CRN, cost-related nonadherence; CVD, cardiovascular disease; HR, Hazard Ratio.</w:t>
      </w:r>
    </w:p>
    <w:p w14:paraId="08AFEFE2" w14:textId="5ED0069A" w:rsidR="00597403" w:rsidRDefault="00597403">
      <w:pPr>
        <w:rPr>
          <w:rFonts w:ascii="Times New Roman" w:hAnsi="Times New Roman" w:cs="Times New Roman"/>
          <w:sz w:val="24"/>
          <w:szCs w:val="24"/>
        </w:rPr>
      </w:pPr>
      <w:r>
        <w:rPr>
          <w:rFonts w:ascii="Times New Roman" w:hAnsi="Times New Roman" w:cs="Times New Roman"/>
          <w:sz w:val="24"/>
          <w:szCs w:val="24"/>
        </w:rPr>
        <w:br w:type="page"/>
      </w:r>
    </w:p>
    <w:p w14:paraId="6D9A3628" w14:textId="48BE98FA" w:rsidR="00515DB2" w:rsidRDefault="0066607C"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Supplementary Table 1.</w:t>
      </w:r>
      <w:r>
        <w:rPr>
          <w:rFonts w:ascii="Times New Roman" w:hAnsi="Times New Roman" w:cs="Times New Roman"/>
          <w:sz w:val="24"/>
          <w:szCs w:val="24"/>
        </w:rPr>
        <w:t xml:space="preserve"> </w:t>
      </w:r>
      <w:r w:rsidR="002956FE">
        <w:rPr>
          <w:rFonts w:ascii="Times New Roman" w:hAnsi="Times New Roman" w:cs="Times New Roman"/>
          <w:sz w:val="24"/>
          <w:szCs w:val="24"/>
        </w:rPr>
        <w:t xml:space="preserve">Hazard ratios and 95% </w:t>
      </w:r>
      <w:r w:rsidR="00ED3E39">
        <w:rPr>
          <w:rFonts w:ascii="Times New Roman" w:hAnsi="Times New Roman" w:cs="Times New Roman"/>
          <w:sz w:val="24"/>
          <w:szCs w:val="24"/>
        </w:rPr>
        <w:t>c</w:t>
      </w:r>
      <w:r w:rsidR="002956FE">
        <w:rPr>
          <w:rFonts w:ascii="Times New Roman" w:hAnsi="Times New Roman" w:cs="Times New Roman"/>
          <w:sz w:val="24"/>
          <w:szCs w:val="24"/>
        </w:rPr>
        <w:t xml:space="preserve">onfidence </w:t>
      </w:r>
      <w:r w:rsidR="00ED3E39">
        <w:rPr>
          <w:rFonts w:ascii="Times New Roman" w:hAnsi="Times New Roman" w:cs="Times New Roman"/>
          <w:sz w:val="24"/>
          <w:szCs w:val="24"/>
        </w:rPr>
        <w:t>i</w:t>
      </w:r>
      <w:r w:rsidR="002956FE">
        <w:rPr>
          <w:rFonts w:ascii="Times New Roman" w:hAnsi="Times New Roman" w:cs="Times New Roman"/>
          <w:sz w:val="24"/>
          <w:szCs w:val="24"/>
        </w:rPr>
        <w:t>ntervals for all coefficients in</w:t>
      </w:r>
      <w:r w:rsidR="00BD54B3">
        <w:rPr>
          <w:rFonts w:ascii="Times New Roman" w:hAnsi="Times New Roman" w:cs="Times New Roman"/>
          <w:sz w:val="24"/>
          <w:szCs w:val="24"/>
        </w:rPr>
        <w:t xml:space="preserve"> models of all-cause mortality risk among individuals with </w:t>
      </w:r>
      <w:r w:rsidR="00ED3E39">
        <w:rPr>
          <w:rFonts w:ascii="Times New Roman" w:hAnsi="Times New Roman" w:cs="Times New Roman"/>
          <w:sz w:val="24"/>
          <w:szCs w:val="24"/>
        </w:rPr>
        <w:t>diabetes</w:t>
      </w:r>
      <w:r w:rsidR="008F140E">
        <w:rPr>
          <w:rFonts w:ascii="Times New Roman" w:hAnsi="Times New Roman" w:cs="Times New Roman"/>
          <w:sz w:val="24"/>
          <w:szCs w:val="24"/>
        </w:rPr>
        <w:t xml:space="preserve"> in the National Health Interview Survey, 2000 to 2014.</w:t>
      </w:r>
    </w:p>
    <w:tbl>
      <w:tblPr>
        <w:tblW w:w="10238" w:type="dxa"/>
        <w:tblLook w:val="04A0" w:firstRow="1" w:lastRow="0" w:firstColumn="1" w:lastColumn="0" w:noHBand="0" w:noVBand="1"/>
      </w:tblPr>
      <w:tblGrid>
        <w:gridCol w:w="2938"/>
        <w:gridCol w:w="2540"/>
        <w:gridCol w:w="2760"/>
        <w:gridCol w:w="2000"/>
      </w:tblGrid>
      <w:tr w:rsidR="008F140E" w:rsidRPr="008F140E" w14:paraId="76681B9B" w14:textId="77777777" w:rsidTr="008F140E">
        <w:trPr>
          <w:trHeight w:val="278"/>
        </w:trPr>
        <w:tc>
          <w:tcPr>
            <w:tcW w:w="2938" w:type="dxa"/>
            <w:tcBorders>
              <w:top w:val="nil"/>
              <w:left w:val="nil"/>
              <w:bottom w:val="nil"/>
              <w:right w:val="nil"/>
            </w:tcBorders>
            <w:shd w:val="clear" w:color="auto" w:fill="auto"/>
            <w:noWrap/>
            <w:vAlign w:val="bottom"/>
            <w:hideMark/>
          </w:tcPr>
          <w:p w14:paraId="2E8D2B75" w14:textId="77777777" w:rsidR="008F140E" w:rsidRPr="008F140E" w:rsidRDefault="008F140E" w:rsidP="008F140E">
            <w:pPr>
              <w:spacing w:after="0" w:line="240" w:lineRule="auto"/>
              <w:rPr>
                <w:rFonts w:ascii="Times New Roman" w:eastAsia="Times New Roman" w:hAnsi="Times New Roman" w:cs="Times New Roman"/>
                <w:sz w:val="20"/>
                <w:szCs w:val="20"/>
              </w:rPr>
            </w:pPr>
          </w:p>
        </w:tc>
        <w:tc>
          <w:tcPr>
            <w:tcW w:w="2540" w:type="dxa"/>
            <w:tcBorders>
              <w:top w:val="nil"/>
              <w:left w:val="nil"/>
              <w:bottom w:val="nil"/>
              <w:right w:val="nil"/>
            </w:tcBorders>
            <w:shd w:val="clear" w:color="auto" w:fill="auto"/>
            <w:noWrap/>
            <w:vAlign w:val="bottom"/>
            <w:hideMark/>
          </w:tcPr>
          <w:p w14:paraId="78C8E158" w14:textId="3C6BEC2C"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All Waves</w:t>
            </w:r>
          </w:p>
        </w:tc>
        <w:tc>
          <w:tcPr>
            <w:tcW w:w="2760" w:type="dxa"/>
            <w:tcBorders>
              <w:top w:val="nil"/>
              <w:left w:val="nil"/>
              <w:bottom w:val="nil"/>
              <w:right w:val="nil"/>
            </w:tcBorders>
            <w:shd w:val="clear" w:color="auto" w:fill="auto"/>
            <w:noWrap/>
            <w:vAlign w:val="bottom"/>
            <w:hideMark/>
          </w:tcPr>
          <w:p w14:paraId="4D79F5DD" w14:textId="6469553E"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w:t>
            </w:r>
            <w:r w:rsidR="00833D81" w:rsidRPr="00003B3D">
              <w:rPr>
                <w:rFonts w:ascii="Times New Roman" w:eastAsia="Times New Roman" w:hAnsi="Times New Roman" w:cs="Times New Roman"/>
                <w:color w:val="000000"/>
                <w:sz w:val="20"/>
                <w:szCs w:val="20"/>
              </w:rPr>
              <w:t>≤</w:t>
            </w:r>
            <w:r w:rsidRPr="008F140E">
              <w:rPr>
                <w:rFonts w:ascii="Times New Roman" w:eastAsia="Times New Roman" w:hAnsi="Times New Roman" w:cs="Times New Roman"/>
                <w:color w:val="000000"/>
                <w:sz w:val="20"/>
                <w:szCs w:val="20"/>
              </w:rPr>
              <w:t xml:space="preserve"> 201</w:t>
            </w:r>
            <w:r w:rsidR="00833D81" w:rsidRPr="00003B3D">
              <w:rPr>
                <w:rFonts w:ascii="Times New Roman" w:eastAsia="Times New Roman" w:hAnsi="Times New Roman" w:cs="Times New Roman"/>
                <w:color w:val="000000"/>
                <w:sz w:val="20"/>
                <w:szCs w:val="20"/>
              </w:rPr>
              <w:t>0</w:t>
            </w:r>
          </w:p>
        </w:tc>
        <w:tc>
          <w:tcPr>
            <w:tcW w:w="2000" w:type="dxa"/>
            <w:tcBorders>
              <w:top w:val="nil"/>
              <w:left w:val="nil"/>
              <w:bottom w:val="nil"/>
              <w:right w:val="nil"/>
            </w:tcBorders>
            <w:shd w:val="clear" w:color="auto" w:fill="auto"/>
            <w:noWrap/>
            <w:vAlign w:val="bottom"/>
            <w:hideMark/>
          </w:tcPr>
          <w:p w14:paraId="5AD9F3BA" w14:textId="3A88433D"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&gt; 2010</w:t>
            </w:r>
          </w:p>
        </w:tc>
      </w:tr>
      <w:tr w:rsidR="008F140E" w:rsidRPr="008F140E" w14:paraId="789CA173" w14:textId="77777777" w:rsidTr="008F140E">
        <w:trPr>
          <w:trHeight w:val="278"/>
        </w:trPr>
        <w:tc>
          <w:tcPr>
            <w:tcW w:w="2938" w:type="dxa"/>
            <w:tcBorders>
              <w:top w:val="nil"/>
              <w:left w:val="nil"/>
              <w:bottom w:val="single" w:sz="4" w:space="0" w:color="auto"/>
              <w:right w:val="nil"/>
            </w:tcBorders>
            <w:shd w:val="clear" w:color="auto" w:fill="auto"/>
            <w:noWrap/>
            <w:vAlign w:val="bottom"/>
            <w:hideMark/>
          </w:tcPr>
          <w:p w14:paraId="12F7FEE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 </w:t>
            </w:r>
          </w:p>
        </w:tc>
        <w:tc>
          <w:tcPr>
            <w:tcW w:w="2540" w:type="dxa"/>
            <w:tcBorders>
              <w:top w:val="nil"/>
              <w:left w:val="nil"/>
              <w:bottom w:val="single" w:sz="4" w:space="0" w:color="auto"/>
              <w:right w:val="nil"/>
            </w:tcBorders>
            <w:shd w:val="clear" w:color="auto" w:fill="auto"/>
            <w:noWrap/>
            <w:vAlign w:val="bottom"/>
            <w:hideMark/>
          </w:tcPr>
          <w:p w14:paraId="4EF98AB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760" w:type="dxa"/>
            <w:tcBorders>
              <w:top w:val="nil"/>
              <w:left w:val="nil"/>
              <w:bottom w:val="single" w:sz="4" w:space="0" w:color="auto"/>
              <w:right w:val="nil"/>
            </w:tcBorders>
            <w:shd w:val="clear" w:color="auto" w:fill="auto"/>
            <w:noWrap/>
            <w:vAlign w:val="bottom"/>
            <w:hideMark/>
          </w:tcPr>
          <w:p w14:paraId="564ADF2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000" w:type="dxa"/>
            <w:tcBorders>
              <w:top w:val="nil"/>
              <w:left w:val="nil"/>
              <w:bottom w:val="single" w:sz="4" w:space="0" w:color="auto"/>
              <w:right w:val="nil"/>
            </w:tcBorders>
            <w:shd w:val="clear" w:color="auto" w:fill="auto"/>
            <w:noWrap/>
            <w:vAlign w:val="bottom"/>
            <w:hideMark/>
          </w:tcPr>
          <w:p w14:paraId="115EB04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r>
      <w:tr w:rsidR="008F140E" w:rsidRPr="008F140E" w14:paraId="247F8C23" w14:textId="77777777" w:rsidTr="008F140E">
        <w:trPr>
          <w:trHeight w:val="285"/>
        </w:trPr>
        <w:tc>
          <w:tcPr>
            <w:tcW w:w="2938" w:type="dxa"/>
            <w:tcBorders>
              <w:top w:val="nil"/>
              <w:left w:val="nil"/>
              <w:bottom w:val="nil"/>
              <w:right w:val="nil"/>
            </w:tcBorders>
            <w:shd w:val="clear" w:color="auto" w:fill="auto"/>
            <w:noWrap/>
            <w:vAlign w:val="bottom"/>
            <w:hideMark/>
          </w:tcPr>
          <w:p w14:paraId="2BEAB1F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CRN</w:t>
            </w:r>
          </w:p>
        </w:tc>
        <w:tc>
          <w:tcPr>
            <w:tcW w:w="2540" w:type="dxa"/>
            <w:tcBorders>
              <w:top w:val="nil"/>
              <w:left w:val="nil"/>
              <w:bottom w:val="nil"/>
              <w:right w:val="nil"/>
            </w:tcBorders>
            <w:shd w:val="clear" w:color="auto" w:fill="auto"/>
            <w:noWrap/>
            <w:vAlign w:val="center"/>
            <w:hideMark/>
          </w:tcPr>
          <w:p w14:paraId="65B9131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1.182 (1.092 - 1.280)</w:t>
            </w:r>
          </w:p>
        </w:tc>
        <w:tc>
          <w:tcPr>
            <w:tcW w:w="2760" w:type="dxa"/>
            <w:tcBorders>
              <w:top w:val="nil"/>
              <w:left w:val="nil"/>
              <w:bottom w:val="nil"/>
              <w:right w:val="nil"/>
            </w:tcBorders>
            <w:shd w:val="clear" w:color="auto" w:fill="auto"/>
            <w:noWrap/>
            <w:vAlign w:val="center"/>
            <w:hideMark/>
          </w:tcPr>
          <w:p w14:paraId="081E171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1.223 (1.112 - 1.345)</w:t>
            </w:r>
          </w:p>
        </w:tc>
        <w:tc>
          <w:tcPr>
            <w:tcW w:w="2000" w:type="dxa"/>
            <w:tcBorders>
              <w:top w:val="nil"/>
              <w:left w:val="nil"/>
              <w:bottom w:val="nil"/>
              <w:right w:val="nil"/>
            </w:tcBorders>
            <w:shd w:val="clear" w:color="auto" w:fill="auto"/>
            <w:noWrap/>
            <w:vAlign w:val="center"/>
            <w:hideMark/>
          </w:tcPr>
          <w:p w14:paraId="0568E75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0.967 (0.797 - 1.173)</w:t>
            </w:r>
          </w:p>
        </w:tc>
      </w:tr>
      <w:tr w:rsidR="008F140E" w:rsidRPr="008F140E" w14:paraId="7D40807D" w14:textId="77777777" w:rsidTr="008F140E">
        <w:trPr>
          <w:trHeight w:val="278"/>
        </w:trPr>
        <w:tc>
          <w:tcPr>
            <w:tcW w:w="2938" w:type="dxa"/>
            <w:tcBorders>
              <w:top w:val="nil"/>
              <w:left w:val="nil"/>
              <w:bottom w:val="nil"/>
              <w:right w:val="nil"/>
            </w:tcBorders>
            <w:shd w:val="clear" w:color="000000" w:fill="FFFFFF"/>
            <w:noWrap/>
            <w:vAlign w:val="center"/>
            <w:hideMark/>
          </w:tcPr>
          <w:p w14:paraId="4C2FCF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Some College</w:t>
            </w:r>
          </w:p>
        </w:tc>
        <w:tc>
          <w:tcPr>
            <w:tcW w:w="2540" w:type="dxa"/>
            <w:tcBorders>
              <w:top w:val="nil"/>
              <w:left w:val="nil"/>
              <w:bottom w:val="nil"/>
              <w:right w:val="nil"/>
            </w:tcBorders>
            <w:shd w:val="clear" w:color="auto" w:fill="auto"/>
            <w:noWrap/>
            <w:vAlign w:val="center"/>
            <w:hideMark/>
          </w:tcPr>
          <w:p w14:paraId="6139BD2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0.955 (0.902 - 1.011)</w:t>
            </w:r>
          </w:p>
        </w:tc>
        <w:tc>
          <w:tcPr>
            <w:tcW w:w="2760" w:type="dxa"/>
            <w:tcBorders>
              <w:top w:val="nil"/>
              <w:left w:val="nil"/>
              <w:bottom w:val="nil"/>
              <w:right w:val="nil"/>
            </w:tcBorders>
            <w:shd w:val="clear" w:color="auto" w:fill="auto"/>
            <w:noWrap/>
            <w:vAlign w:val="center"/>
            <w:hideMark/>
          </w:tcPr>
          <w:p w14:paraId="7F1A106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0.940 (0.876 - 1.009)</w:t>
            </w:r>
          </w:p>
        </w:tc>
        <w:tc>
          <w:tcPr>
            <w:tcW w:w="2000" w:type="dxa"/>
            <w:tcBorders>
              <w:top w:val="nil"/>
              <w:left w:val="nil"/>
              <w:bottom w:val="nil"/>
              <w:right w:val="nil"/>
            </w:tcBorders>
            <w:shd w:val="clear" w:color="auto" w:fill="auto"/>
            <w:noWrap/>
            <w:vAlign w:val="center"/>
            <w:hideMark/>
          </w:tcPr>
          <w:p w14:paraId="25F32E3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0.884 (0.754 - 1.035)</w:t>
            </w:r>
          </w:p>
        </w:tc>
      </w:tr>
      <w:tr w:rsidR="008F140E" w:rsidRPr="008F140E" w14:paraId="4A97A161" w14:textId="77777777" w:rsidTr="008F140E">
        <w:trPr>
          <w:trHeight w:val="278"/>
        </w:trPr>
        <w:tc>
          <w:tcPr>
            <w:tcW w:w="2938" w:type="dxa"/>
            <w:tcBorders>
              <w:top w:val="nil"/>
              <w:left w:val="nil"/>
              <w:bottom w:val="nil"/>
              <w:right w:val="nil"/>
            </w:tcBorders>
            <w:shd w:val="clear" w:color="000000" w:fill="FFFFFF"/>
            <w:noWrap/>
            <w:vAlign w:val="center"/>
            <w:hideMark/>
          </w:tcPr>
          <w:p w14:paraId="2E8E486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College Degree</w:t>
            </w:r>
          </w:p>
        </w:tc>
        <w:tc>
          <w:tcPr>
            <w:tcW w:w="2540" w:type="dxa"/>
            <w:tcBorders>
              <w:top w:val="nil"/>
              <w:left w:val="nil"/>
              <w:bottom w:val="nil"/>
              <w:right w:val="nil"/>
            </w:tcBorders>
            <w:shd w:val="clear" w:color="auto" w:fill="auto"/>
            <w:noWrap/>
            <w:vAlign w:val="center"/>
            <w:hideMark/>
          </w:tcPr>
          <w:p w14:paraId="237D51B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0.806 (0.745 - 0.872)</w:t>
            </w:r>
          </w:p>
        </w:tc>
        <w:tc>
          <w:tcPr>
            <w:tcW w:w="2760" w:type="dxa"/>
            <w:tcBorders>
              <w:top w:val="nil"/>
              <w:left w:val="nil"/>
              <w:bottom w:val="nil"/>
              <w:right w:val="nil"/>
            </w:tcBorders>
            <w:shd w:val="clear" w:color="auto" w:fill="auto"/>
            <w:noWrap/>
            <w:vAlign w:val="center"/>
            <w:hideMark/>
          </w:tcPr>
          <w:p w14:paraId="19B5BF3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0.785 (0.712 - 0.866)</w:t>
            </w:r>
          </w:p>
        </w:tc>
        <w:tc>
          <w:tcPr>
            <w:tcW w:w="2000" w:type="dxa"/>
            <w:tcBorders>
              <w:top w:val="nil"/>
              <w:left w:val="nil"/>
              <w:bottom w:val="nil"/>
              <w:right w:val="nil"/>
            </w:tcBorders>
            <w:shd w:val="clear" w:color="auto" w:fill="auto"/>
            <w:noWrap/>
            <w:vAlign w:val="center"/>
            <w:hideMark/>
          </w:tcPr>
          <w:p w14:paraId="6C74741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0.699 (0.559 - 0.874)</w:t>
            </w:r>
          </w:p>
        </w:tc>
      </w:tr>
      <w:tr w:rsidR="008F140E" w:rsidRPr="008F140E" w14:paraId="3C01093A" w14:textId="77777777" w:rsidTr="008F140E">
        <w:trPr>
          <w:trHeight w:val="278"/>
        </w:trPr>
        <w:tc>
          <w:tcPr>
            <w:tcW w:w="2938" w:type="dxa"/>
            <w:tcBorders>
              <w:top w:val="nil"/>
              <w:left w:val="nil"/>
              <w:bottom w:val="nil"/>
              <w:right w:val="nil"/>
            </w:tcBorders>
            <w:shd w:val="clear" w:color="000000" w:fill="FFFFFF"/>
            <w:noWrap/>
            <w:vAlign w:val="center"/>
            <w:hideMark/>
          </w:tcPr>
          <w:p w14:paraId="3616D11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Age</w:t>
            </w:r>
          </w:p>
        </w:tc>
        <w:tc>
          <w:tcPr>
            <w:tcW w:w="2540" w:type="dxa"/>
            <w:tcBorders>
              <w:top w:val="nil"/>
              <w:left w:val="nil"/>
              <w:bottom w:val="nil"/>
              <w:right w:val="nil"/>
            </w:tcBorders>
            <w:shd w:val="clear" w:color="auto" w:fill="auto"/>
            <w:noWrap/>
            <w:vAlign w:val="center"/>
            <w:hideMark/>
          </w:tcPr>
          <w:p w14:paraId="24604AC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1.061 (1.059 - 1.064)</w:t>
            </w:r>
          </w:p>
        </w:tc>
        <w:tc>
          <w:tcPr>
            <w:tcW w:w="2760" w:type="dxa"/>
            <w:tcBorders>
              <w:top w:val="nil"/>
              <w:left w:val="nil"/>
              <w:bottom w:val="nil"/>
              <w:right w:val="nil"/>
            </w:tcBorders>
            <w:shd w:val="clear" w:color="auto" w:fill="auto"/>
            <w:noWrap/>
            <w:vAlign w:val="center"/>
            <w:hideMark/>
          </w:tcPr>
          <w:p w14:paraId="1D22867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1.062 (1.059 - 1.065)</w:t>
            </w:r>
          </w:p>
        </w:tc>
        <w:tc>
          <w:tcPr>
            <w:tcW w:w="2000" w:type="dxa"/>
            <w:tcBorders>
              <w:top w:val="nil"/>
              <w:left w:val="nil"/>
              <w:bottom w:val="nil"/>
              <w:right w:val="nil"/>
            </w:tcBorders>
            <w:shd w:val="clear" w:color="auto" w:fill="auto"/>
            <w:noWrap/>
            <w:vAlign w:val="center"/>
            <w:hideMark/>
          </w:tcPr>
          <w:p w14:paraId="508C937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1.064 (1.056 - 1.073)</w:t>
            </w:r>
          </w:p>
        </w:tc>
      </w:tr>
      <w:tr w:rsidR="008F140E" w:rsidRPr="008F140E" w14:paraId="4C79DF6F" w14:textId="77777777" w:rsidTr="008F140E">
        <w:trPr>
          <w:trHeight w:val="278"/>
        </w:trPr>
        <w:tc>
          <w:tcPr>
            <w:tcW w:w="2938" w:type="dxa"/>
            <w:tcBorders>
              <w:top w:val="nil"/>
              <w:left w:val="nil"/>
              <w:bottom w:val="nil"/>
              <w:right w:val="nil"/>
            </w:tcBorders>
            <w:shd w:val="clear" w:color="000000" w:fill="FFFFFF"/>
            <w:noWrap/>
            <w:vAlign w:val="center"/>
            <w:hideMark/>
          </w:tcPr>
          <w:p w14:paraId="0ECBD23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$20,000 to &lt; $45,000</w:t>
            </w:r>
          </w:p>
        </w:tc>
        <w:tc>
          <w:tcPr>
            <w:tcW w:w="2540" w:type="dxa"/>
            <w:tcBorders>
              <w:top w:val="nil"/>
              <w:left w:val="nil"/>
              <w:bottom w:val="nil"/>
              <w:right w:val="nil"/>
            </w:tcBorders>
            <w:shd w:val="clear" w:color="auto" w:fill="auto"/>
            <w:noWrap/>
            <w:vAlign w:val="center"/>
            <w:hideMark/>
          </w:tcPr>
          <w:p w14:paraId="3C4D0B4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0.904 (0.848 - 0.962)</w:t>
            </w:r>
          </w:p>
        </w:tc>
        <w:tc>
          <w:tcPr>
            <w:tcW w:w="2760" w:type="dxa"/>
            <w:tcBorders>
              <w:top w:val="nil"/>
              <w:left w:val="nil"/>
              <w:bottom w:val="nil"/>
              <w:right w:val="nil"/>
            </w:tcBorders>
            <w:shd w:val="clear" w:color="auto" w:fill="auto"/>
            <w:noWrap/>
            <w:vAlign w:val="center"/>
            <w:hideMark/>
          </w:tcPr>
          <w:p w14:paraId="72B7A26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0.919 (0.854 - 0.989)</w:t>
            </w:r>
          </w:p>
        </w:tc>
        <w:tc>
          <w:tcPr>
            <w:tcW w:w="2000" w:type="dxa"/>
            <w:tcBorders>
              <w:top w:val="nil"/>
              <w:left w:val="nil"/>
              <w:bottom w:val="nil"/>
              <w:right w:val="nil"/>
            </w:tcBorders>
            <w:shd w:val="clear" w:color="auto" w:fill="auto"/>
            <w:noWrap/>
            <w:vAlign w:val="center"/>
            <w:hideMark/>
          </w:tcPr>
          <w:p w14:paraId="09DF097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1.106 (0.937 - 1.306)</w:t>
            </w:r>
          </w:p>
        </w:tc>
      </w:tr>
      <w:tr w:rsidR="008F140E" w:rsidRPr="008F140E" w14:paraId="3822A0FB" w14:textId="77777777" w:rsidTr="008F140E">
        <w:trPr>
          <w:trHeight w:val="278"/>
        </w:trPr>
        <w:tc>
          <w:tcPr>
            <w:tcW w:w="2938" w:type="dxa"/>
            <w:tcBorders>
              <w:top w:val="nil"/>
              <w:left w:val="nil"/>
              <w:bottom w:val="nil"/>
              <w:right w:val="nil"/>
            </w:tcBorders>
            <w:shd w:val="clear" w:color="000000" w:fill="FFFFFF"/>
            <w:noWrap/>
            <w:vAlign w:val="center"/>
            <w:hideMark/>
          </w:tcPr>
          <w:p w14:paraId="7A7D85AE"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$45,000 to &lt; $65,000</w:t>
            </w:r>
          </w:p>
        </w:tc>
        <w:tc>
          <w:tcPr>
            <w:tcW w:w="2540" w:type="dxa"/>
            <w:tcBorders>
              <w:top w:val="nil"/>
              <w:left w:val="nil"/>
              <w:bottom w:val="nil"/>
              <w:right w:val="nil"/>
            </w:tcBorders>
            <w:shd w:val="clear" w:color="auto" w:fill="auto"/>
            <w:noWrap/>
            <w:vAlign w:val="center"/>
            <w:hideMark/>
          </w:tcPr>
          <w:p w14:paraId="3C7E54A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0.763 (0.710 - 0.820)</w:t>
            </w:r>
          </w:p>
        </w:tc>
        <w:tc>
          <w:tcPr>
            <w:tcW w:w="2760" w:type="dxa"/>
            <w:tcBorders>
              <w:top w:val="nil"/>
              <w:left w:val="nil"/>
              <w:bottom w:val="nil"/>
              <w:right w:val="nil"/>
            </w:tcBorders>
            <w:shd w:val="clear" w:color="auto" w:fill="auto"/>
            <w:noWrap/>
            <w:vAlign w:val="center"/>
            <w:hideMark/>
          </w:tcPr>
          <w:p w14:paraId="55836369"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0.792 (0.725 - 0.865)</w:t>
            </w:r>
          </w:p>
        </w:tc>
        <w:tc>
          <w:tcPr>
            <w:tcW w:w="2000" w:type="dxa"/>
            <w:tcBorders>
              <w:top w:val="nil"/>
              <w:left w:val="nil"/>
              <w:bottom w:val="nil"/>
              <w:right w:val="nil"/>
            </w:tcBorders>
            <w:shd w:val="clear" w:color="auto" w:fill="auto"/>
            <w:noWrap/>
            <w:vAlign w:val="center"/>
            <w:hideMark/>
          </w:tcPr>
          <w:p w14:paraId="2C89A8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1.005 (0.841 - 1.202)</w:t>
            </w:r>
          </w:p>
        </w:tc>
      </w:tr>
      <w:tr w:rsidR="008F140E" w:rsidRPr="008F140E" w14:paraId="2BF68678" w14:textId="77777777" w:rsidTr="008F140E">
        <w:trPr>
          <w:trHeight w:val="278"/>
        </w:trPr>
        <w:tc>
          <w:tcPr>
            <w:tcW w:w="2938" w:type="dxa"/>
            <w:tcBorders>
              <w:top w:val="nil"/>
              <w:left w:val="nil"/>
              <w:bottom w:val="nil"/>
              <w:right w:val="nil"/>
            </w:tcBorders>
            <w:shd w:val="clear" w:color="000000" w:fill="FFFFFF"/>
            <w:noWrap/>
            <w:vAlign w:val="center"/>
            <w:hideMark/>
          </w:tcPr>
          <w:p w14:paraId="238693F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$65,000 to &lt; $85,000</w:t>
            </w:r>
          </w:p>
        </w:tc>
        <w:tc>
          <w:tcPr>
            <w:tcW w:w="2540" w:type="dxa"/>
            <w:tcBorders>
              <w:top w:val="nil"/>
              <w:left w:val="nil"/>
              <w:bottom w:val="nil"/>
              <w:right w:val="nil"/>
            </w:tcBorders>
            <w:shd w:val="clear" w:color="auto" w:fill="auto"/>
            <w:noWrap/>
            <w:vAlign w:val="center"/>
            <w:hideMark/>
          </w:tcPr>
          <w:p w14:paraId="7CE6B82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0.646 (0.585 - 0.713)</w:t>
            </w:r>
          </w:p>
        </w:tc>
        <w:tc>
          <w:tcPr>
            <w:tcW w:w="2760" w:type="dxa"/>
            <w:tcBorders>
              <w:top w:val="nil"/>
              <w:left w:val="nil"/>
              <w:bottom w:val="nil"/>
              <w:right w:val="nil"/>
            </w:tcBorders>
            <w:shd w:val="clear" w:color="auto" w:fill="auto"/>
            <w:noWrap/>
            <w:vAlign w:val="center"/>
            <w:hideMark/>
          </w:tcPr>
          <w:p w14:paraId="3A33991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0.662 (0.589 - 0.743)</w:t>
            </w:r>
          </w:p>
        </w:tc>
        <w:tc>
          <w:tcPr>
            <w:tcW w:w="2000" w:type="dxa"/>
            <w:tcBorders>
              <w:top w:val="nil"/>
              <w:left w:val="nil"/>
              <w:bottom w:val="nil"/>
              <w:right w:val="nil"/>
            </w:tcBorders>
            <w:shd w:val="clear" w:color="auto" w:fill="auto"/>
            <w:noWrap/>
            <w:vAlign w:val="center"/>
            <w:hideMark/>
          </w:tcPr>
          <w:p w14:paraId="6884066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0.987 (0.754 - 1.292)</w:t>
            </w:r>
          </w:p>
        </w:tc>
      </w:tr>
      <w:tr w:rsidR="008F140E" w:rsidRPr="008F140E" w14:paraId="4A0FE31D" w14:textId="77777777" w:rsidTr="008F140E">
        <w:trPr>
          <w:trHeight w:val="278"/>
        </w:trPr>
        <w:tc>
          <w:tcPr>
            <w:tcW w:w="2938" w:type="dxa"/>
            <w:tcBorders>
              <w:top w:val="nil"/>
              <w:left w:val="nil"/>
              <w:bottom w:val="nil"/>
              <w:right w:val="nil"/>
            </w:tcBorders>
            <w:shd w:val="clear" w:color="000000" w:fill="FFFFFF"/>
            <w:noWrap/>
            <w:vAlign w:val="center"/>
            <w:hideMark/>
          </w:tcPr>
          <w:p w14:paraId="2B91766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$85,000 to &lt; $100,000</w:t>
            </w:r>
          </w:p>
        </w:tc>
        <w:tc>
          <w:tcPr>
            <w:tcW w:w="2540" w:type="dxa"/>
            <w:tcBorders>
              <w:top w:val="nil"/>
              <w:left w:val="nil"/>
              <w:bottom w:val="nil"/>
              <w:right w:val="nil"/>
            </w:tcBorders>
            <w:shd w:val="clear" w:color="auto" w:fill="auto"/>
            <w:noWrap/>
            <w:vAlign w:val="center"/>
            <w:hideMark/>
          </w:tcPr>
          <w:p w14:paraId="0677E18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(0.336 - 0.591)</w:t>
            </w:r>
          </w:p>
        </w:tc>
        <w:tc>
          <w:tcPr>
            <w:tcW w:w="2760" w:type="dxa"/>
            <w:tcBorders>
              <w:top w:val="nil"/>
              <w:left w:val="nil"/>
              <w:bottom w:val="nil"/>
              <w:right w:val="nil"/>
            </w:tcBorders>
            <w:shd w:val="clear" w:color="auto" w:fill="auto"/>
            <w:noWrap/>
            <w:vAlign w:val="center"/>
            <w:hideMark/>
          </w:tcPr>
          <w:p w14:paraId="4012B90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(0.280 - 0.710)</w:t>
            </w:r>
          </w:p>
        </w:tc>
        <w:tc>
          <w:tcPr>
            <w:tcW w:w="2000" w:type="dxa"/>
            <w:tcBorders>
              <w:top w:val="nil"/>
              <w:left w:val="nil"/>
              <w:bottom w:val="nil"/>
              <w:right w:val="nil"/>
            </w:tcBorders>
            <w:shd w:val="clear" w:color="auto" w:fill="auto"/>
            <w:noWrap/>
            <w:vAlign w:val="center"/>
            <w:hideMark/>
          </w:tcPr>
          <w:p w14:paraId="2952017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0.633 (0.428 - 0.935)</w:t>
            </w:r>
          </w:p>
        </w:tc>
      </w:tr>
      <w:tr w:rsidR="008F140E" w:rsidRPr="008F140E" w14:paraId="6AD56F27" w14:textId="77777777" w:rsidTr="008F140E">
        <w:trPr>
          <w:trHeight w:val="278"/>
        </w:trPr>
        <w:tc>
          <w:tcPr>
            <w:tcW w:w="2938" w:type="dxa"/>
            <w:tcBorders>
              <w:top w:val="nil"/>
              <w:left w:val="nil"/>
              <w:bottom w:val="nil"/>
              <w:right w:val="nil"/>
            </w:tcBorders>
            <w:shd w:val="clear" w:color="000000" w:fill="FFFFFF"/>
            <w:noWrap/>
            <w:vAlign w:val="center"/>
            <w:hideMark/>
          </w:tcPr>
          <w:p w14:paraId="5E88AD0B"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$100,000 or more</w:t>
            </w:r>
          </w:p>
        </w:tc>
        <w:tc>
          <w:tcPr>
            <w:tcW w:w="2540" w:type="dxa"/>
            <w:tcBorders>
              <w:top w:val="nil"/>
              <w:left w:val="nil"/>
              <w:bottom w:val="nil"/>
              <w:right w:val="nil"/>
            </w:tcBorders>
            <w:shd w:val="clear" w:color="auto" w:fill="auto"/>
            <w:noWrap/>
            <w:vAlign w:val="center"/>
            <w:hideMark/>
          </w:tcPr>
          <w:p w14:paraId="3C63733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0.611 (0.505 - 0.739)</w:t>
            </w:r>
          </w:p>
        </w:tc>
        <w:tc>
          <w:tcPr>
            <w:tcW w:w="2760" w:type="dxa"/>
            <w:tcBorders>
              <w:top w:val="nil"/>
              <w:left w:val="nil"/>
              <w:bottom w:val="nil"/>
              <w:right w:val="nil"/>
            </w:tcBorders>
            <w:shd w:val="clear" w:color="auto" w:fill="auto"/>
            <w:noWrap/>
            <w:vAlign w:val="center"/>
            <w:hideMark/>
          </w:tcPr>
          <w:p w14:paraId="4E47ADE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0.549 (0.406 - 0.743)</w:t>
            </w:r>
          </w:p>
        </w:tc>
        <w:tc>
          <w:tcPr>
            <w:tcW w:w="2000" w:type="dxa"/>
            <w:tcBorders>
              <w:top w:val="nil"/>
              <w:left w:val="nil"/>
              <w:bottom w:val="nil"/>
              <w:right w:val="nil"/>
            </w:tcBorders>
            <w:shd w:val="clear" w:color="auto" w:fill="auto"/>
            <w:noWrap/>
            <w:vAlign w:val="center"/>
            <w:hideMark/>
          </w:tcPr>
          <w:p w14:paraId="2EE6E469"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0.859 (0.627 - 1.176)</w:t>
            </w:r>
          </w:p>
        </w:tc>
      </w:tr>
      <w:tr w:rsidR="008F140E" w:rsidRPr="008F140E" w14:paraId="0AEE3BCB" w14:textId="77777777" w:rsidTr="008F140E">
        <w:trPr>
          <w:trHeight w:val="278"/>
        </w:trPr>
        <w:tc>
          <w:tcPr>
            <w:tcW w:w="2938" w:type="dxa"/>
            <w:tcBorders>
              <w:top w:val="nil"/>
              <w:left w:val="nil"/>
              <w:bottom w:val="nil"/>
              <w:right w:val="nil"/>
            </w:tcBorders>
            <w:shd w:val="clear" w:color="auto" w:fill="auto"/>
            <w:noWrap/>
            <w:vAlign w:val="bottom"/>
            <w:hideMark/>
          </w:tcPr>
          <w:p w14:paraId="1916114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Female Sex</w:t>
            </w:r>
          </w:p>
        </w:tc>
        <w:tc>
          <w:tcPr>
            <w:tcW w:w="2540" w:type="dxa"/>
            <w:tcBorders>
              <w:top w:val="nil"/>
              <w:left w:val="nil"/>
              <w:bottom w:val="nil"/>
              <w:right w:val="nil"/>
            </w:tcBorders>
            <w:shd w:val="clear" w:color="auto" w:fill="auto"/>
            <w:noWrap/>
            <w:vAlign w:val="center"/>
            <w:hideMark/>
          </w:tcPr>
          <w:p w14:paraId="7EA25A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0.696 (0.663 - 0.729)</w:t>
            </w:r>
          </w:p>
        </w:tc>
        <w:tc>
          <w:tcPr>
            <w:tcW w:w="2760" w:type="dxa"/>
            <w:tcBorders>
              <w:top w:val="nil"/>
              <w:left w:val="nil"/>
              <w:bottom w:val="nil"/>
              <w:right w:val="nil"/>
            </w:tcBorders>
            <w:shd w:val="clear" w:color="auto" w:fill="auto"/>
            <w:noWrap/>
            <w:vAlign w:val="center"/>
            <w:hideMark/>
          </w:tcPr>
          <w:p w14:paraId="356DAB6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0.705 (0.665 - 0.747)</w:t>
            </w:r>
          </w:p>
        </w:tc>
        <w:tc>
          <w:tcPr>
            <w:tcW w:w="2000" w:type="dxa"/>
            <w:tcBorders>
              <w:top w:val="nil"/>
              <w:left w:val="nil"/>
              <w:bottom w:val="nil"/>
              <w:right w:val="nil"/>
            </w:tcBorders>
            <w:shd w:val="clear" w:color="auto" w:fill="auto"/>
            <w:noWrap/>
            <w:vAlign w:val="center"/>
            <w:hideMark/>
          </w:tcPr>
          <w:p w14:paraId="4B54AF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0.729 (0.645 - 0.825)</w:t>
            </w:r>
          </w:p>
        </w:tc>
      </w:tr>
      <w:tr w:rsidR="008F140E" w:rsidRPr="008F140E" w14:paraId="72C35AB9" w14:textId="77777777" w:rsidTr="008F140E">
        <w:trPr>
          <w:trHeight w:val="278"/>
        </w:trPr>
        <w:tc>
          <w:tcPr>
            <w:tcW w:w="2938" w:type="dxa"/>
            <w:tcBorders>
              <w:top w:val="nil"/>
              <w:left w:val="nil"/>
              <w:bottom w:val="nil"/>
              <w:right w:val="nil"/>
            </w:tcBorders>
            <w:shd w:val="clear" w:color="000000" w:fill="FFFFFF"/>
            <w:noWrap/>
            <w:vAlign w:val="center"/>
            <w:hideMark/>
          </w:tcPr>
          <w:p w14:paraId="707897A9"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Public Insurance</w:t>
            </w:r>
          </w:p>
        </w:tc>
        <w:tc>
          <w:tcPr>
            <w:tcW w:w="2540" w:type="dxa"/>
            <w:tcBorders>
              <w:top w:val="nil"/>
              <w:left w:val="nil"/>
              <w:bottom w:val="nil"/>
              <w:right w:val="nil"/>
            </w:tcBorders>
            <w:shd w:val="clear" w:color="auto" w:fill="auto"/>
            <w:noWrap/>
            <w:vAlign w:val="center"/>
            <w:hideMark/>
          </w:tcPr>
          <w:p w14:paraId="5D5F2215"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1.434 (1.257 - 1.634)</w:t>
            </w:r>
          </w:p>
        </w:tc>
        <w:tc>
          <w:tcPr>
            <w:tcW w:w="2760" w:type="dxa"/>
            <w:tcBorders>
              <w:top w:val="nil"/>
              <w:left w:val="nil"/>
              <w:bottom w:val="nil"/>
              <w:right w:val="nil"/>
            </w:tcBorders>
            <w:shd w:val="clear" w:color="auto" w:fill="auto"/>
            <w:noWrap/>
            <w:vAlign w:val="center"/>
            <w:hideMark/>
          </w:tcPr>
          <w:p w14:paraId="25AB6AD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1.512 (1.298 - 1.760)</w:t>
            </w:r>
          </w:p>
        </w:tc>
        <w:tc>
          <w:tcPr>
            <w:tcW w:w="2000" w:type="dxa"/>
            <w:tcBorders>
              <w:top w:val="nil"/>
              <w:left w:val="nil"/>
              <w:bottom w:val="nil"/>
              <w:right w:val="nil"/>
            </w:tcBorders>
            <w:shd w:val="clear" w:color="auto" w:fill="auto"/>
            <w:noWrap/>
            <w:vAlign w:val="center"/>
            <w:hideMark/>
          </w:tcPr>
          <w:p w14:paraId="3C2F04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1.529 (1.100 - 2.125)</w:t>
            </w:r>
          </w:p>
        </w:tc>
      </w:tr>
      <w:tr w:rsidR="008F140E" w:rsidRPr="008F140E" w14:paraId="4BD5023A" w14:textId="77777777" w:rsidTr="008F140E">
        <w:trPr>
          <w:trHeight w:val="278"/>
        </w:trPr>
        <w:tc>
          <w:tcPr>
            <w:tcW w:w="2938" w:type="dxa"/>
            <w:tcBorders>
              <w:top w:val="nil"/>
              <w:left w:val="nil"/>
              <w:bottom w:val="nil"/>
              <w:right w:val="nil"/>
            </w:tcBorders>
            <w:shd w:val="clear" w:color="000000" w:fill="FFFFFF"/>
            <w:noWrap/>
            <w:vAlign w:val="center"/>
            <w:hideMark/>
          </w:tcPr>
          <w:p w14:paraId="4B7C69F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Private Insurance</w:t>
            </w:r>
          </w:p>
        </w:tc>
        <w:tc>
          <w:tcPr>
            <w:tcW w:w="2540" w:type="dxa"/>
            <w:tcBorders>
              <w:top w:val="nil"/>
              <w:left w:val="nil"/>
              <w:bottom w:val="nil"/>
              <w:right w:val="nil"/>
            </w:tcBorders>
            <w:shd w:val="clear" w:color="auto" w:fill="auto"/>
            <w:noWrap/>
            <w:vAlign w:val="center"/>
            <w:hideMark/>
          </w:tcPr>
          <w:p w14:paraId="7EFACF4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1.014 (0.897 - 1.147)</w:t>
            </w:r>
          </w:p>
        </w:tc>
        <w:tc>
          <w:tcPr>
            <w:tcW w:w="2760" w:type="dxa"/>
            <w:tcBorders>
              <w:top w:val="nil"/>
              <w:left w:val="nil"/>
              <w:bottom w:val="nil"/>
              <w:right w:val="nil"/>
            </w:tcBorders>
            <w:shd w:val="clear" w:color="auto" w:fill="auto"/>
            <w:noWrap/>
            <w:vAlign w:val="center"/>
            <w:hideMark/>
          </w:tcPr>
          <w:p w14:paraId="76EE8B64"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1.019 (0.883 - 1.175)</w:t>
            </w:r>
          </w:p>
        </w:tc>
        <w:tc>
          <w:tcPr>
            <w:tcW w:w="2000" w:type="dxa"/>
            <w:tcBorders>
              <w:top w:val="nil"/>
              <w:left w:val="nil"/>
              <w:bottom w:val="nil"/>
              <w:right w:val="nil"/>
            </w:tcBorders>
            <w:shd w:val="clear" w:color="auto" w:fill="auto"/>
            <w:noWrap/>
            <w:vAlign w:val="center"/>
            <w:hideMark/>
          </w:tcPr>
          <w:p w14:paraId="386668F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0.949 (0.683 - 1.320)</w:t>
            </w:r>
          </w:p>
        </w:tc>
      </w:tr>
      <w:tr w:rsidR="008F140E" w:rsidRPr="008F140E" w14:paraId="0C27B535" w14:textId="77777777" w:rsidTr="008F140E">
        <w:trPr>
          <w:trHeight w:val="278"/>
        </w:trPr>
        <w:tc>
          <w:tcPr>
            <w:tcW w:w="2938" w:type="dxa"/>
            <w:tcBorders>
              <w:top w:val="nil"/>
              <w:left w:val="nil"/>
              <w:bottom w:val="nil"/>
              <w:right w:val="nil"/>
            </w:tcBorders>
            <w:shd w:val="clear" w:color="000000" w:fill="FFFFFF"/>
            <w:noWrap/>
            <w:vAlign w:val="center"/>
            <w:hideMark/>
          </w:tcPr>
          <w:p w14:paraId="45C33DA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Military</w:t>
            </w:r>
          </w:p>
        </w:tc>
        <w:tc>
          <w:tcPr>
            <w:tcW w:w="2540" w:type="dxa"/>
            <w:tcBorders>
              <w:top w:val="nil"/>
              <w:left w:val="nil"/>
              <w:bottom w:val="nil"/>
              <w:right w:val="nil"/>
            </w:tcBorders>
            <w:shd w:val="clear" w:color="auto" w:fill="auto"/>
            <w:noWrap/>
            <w:vAlign w:val="center"/>
            <w:hideMark/>
          </w:tcPr>
          <w:p w14:paraId="6E209CD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1.212 (1.031 - 1.425)</w:t>
            </w:r>
          </w:p>
        </w:tc>
        <w:tc>
          <w:tcPr>
            <w:tcW w:w="2760" w:type="dxa"/>
            <w:tcBorders>
              <w:top w:val="nil"/>
              <w:left w:val="nil"/>
              <w:bottom w:val="nil"/>
              <w:right w:val="nil"/>
            </w:tcBorders>
            <w:shd w:val="clear" w:color="auto" w:fill="auto"/>
            <w:noWrap/>
            <w:vAlign w:val="center"/>
            <w:hideMark/>
          </w:tcPr>
          <w:p w14:paraId="742E8D6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1.258 (1.034 - 1.530)</w:t>
            </w:r>
          </w:p>
        </w:tc>
        <w:tc>
          <w:tcPr>
            <w:tcW w:w="2000" w:type="dxa"/>
            <w:tcBorders>
              <w:top w:val="nil"/>
              <w:left w:val="nil"/>
              <w:bottom w:val="nil"/>
              <w:right w:val="nil"/>
            </w:tcBorders>
            <w:shd w:val="clear" w:color="auto" w:fill="auto"/>
            <w:noWrap/>
            <w:vAlign w:val="center"/>
            <w:hideMark/>
          </w:tcPr>
          <w:p w14:paraId="38F4387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1.161 (0.774 - 1.743)</w:t>
            </w:r>
          </w:p>
        </w:tc>
      </w:tr>
      <w:tr w:rsidR="008F140E" w:rsidRPr="008F140E" w14:paraId="67421B3C" w14:textId="77777777" w:rsidTr="008F140E">
        <w:trPr>
          <w:trHeight w:val="278"/>
        </w:trPr>
        <w:tc>
          <w:tcPr>
            <w:tcW w:w="2938" w:type="dxa"/>
            <w:tcBorders>
              <w:top w:val="nil"/>
              <w:left w:val="nil"/>
              <w:bottom w:val="nil"/>
              <w:right w:val="nil"/>
            </w:tcBorders>
            <w:shd w:val="clear" w:color="000000" w:fill="FFFFFF"/>
            <w:noWrap/>
            <w:vAlign w:val="center"/>
            <w:hideMark/>
          </w:tcPr>
          <w:p w14:paraId="6A5F62A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Medicare</w:t>
            </w:r>
          </w:p>
        </w:tc>
        <w:tc>
          <w:tcPr>
            <w:tcW w:w="2540" w:type="dxa"/>
            <w:tcBorders>
              <w:top w:val="nil"/>
              <w:left w:val="nil"/>
              <w:bottom w:val="nil"/>
              <w:right w:val="nil"/>
            </w:tcBorders>
            <w:shd w:val="clear" w:color="auto" w:fill="auto"/>
            <w:noWrap/>
            <w:vAlign w:val="center"/>
            <w:hideMark/>
          </w:tcPr>
          <w:p w14:paraId="6858ADE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1.156 (1.014 - 1.317)</w:t>
            </w:r>
          </w:p>
        </w:tc>
        <w:tc>
          <w:tcPr>
            <w:tcW w:w="2760" w:type="dxa"/>
            <w:tcBorders>
              <w:top w:val="nil"/>
              <w:left w:val="nil"/>
              <w:bottom w:val="nil"/>
              <w:right w:val="nil"/>
            </w:tcBorders>
            <w:shd w:val="clear" w:color="auto" w:fill="auto"/>
            <w:noWrap/>
            <w:vAlign w:val="center"/>
            <w:hideMark/>
          </w:tcPr>
          <w:p w14:paraId="2D14862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1.181 (1.016 - 1.372)</w:t>
            </w:r>
          </w:p>
        </w:tc>
        <w:tc>
          <w:tcPr>
            <w:tcW w:w="2000" w:type="dxa"/>
            <w:tcBorders>
              <w:top w:val="nil"/>
              <w:left w:val="nil"/>
              <w:bottom w:val="nil"/>
              <w:right w:val="nil"/>
            </w:tcBorders>
            <w:shd w:val="clear" w:color="auto" w:fill="auto"/>
            <w:noWrap/>
            <w:vAlign w:val="center"/>
            <w:hideMark/>
          </w:tcPr>
          <w:p w14:paraId="076C77F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1.247 (0.881 - 1.766)</w:t>
            </w:r>
          </w:p>
        </w:tc>
      </w:tr>
      <w:tr w:rsidR="008F140E" w:rsidRPr="008F140E" w14:paraId="532F497E" w14:textId="77777777" w:rsidTr="008F140E">
        <w:trPr>
          <w:trHeight w:val="278"/>
        </w:trPr>
        <w:tc>
          <w:tcPr>
            <w:tcW w:w="2938" w:type="dxa"/>
            <w:tcBorders>
              <w:top w:val="nil"/>
              <w:left w:val="nil"/>
              <w:bottom w:val="nil"/>
              <w:right w:val="nil"/>
            </w:tcBorders>
            <w:shd w:val="clear" w:color="000000" w:fill="FFFFFF"/>
            <w:noWrap/>
            <w:vAlign w:val="center"/>
            <w:hideMark/>
          </w:tcPr>
          <w:p w14:paraId="6E1BBFF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39A0212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1.048 (0.740 - 1.485)</w:t>
            </w:r>
          </w:p>
        </w:tc>
        <w:tc>
          <w:tcPr>
            <w:tcW w:w="2760" w:type="dxa"/>
            <w:tcBorders>
              <w:top w:val="nil"/>
              <w:left w:val="nil"/>
              <w:bottom w:val="nil"/>
              <w:right w:val="nil"/>
            </w:tcBorders>
            <w:shd w:val="clear" w:color="auto" w:fill="auto"/>
            <w:noWrap/>
            <w:vAlign w:val="center"/>
            <w:hideMark/>
          </w:tcPr>
          <w:p w14:paraId="4F2588E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1.257 (0.883 - 1.790)</w:t>
            </w:r>
          </w:p>
        </w:tc>
        <w:tc>
          <w:tcPr>
            <w:tcW w:w="2000" w:type="dxa"/>
            <w:tcBorders>
              <w:top w:val="nil"/>
              <w:left w:val="nil"/>
              <w:bottom w:val="nil"/>
              <w:right w:val="nil"/>
            </w:tcBorders>
            <w:shd w:val="clear" w:color="auto" w:fill="auto"/>
            <w:noWrap/>
            <w:vAlign w:val="center"/>
            <w:hideMark/>
          </w:tcPr>
          <w:p w14:paraId="6E01B95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0.931 (0.116 - 7.456)</w:t>
            </w:r>
          </w:p>
        </w:tc>
      </w:tr>
      <w:tr w:rsidR="008F140E" w:rsidRPr="008F140E" w14:paraId="29A54A53" w14:textId="77777777" w:rsidTr="008F140E">
        <w:trPr>
          <w:trHeight w:val="278"/>
        </w:trPr>
        <w:tc>
          <w:tcPr>
            <w:tcW w:w="2938" w:type="dxa"/>
            <w:tcBorders>
              <w:top w:val="nil"/>
              <w:left w:val="nil"/>
              <w:bottom w:val="nil"/>
              <w:right w:val="nil"/>
            </w:tcBorders>
            <w:shd w:val="clear" w:color="000000" w:fill="FFFFFF"/>
            <w:noWrap/>
            <w:vAlign w:val="center"/>
            <w:hideMark/>
          </w:tcPr>
          <w:p w14:paraId="5823445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Black</w:t>
            </w:r>
          </w:p>
        </w:tc>
        <w:tc>
          <w:tcPr>
            <w:tcW w:w="2540" w:type="dxa"/>
            <w:tcBorders>
              <w:top w:val="nil"/>
              <w:left w:val="nil"/>
              <w:bottom w:val="nil"/>
              <w:right w:val="nil"/>
            </w:tcBorders>
            <w:shd w:val="clear" w:color="auto" w:fill="auto"/>
            <w:noWrap/>
            <w:vAlign w:val="center"/>
            <w:hideMark/>
          </w:tcPr>
          <w:p w14:paraId="5C02523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0.906 (0.851 - 0.965)</w:t>
            </w:r>
          </w:p>
        </w:tc>
        <w:tc>
          <w:tcPr>
            <w:tcW w:w="2760" w:type="dxa"/>
            <w:tcBorders>
              <w:top w:val="nil"/>
              <w:left w:val="nil"/>
              <w:bottom w:val="nil"/>
              <w:right w:val="nil"/>
            </w:tcBorders>
            <w:shd w:val="clear" w:color="auto" w:fill="auto"/>
            <w:noWrap/>
            <w:vAlign w:val="center"/>
            <w:hideMark/>
          </w:tcPr>
          <w:p w14:paraId="6019DFA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0.911 (0.845 - 0.981)</w:t>
            </w:r>
          </w:p>
        </w:tc>
        <w:tc>
          <w:tcPr>
            <w:tcW w:w="2000" w:type="dxa"/>
            <w:tcBorders>
              <w:top w:val="nil"/>
              <w:left w:val="nil"/>
              <w:bottom w:val="nil"/>
              <w:right w:val="nil"/>
            </w:tcBorders>
            <w:shd w:val="clear" w:color="auto" w:fill="auto"/>
            <w:noWrap/>
            <w:vAlign w:val="center"/>
            <w:hideMark/>
          </w:tcPr>
          <w:p w14:paraId="5BA6D0CE"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0.906 (0.777 - 1.055)</w:t>
            </w:r>
          </w:p>
        </w:tc>
      </w:tr>
      <w:tr w:rsidR="008F140E" w:rsidRPr="008F140E" w14:paraId="581F091B" w14:textId="77777777" w:rsidTr="008F140E">
        <w:trPr>
          <w:trHeight w:val="278"/>
        </w:trPr>
        <w:tc>
          <w:tcPr>
            <w:tcW w:w="2938" w:type="dxa"/>
            <w:tcBorders>
              <w:top w:val="nil"/>
              <w:left w:val="nil"/>
              <w:bottom w:val="nil"/>
              <w:right w:val="nil"/>
            </w:tcBorders>
            <w:shd w:val="clear" w:color="000000" w:fill="FFFFFF"/>
            <w:noWrap/>
            <w:vAlign w:val="center"/>
            <w:hideMark/>
          </w:tcPr>
          <w:p w14:paraId="452123A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Hispanic</w:t>
            </w:r>
          </w:p>
        </w:tc>
        <w:tc>
          <w:tcPr>
            <w:tcW w:w="2540" w:type="dxa"/>
            <w:tcBorders>
              <w:top w:val="nil"/>
              <w:left w:val="nil"/>
              <w:bottom w:val="nil"/>
              <w:right w:val="nil"/>
            </w:tcBorders>
            <w:shd w:val="clear" w:color="auto" w:fill="auto"/>
            <w:noWrap/>
            <w:vAlign w:val="center"/>
            <w:hideMark/>
          </w:tcPr>
          <w:p w14:paraId="23626F4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(0.621 - 0.729)</w:t>
            </w:r>
          </w:p>
        </w:tc>
        <w:tc>
          <w:tcPr>
            <w:tcW w:w="2760" w:type="dxa"/>
            <w:tcBorders>
              <w:top w:val="nil"/>
              <w:left w:val="nil"/>
              <w:bottom w:val="nil"/>
              <w:right w:val="nil"/>
            </w:tcBorders>
            <w:shd w:val="clear" w:color="auto" w:fill="auto"/>
            <w:noWrap/>
            <w:vAlign w:val="center"/>
            <w:hideMark/>
          </w:tcPr>
          <w:p w14:paraId="1254B37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(0.615 - 0.736)</w:t>
            </w:r>
          </w:p>
        </w:tc>
        <w:tc>
          <w:tcPr>
            <w:tcW w:w="2000" w:type="dxa"/>
            <w:tcBorders>
              <w:top w:val="nil"/>
              <w:left w:val="nil"/>
              <w:bottom w:val="nil"/>
              <w:right w:val="nil"/>
            </w:tcBorders>
            <w:shd w:val="clear" w:color="auto" w:fill="auto"/>
            <w:noWrap/>
            <w:vAlign w:val="center"/>
            <w:hideMark/>
          </w:tcPr>
          <w:p w14:paraId="5674C10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0.708 (0.583 - 0.859)</w:t>
            </w:r>
          </w:p>
        </w:tc>
      </w:tr>
      <w:tr w:rsidR="008F140E" w:rsidRPr="008F140E" w14:paraId="058BF6EF" w14:textId="77777777" w:rsidTr="008F140E">
        <w:trPr>
          <w:trHeight w:val="278"/>
        </w:trPr>
        <w:tc>
          <w:tcPr>
            <w:tcW w:w="2938" w:type="dxa"/>
            <w:tcBorders>
              <w:top w:val="nil"/>
              <w:left w:val="nil"/>
              <w:bottom w:val="nil"/>
              <w:right w:val="nil"/>
            </w:tcBorders>
            <w:shd w:val="clear" w:color="000000" w:fill="FFFFFF"/>
            <w:noWrap/>
            <w:vAlign w:val="center"/>
            <w:hideMark/>
          </w:tcPr>
          <w:p w14:paraId="39AD34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American Indian/Alaskan Native</w:t>
            </w:r>
          </w:p>
        </w:tc>
        <w:tc>
          <w:tcPr>
            <w:tcW w:w="2540" w:type="dxa"/>
            <w:tcBorders>
              <w:top w:val="nil"/>
              <w:left w:val="nil"/>
              <w:bottom w:val="nil"/>
              <w:right w:val="nil"/>
            </w:tcBorders>
            <w:shd w:val="clear" w:color="auto" w:fill="auto"/>
            <w:noWrap/>
            <w:vAlign w:val="center"/>
            <w:hideMark/>
          </w:tcPr>
          <w:p w14:paraId="44C562E8"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1.017 (0.807 - 1.282)</w:t>
            </w:r>
          </w:p>
        </w:tc>
        <w:tc>
          <w:tcPr>
            <w:tcW w:w="2760" w:type="dxa"/>
            <w:tcBorders>
              <w:top w:val="nil"/>
              <w:left w:val="nil"/>
              <w:bottom w:val="nil"/>
              <w:right w:val="nil"/>
            </w:tcBorders>
            <w:shd w:val="clear" w:color="auto" w:fill="auto"/>
            <w:noWrap/>
            <w:vAlign w:val="center"/>
            <w:hideMark/>
          </w:tcPr>
          <w:p w14:paraId="637030C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0.873 (0.659 - 1.157)</w:t>
            </w:r>
          </w:p>
        </w:tc>
        <w:tc>
          <w:tcPr>
            <w:tcW w:w="2000" w:type="dxa"/>
            <w:tcBorders>
              <w:top w:val="nil"/>
              <w:left w:val="nil"/>
              <w:bottom w:val="nil"/>
              <w:right w:val="nil"/>
            </w:tcBorders>
            <w:shd w:val="clear" w:color="auto" w:fill="auto"/>
            <w:noWrap/>
            <w:vAlign w:val="center"/>
            <w:hideMark/>
          </w:tcPr>
          <w:p w14:paraId="620C1B9B"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1.009 (0.565 - 1.801)</w:t>
            </w:r>
          </w:p>
        </w:tc>
      </w:tr>
      <w:tr w:rsidR="008F140E" w:rsidRPr="008F140E" w14:paraId="6DF6267B" w14:textId="77777777" w:rsidTr="008F140E">
        <w:trPr>
          <w:trHeight w:val="278"/>
        </w:trPr>
        <w:tc>
          <w:tcPr>
            <w:tcW w:w="2938" w:type="dxa"/>
            <w:tcBorders>
              <w:top w:val="nil"/>
              <w:left w:val="nil"/>
              <w:bottom w:val="nil"/>
              <w:right w:val="nil"/>
            </w:tcBorders>
            <w:shd w:val="clear" w:color="000000" w:fill="FFFFFF"/>
            <w:noWrap/>
            <w:vAlign w:val="center"/>
            <w:hideMark/>
          </w:tcPr>
          <w:p w14:paraId="658CD855"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Asian</w:t>
            </w:r>
          </w:p>
        </w:tc>
        <w:tc>
          <w:tcPr>
            <w:tcW w:w="2540" w:type="dxa"/>
            <w:tcBorders>
              <w:top w:val="nil"/>
              <w:left w:val="nil"/>
              <w:bottom w:val="nil"/>
              <w:right w:val="nil"/>
            </w:tcBorders>
            <w:shd w:val="clear" w:color="auto" w:fill="auto"/>
            <w:noWrap/>
            <w:vAlign w:val="center"/>
            <w:hideMark/>
          </w:tcPr>
          <w:p w14:paraId="675426D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0.537 (0.458 - 0.630)</w:t>
            </w:r>
          </w:p>
        </w:tc>
        <w:tc>
          <w:tcPr>
            <w:tcW w:w="2760" w:type="dxa"/>
            <w:tcBorders>
              <w:top w:val="nil"/>
              <w:left w:val="nil"/>
              <w:bottom w:val="nil"/>
              <w:right w:val="nil"/>
            </w:tcBorders>
            <w:shd w:val="clear" w:color="auto" w:fill="auto"/>
            <w:noWrap/>
            <w:vAlign w:val="center"/>
            <w:hideMark/>
          </w:tcPr>
          <w:p w14:paraId="226310E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0.522 (0.429 - 0.636)</w:t>
            </w:r>
          </w:p>
        </w:tc>
        <w:tc>
          <w:tcPr>
            <w:tcW w:w="2000" w:type="dxa"/>
            <w:tcBorders>
              <w:top w:val="nil"/>
              <w:left w:val="nil"/>
              <w:bottom w:val="nil"/>
              <w:right w:val="nil"/>
            </w:tcBorders>
            <w:shd w:val="clear" w:color="auto" w:fill="auto"/>
            <w:noWrap/>
            <w:vAlign w:val="center"/>
            <w:hideMark/>
          </w:tcPr>
          <w:p w14:paraId="4D8B242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0.585 (0.410 - 0.835)</w:t>
            </w:r>
          </w:p>
        </w:tc>
      </w:tr>
      <w:tr w:rsidR="008F140E" w:rsidRPr="008F140E" w14:paraId="6470A13F" w14:textId="77777777" w:rsidTr="008F140E">
        <w:trPr>
          <w:trHeight w:val="278"/>
        </w:trPr>
        <w:tc>
          <w:tcPr>
            <w:tcW w:w="2938" w:type="dxa"/>
            <w:tcBorders>
              <w:top w:val="nil"/>
              <w:left w:val="nil"/>
              <w:bottom w:val="nil"/>
              <w:right w:val="nil"/>
            </w:tcBorders>
            <w:shd w:val="clear" w:color="000000" w:fill="FFFFFF"/>
            <w:noWrap/>
            <w:vAlign w:val="center"/>
            <w:hideMark/>
          </w:tcPr>
          <w:p w14:paraId="172F3FB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0AACDD4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0.822 (0.478 - 1.411)</w:t>
            </w:r>
          </w:p>
        </w:tc>
        <w:tc>
          <w:tcPr>
            <w:tcW w:w="2760" w:type="dxa"/>
            <w:tcBorders>
              <w:top w:val="nil"/>
              <w:left w:val="nil"/>
              <w:bottom w:val="nil"/>
              <w:right w:val="nil"/>
            </w:tcBorders>
            <w:shd w:val="clear" w:color="auto" w:fill="auto"/>
            <w:noWrap/>
            <w:vAlign w:val="center"/>
            <w:hideMark/>
          </w:tcPr>
          <w:p w14:paraId="24B289D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0.721 (0.396 - 1.314)</w:t>
            </w:r>
          </w:p>
        </w:tc>
        <w:tc>
          <w:tcPr>
            <w:tcW w:w="2000" w:type="dxa"/>
            <w:tcBorders>
              <w:top w:val="nil"/>
              <w:left w:val="nil"/>
              <w:bottom w:val="nil"/>
              <w:right w:val="nil"/>
            </w:tcBorders>
            <w:shd w:val="clear" w:color="auto" w:fill="auto"/>
            <w:noWrap/>
            <w:vAlign w:val="center"/>
            <w:hideMark/>
          </w:tcPr>
          <w:p w14:paraId="705E15A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0.467 (0.131 - 1.670)</w:t>
            </w:r>
          </w:p>
        </w:tc>
      </w:tr>
      <w:tr w:rsidR="008F140E" w:rsidRPr="008F140E" w14:paraId="5795C61E" w14:textId="77777777" w:rsidTr="008F140E">
        <w:trPr>
          <w:trHeight w:val="278"/>
        </w:trPr>
        <w:tc>
          <w:tcPr>
            <w:tcW w:w="2938" w:type="dxa"/>
            <w:tcBorders>
              <w:top w:val="nil"/>
              <w:left w:val="nil"/>
              <w:bottom w:val="nil"/>
              <w:right w:val="nil"/>
            </w:tcBorders>
            <w:shd w:val="clear" w:color="000000" w:fill="FFFFFF"/>
            <w:noWrap/>
            <w:vAlign w:val="center"/>
            <w:hideMark/>
          </w:tcPr>
          <w:p w14:paraId="4FE6CD1F"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Cancer</w:t>
            </w:r>
          </w:p>
        </w:tc>
        <w:tc>
          <w:tcPr>
            <w:tcW w:w="2540" w:type="dxa"/>
            <w:tcBorders>
              <w:top w:val="nil"/>
              <w:left w:val="nil"/>
              <w:bottom w:val="nil"/>
              <w:right w:val="nil"/>
            </w:tcBorders>
            <w:shd w:val="clear" w:color="auto" w:fill="auto"/>
            <w:noWrap/>
            <w:vAlign w:val="center"/>
            <w:hideMark/>
          </w:tcPr>
          <w:p w14:paraId="6457F2E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1.276 (1.200 - 1.357)</w:t>
            </w:r>
          </w:p>
        </w:tc>
        <w:tc>
          <w:tcPr>
            <w:tcW w:w="2760" w:type="dxa"/>
            <w:tcBorders>
              <w:top w:val="nil"/>
              <w:left w:val="nil"/>
              <w:bottom w:val="nil"/>
              <w:right w:val="nil"/>
            </w:tcBorders>
            <w:shd w:val="clear" w:color="auto" w:fill="auto"/>
            <w:noWrap/>
            <w:vAlign w:val="center"/>
            <w:hideMark/>
          </w:tcPr>
          <w:p w14:paraId="1D0F780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1.471 (1.361 - 1.589)</w:t>
            </w:r>
          </w:p>
        </w:tc>
        <w:tc>
          <w:tcPr>
            <w:tcW w:w="2000" w:type="dxa"/>
            <w:tcBorders>
              <w:top w:val="nil"/>
              <w:left w:val="nil"/>
              <w:bottom w:val="nil"/>
              <w:right w:val="nil"/>
            </w:tcBorders>
            <w:shd w:val="clear" w:color="auto" w:fill="auto"/>
            <w:noWrap/>
            <w:vAlign w:val="center"/>
            <w:hideMark/>
          </w:tcPr>
          <w:p w14:paraId="757D00D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1.348 (1.164 - 1.560)</w:t>
            </w:r>
          </w:p>
        </w:tc>
      </w:tr>
      <w:tr w:rsidR="008F140E" w:rsidRPr="008F140E" w14:paraId="1F54A419" w14:textId="77777777" w:rsidTr="008F140E">
        <w:trPr>
          <w:trHeight w:val="278"/>
        </w:trPr>
        <w:tc>
          <w:tcPr>
            <w:tcW w:w="2938" w:type="dxa"/>
            <w:tcBorders>
              <w:top w:val="nil"/>
              <w:left w:val="nil"/>
              <w:bottom w:val="nil"/>
              <w:right w:val="nil"/>
            </w:tcBorders>
            <w:shd w:val="clear" w:color="000000" w:fill="FFFFFF"/>
            <w:noWrap/>
            <w:vAlign w:val="center"/>
            <w:hideMark/>
          </w:tcPr>
          <w:p w14:paraId="27DE45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CVD, including Hypertension</w:t>
            </w:r>
          </w:p>
        </w:tc>
        <w:tc>
          <w:tcPr>
            <w:tcW w:w="2540" w:type="dxa"/>
            <w:tcBorders>
              <w:top w:val="nil"/>
              <w:left w:val="nil"/>
              <w:bottom w:val="nil"/>
              <w:right w:val="nil"/>
            </w:tcBorders>
            <w:shd w:val="clear" w:color="000000" w:fill="FFFFFF"/>
            <w:noWrap/>
            <w:vAlign w:val="center"/>
            <w:hideMark/>
          </w:tcPr>
          <w:p w14:paraId="151E946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1.406 (1.318 - 1.500)</w:t>
            </w:r>
          </w:p>
        </w:tc>
        <w:tc>
          <w:tcPr>
            <w:tcW w:w="2760" w:type="dxa"/>
            <w:tcBorders>
              <w:top w:val="nil"/>
              <w:left w:val="nil"/>
              <w:bottom w:val="nil"/>
              <w:right w:val="nil"/>
            </w:tcBorders>
            <w:shd w:val="clear" w:color="000000" w:fill="FFFFFF"/>
            <w:noWrap/>
            <w:vAlign w:val="center"/>
            <w:hideMark/>
          </w:tcPr>
          <w:p w14:paraId="5130020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1.266 (1.177 - 1.361)</w:t>
            </w:r>
          </w:p>
        </w:tc>
        <w:tc>
          <w:tcPr>
            <w:tcW w:w="2000" w:type="dxa"/>
            <w:tcBorders>
              <w:top w:val="nil"/>
              <w:left w:val="nil"/>
              <w:bottom w:val="nil"/>
              <w:right w:val="nil"/>
            </w:tcBorders>
            <w:shd w:val="clear" w:color="000000" w:fill="FFFFFF"/>
            <w:noWrap/>
            <w:vAlign w:val="center"/>
            <w:hideMark/>
          </w:tcPr>
          <w:p w14:paraId="39CA420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1.164 (0.959 - 1.413)</w:t>
            </w:r>
          </w:p>
        </w:tc>
      </w:tr>
    </w:tbl>
    <w:p w14:paraId="4EAE63B6" w14:textId="354F8837" w:rsidR="007E2AA4" w:rsidRDefault="007E2AA4" w:rsidP="002D401E">
      <w:pPr>
        <w:spacing w:line="240" w:lineRule="auto"/>
        <w:rPr>
          <w:rFonts w:ascii="Times New Roman" w:hAnsi="Times New Roman" w:cs="Times New Roman"/>
          <w:sz w:val="24"/>
          <w:szCs w:val="24"/>
        </w:rPr>
      </w:pPr>
    </w:p>
    <w:p w14:paraId="47296538" w14:textId="77777777" w:rsidR="007E2AA4" w:rsidRDefault="007E2AA4">
      <w:pPr>
        <w:rPr>
          <w:rFonts w:ascii="Times New Roman" w:hAnsi="Times New Roman" w:cs="Times New Roman"/>
          <w:sz w:val="24"/>
          <w:szCs w:val="24"/>
        </w:rPr>
      </w:pPr>
      <w:r>
        <w:rPr>
          <w:rFonts w:ascii="Times New Roman" w:hAnsi="Times New Roman" w:cs="Times New Roman"/>
          <w:sz w:val="24"/>
          <w:szCs w:val="24"/>
        </w:rPr>
        <w:br w:type="page"/>
      </w:r>
    </w:p>
    <w:p w14:paraId="64D11B92" w14:textId="7925B7E5" w:rsidR="007E2AA4" w:rsidRDefault="007E2AA4" w:rsidP="007E2AA4">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2</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w:t>
      </w:r>
      <w:r w:rsidR="006D2DB3">
        <w:rPr>
          <w:rFonts w:ascii="Times New Roman" w:hAnsi="Times New Roman" w:cs="Times New Roman"/>
          <w:sz w:val="24"/>
          <w:szCs w:val="24"/>
        </w:rPr>
        <w:t xml:space="preserve">, not including hypertension, </w:t>
      </w:r>
      <w:r>
        <w:rPr>
          <w:rFonts w:ascii="Times New Roman" w:hAnsi="Times New Roman" w:cs="Times New Roman"/>
          <w:sz w:val="24"/>
          <w:szCs w:val="24"/>
        </w:rPr>
        <w:t>in the National Health Interview Survey, 2000 to 2014.</w:t>
      </w:r>
    </w:p>
    <w:tbl>
      <w:tblPr>
        <w:tblW w:w="10512" w:type="dxa"/>
        <w:tblLook w:val="04A0" w:firstRow="1" w:lastRow="0" w:firstColumn="1" w:lastColumn="0" w:noHBand="0" w:noVBand="1"/>
      </w:tblPr>
      <w:tblGrid>
        <w:gridCol w:w="3063"/>
        <w:gridCol w:w="2483"/>
        <w:gridCol w:w="2483"/>
        <w:gridCol w:w="2483"/>
      </w:tblGrid>
      <w:tr w:rsidR="007F76BE" w:rsidRPr="007F76BE" w14:paraId="25635D17" w14:textId="77777777" w:rsidTr="00003B3D">
        <w:trPr>
          <w:trHeight w:val="278"/>
        </w:trPr>
        <w:tc>
          <w:tcPr>
            <w:tcW w:w="2727" w:type="dxa"/>
            <w:tcBorders>
              <w:top w:val="nil"/>
              <w:left w:val="nil"/>
              <w:bottom w:val="nil"/>
              <w:right w:val="nil"/>
            </w:tcBorders>
            <w:shd w:val="clear" w:color="auto" w:fill="auto"/>
            <w:noWrap/>
            <w:vAlign w:val="bottom"/>
            <w:hideMark/>
          </w:tcPr>
          <w:p w14:paraId="3B405E37" w14:textId="77777777" w:rsidR="007F76BE" w:rsidRPr="007F76BE" w:rsidRDefault="007F76BE" w:rsidP="007F76BE">
            <w:pPr>
              <w:spacing w:after="0" w:line="240" w:lineRule="auto"/>
              <w:rPr>
                <w:rFonts w:ascii="Times New Roman" w:eastAsia="Times New Roman" w:hAnsi="Times New Roman" w:cs="Times New Roman"/>
                <w:sz w:val="20"/>
                <w:szCs w:val="20"/>
              </w:rPr>
            </w:pPr>
          </w:p>
        </w:tc>
        <w:tc>
          <w:tcPr>
            <w:tcW w:w="2211" w:type="dxa"/>
            <w:tcBorders>
              <w:top w:val="nil"/>
              <w:left w:val="nil"/>
              <w:bottom w:val="nil"/>
              <w:right w:val="nil"/>
            </w:tcBorders>
            <w:shd w:val="clear" w:color="auto" w:fill="auto"/>
            <w:noWrap/>
            <w:vAlign w:val="bottom"/>
            <w:hideMark/>
          </w:tcPr>
          <w:p w14:paraId="2F6B4850" w14:textId="3FD8312C"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211" w:type="dxa"/>
            <w:tcBorders>
              <w:top w:val="nil"/>
              <w:left w:val="nil"/>
              <w:bottom w:val="nil"/>
              <w:right w:val="nil"/>
            </w:tcBorders>
            <w:shd w:val="clear" w:color="auto" w:fill="auto"/>
            <w:noWrap/>
            <w:vAlign w:val="bottom"/>
            <w:hideMark/>
          </w:tcPr>
          <w:p w14:paraId="41C1E0DB" w14:textId="0E8B00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11" w:type="dxa"/>
            <w:tcBorders>
              <w:top w:val="nil"/>
              <w:left w:val="nil"/>
              <w:bottom w:val="nil"/>
              <w:right w:val="nil"/>
            </w:tcBorders>
            <w:shd w:val="clear" w:color="auto" w:fill="auto"/>
            <w:noWrap/>
            <w:vAlign w:val="bottom"/>
            <w:hideMark/>
          </w:tcPr>
          <w:p w14:paraId="45DC0973" w14:textId="4EFFD934"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7F76BE" w:rsidRPr="007F76BE" w14:paraId="580534D7" w14:textId="77777777" w:rsidTr="00003B3D">
        <w:trPr>
          <w:trHeight w:val="278"/>
        </w:trPr>
        <w:tc>
          <w:tcPr>
            <w:tcW w:w="2727" w:type="dxa"/>
            <w:tcBorders>
              <w:top w:val="nil"/>
              <w:left w:val="nil"/>
              <w:bottom w:val="single" w:sz="4" w:space="0" w:color="auto"/>
              <w:right w:val="nil"/>
            </w:tcBorders>
            <w:shd w:val="clear" w:color="auto" w:fill="auto"/>
            <w:noWrap/>
            <w:vAlign w:val="bottom"/>
            <w:hideMark/>
          </w:tcPr>
          <w:p w14:paraId="6FF70CCD"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w:t>
            </w:r>
          </w:p>
        </w:tc>
        <w:tc>
          <w:tcPr>
            <w:tcW w:w="2211" w:type="dxa"/>
            <w:tcBorders>
              <w:top w:val="nil"/>
              <w:left w:val="nil"/>
              <w:bottom w:val="single" w:sz="4" w:space="0" w:color="auto"/>
              <w:right w:val="nil"/>
            </w:tcBorders>
            <w:shd w:val="clear" w:color="auto" w:fill="auto"/>
            <w:noWrap/>
            <w:vAlign w:val="bottom"/>
            <w:hideMark/>
          </w:tcPr>
          <w:p w14:paraId="73B2FF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34F9C78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6D685E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r>
      <w:tr w:rsidR="007F76BE" w:rsidRPr="007F76BE" w14:paraId="6D4E9174" w14:textId="77777777" w:rsidTr="00003B3D">
        <w:trPr>
          <w:trHeight w:val="285"/>
        </w:trPr>
        <w:tc>
          <w:tcPr>
            <w:tcW w:w="2727" w:type="dxa"/>
            <w:tcBorders>
              <w:top w:val="nil"/>
              <w:left w:val="nil"/>
              <w:bottom w:val="nil"/>
              <w:right w:val="nil"/>
            </w:tcBorders>
            <w:shd w:val="clear" w:color="auto" w:fill="auto"/>
            <w:noWrap/>
            <w:vAlign w:val="bottom"/>
            <w:hideMark/>
          </w:tcPr>
          <w:p w14:paraId="5AC91138"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CRN</w:t>
            </w:r>
          </w:p>
        </w:tc>
        <w:tc>
          <w:tcPr>
            <w:tcW w:w="2211" w:type="dxa"/>
            <w:tcBorders>
              <w:top w:val="nil"/>
              <w:left w:val="nil"/>
              <w:bottom w:val="nil"/>
              <w:right w:val="nil"/>
            </w:tcBorders>
            <w:shd w:val="clear" w:color="auto" w:fill="auto"/>
            <w:noWrap/>
            <w:vAlign w:val="center"/>
            <w:hideMark/>
          </w:tcPr>
          <w:p w14:paraId="6EA6678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1.148 (1.073 - 1.228)</w:t>
            </w:r>
          </w:p>
        </w:tc>
        <w:tc>
          <w:tcPr>
            <w:tcW w:w="2211" w:type="dxa"/>
            <w:tcBorders>
              <w:top w:val="nil"/>
              <w:left w:val="nil"/>
              <w:bottom w:val="nil"/>
              <w:right w:val="nil"/>
            </w:tcBorders>
            <w:shd w:val="clear" w:color="auto" w:fill="auto"/>
            <w:noWrap/>
            <w:vAlign w:val="center"/>
            <w:hideMark/>
          </w:tcPr>
          <w:p w14:paraId="00DDE21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1.180 (1.096 - 1.271)</w:t>
            </w:r>
          </w:p>
        </w:tc>
        <w:tc>
          <w:tcPr>
            <w:tcW w:w="2211" w:type="dxa"/>
            <w:tcBorders>
              <w:top w:val="nil"/>
              <w:left w:val="nil"/>
              <w:bottom w:val="nil"/>
              <w:right w:val="nil"/>
            </w:tcBorders>
            <w:shd w:val="clear" w:color="auto" w:fill="auto"/>
            <w:noWrap/>
            <w:vAlign w:val="center"/>
            <w:hideMark/>
          </w:tcPr>
          <w:p w14:paraId="5B37233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1.019 (0.868 - 1.195)</w:t>
            </w:r>
          </w:p>
        </w:tc>
      </w:tr>
      <w:tr w:rsidR="007F76BE" w:rsidRPr="007F76BE" w14:paraId="19319A44" w14:textId="77777777" w:rsidTr="00003B3D">
        <w:trPr>
          <w:trHeight w:val="278"/>
        </w:trPr>
        <w:tc>
          <w:tcPr>
            <w:tcW w:w="2727" w:type="dxa"/>
            <w:tcBorders>
              <w:top w:val="nil"/>
              <w:left w:val="nil"/>
              <w:bottom w:val="nil"/>
              <w:right w:val="nil"/>
            </w:tcBorders>
            <w:shd w:val="clear" w:color="000000" w:fill="FFFFFF"/>
            <w:noWrap/>
            <w:vAlign w:val="center"/>
            <w:hideMark/>
          </w:tcPr>
          <w:p w14:paraId="7A2EF557"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Some College</w:t>
            </w:r>
          </w:p>
        </w:tc>
        <w:tc>
          <w:tcPr>
            <w:tcW w:w="2211" w:type="dxa"/>
            <w:tcBorders>
              <w:top w:val="nil"/>
              <w:left w:val="nil"/>
              <w:bottom w:val="nil"/>
              <w:right w:val="nil"/>
            </w:tcBorders>
            <w:shd w:val="clear" w:color="auto" w:fill="auto"/>
            <w:noWrap/>
            <w:vAlign w:val="center"/>
            <w:hideMark/>
          </w:tcPr>
          <w:p w14:paraId="7687018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(0.831 - 0.911)</w:t>
            </w:r>
          </w:p>
        </w:tc>
        <w:tc>
          <w:tcPr>
            <w:tcW w:w="2211" w:type="dxa"/>
            <w:tcBorders>
              <w:top w:val="nil"/>
              <w:left w:val="nil"/>
              <w:bottom w:val="nil"/>
              <w:right w:val="nil"/>
            </w:tcBorders>
            <w:shd w:val="clear" w:color="auto" w:fill="auto"/>
            <w:noWrap/>
            <w:vAlign w:val="center"/>
            <w:hideMark/>
          </w:tcPr>
          <w:p w14:paraId="345208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(0.828 - 0.914)</w:t>
            </w:r>
          </w:p>
        </w:tc>
        <w:tc>
          <w:tcPr>
            <w:tcW w:w="2211" w:type="dxa"/>
            <w:tcBorders>
              <w:top w:val="nil"/>
              <w:left w:val="nil"/>
              <w:bottom w:val="nil"/>
              <w:right w:val="nil"/>
            </w:tcBorders>
            <w:shd w:val="clear" w:color="auto" w:fill="auto"/>
            <w:noWrap/>
            <w:vAlign w:val="center"/>
            <w:hideMark/>
          </w:tcPr>
          <w:p w14:paraId="4A2F71E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0.887 (0.784 - 1.003)</w:t>
            </w:r>
          </w:p>
        </w:tc>
      </w:tr>
      <w:tr w:rsidR="007F76BE" w:rsidRPr="007F76BE" w14:paraId="363356C1" w14:textId="77777777" w:rsidTr="00003B3D">
        <w:trPr>
          <w:trHeight w:val="278"/>
        </w:trPr>
        <w:tc>
          <w:tcPr>
            <w:tcW w:w="2727" w:type="dxa"/>
            <w:tcBorders>
              <w:top w:val="nil"/>
              <w:left w:val="nil"/>
              <w:bottom w:val="nil"/>
              <w:right w:val="nil"/>
            </w:tcBorders>
            <w:shd w:val="clear" w:color="000000" w:fill="FFFFFF"/>
            <w:noWrap/>
            <w:vAlign w:val="center"/>
            <w:hideMark/>
          </w:tcPr>
          <w:p w14:paraId="1EF7D30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College Degree</w:t>
            </w:r>
          </w:p>
        </w:tc>
        <w:tc>
          <w:tcPr>
            <w:tcW w:w="2211" w:type="dxa"/>
            <w:tcBorders>
              <w:top w:val="nil"/>
              <w:left w:val="nil"/>
              <w:bottom w:val="nil"/>
              <w:right w:val="nil"/>
            </w:tcBorders>
            <w:shd w:val="clear" w:color="auto" w:fill="auto"/>
            <w:noWrap/>
            <w:vAlign w:val="center"/>
            <w:hideMark/>
          </w:tcPr>
          <w:p w14:paraId="2467B9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(0.677 - 0.762)</w:t>
            </w:r>
          </w:p>
        </w:tc>
        <w:tc>
          <w:tcPr>
            <w:tcW w:w="2211" w:type="dxa"/>
            <w:tcBorders>
              <w:top w:val="nil"/>
              <w:left w:val="nil"/>
              <w:bottom w:val="nil"/>
              <w:right w:val="nil"/>
            </w:tcBorders>
            <w:shd w:val="clear" w:color="auto" w:fill="auto"/>
            <w:noWrap/>
            <w:vAlign w:val="center"/>
            <w:hideMark/>
          </w:tcPr>
          <w:p w14:paraId="3A504D9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0.713 (0.668 - 0.761)</w:t>
            </w:r>
          </w:p>
        </w:tc>
        <w:tc>
          <w:tcPr>
            <w:tcW w:w="2211" w:type="dxa"/>
            <w:tcBorders>
              <w:top w:val="nil"/>
              <w:left w:val="nil"/>
              <w:bottom w:val="nil"/>
              <w:right w:val="nil"/>
            </w:tcBorders>
            <w:shd w:val="clear" w:color="auto" w:fill="auto"/>
            <w:noWrap/>
            <w:vAlign w:val="center"/>
            <w:hideMark/>
          </w:tcPr>
          <w:p w14:paraId="35BD31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0.751 (0.646 - 0.873)</w:t>
            </w:r>
          </w:p>
        </w:tc>
      </w:tr>
      <w:tr w:rsidR="007F76BE" w:rsidRPr="007F76BE" w14:paraId="26B7AD2C" w14:textId="77777777" w:rsidTr="00003B3D">
        <w:trPr>
          <w:trHeight w:val="278"/>
        </w:trPr>
        <w:tc>
          <w:tcPr>
            <w:tcW w:w="2727" w:type="dxa"/>
            <w:tcBorders>
              <w:top w:val="nil"/>
              <w:left w:val="nil"/>
              <w:bottom w:val="nil"/>
              <w:right w:val="nil"/>
            </w:tcBorders>
            <w:shd w:val="clear" w:color="000000" w:fill="FFFFFF"/>
            <w:noWrap/>
            <w:vAlign w:val="center"/>
            <w:hideMark/>
          </w:tcPr>
          <w:p w14:paraId="6A940B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Age</w:t>
            </w:r>
          </w:p>
        </w:tc>
        <w:tc>
          <w:tcPr>
            <w:tcW w:w="2211" w:type="dxa"/>
            <w:tcBorders>
              <w:top w:val="nil"/>
              <w:left w:val="nil"/>
              <w:bottom w:val="nil"/>
              <w:right w:val="nil"/>
            </w:tcBorders>
            <w:shd w:val="clear" w:color="auto" w:fill="auto"/>
            <w:noWrap/>
            <w:vAlign w:val="center"/>
            <w:hideMark/>
          </w:tcPr>
          <w:p w14:paraId="4C8ACC4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1.074 (1.072 - 1.077)</w:t>
            </w:r>
          </w:p>
        </w:tc>
        <w:tc>
          <w:tcPr>
            <w:tcW w:w="2211" w:type="dxa"/>
            <w:tcBorders>
              <w:top w:val="nil"/>
              <w:left w:val="nil"/>
              <w:bottom w:val="nil"/>
              <w:right w:val="nil"/>
            </w:tcBorders>
            <w:shd w:val="clear" w:color="auto" w:fill="auto"/>
            <w:noWrap/>
            <w:vAlign w:val="center"/>
            <w:hideMark/>
          </w:tcPr>
          <w:p w14:paraId="03CA926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1.075 (1.072 - 1.077)</w:t>
            </w:r>
          </w:p>
        </w:tc>
        <w:tc>
          <w:tcPr>
            <w:tcW w:w="2211" w:type="dxa"/>
            <w:tcBorders>
              <w:top w:val="nil"/>
              <w:left w:val="nil"/>
              <w:bottom w:val="nil"/>
              <w:right w:val="nil"/>
            </w:tcBorders>
            <w:shd w:val="clear" w:color="auto" w:fill="auto"/>
            <w:noWrap/>
            <w:vAlign w:val="center"/>
            <w:hideMark/>
          </w:tcPr>
          <w:p w14:paraId="0D5F93D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1.071 (1.064 - 1.078)</w:t>
            </w:r>
          </w:p>
        </w:tc>
      </w:tr>
      <w:tr w:rsidR="007F76BE" w:rsidRPr="007F76BE" w14:paraId="137DA2C4" w14:textId="77777777" w:rsidTr="00003B3D">
        <w:trPr>
          <w:trHeight w:val="278"/>
        </w:trPr>
        <w:tc>
          <w:tcPr>
            <w:tcW w:w="2727" w:type="dxa"/>
            <w:tcBorders>
              <w:top w:val="nil"/>
              <w:left w:val="nil"/>
              <w:bottom w:val="nil"/>
              <w:right w:val="nil"/>
            </w:tcBorders>
            <w:shd w:val="clear" w:color="000000" w:fill="FFFFFF"/>
            <w:noWrap/>
            <w:vAlign w:val="center"/>
            <w:hideMark/>
          </w:tcPr>
          <w:p w14:paraId="6F7B33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$20,000 to &lt; $45,000</w:t>
            </w:r>
          </w:p>
        </w:tc>
        <w:tc>
          <w:tcPr>
            <w:tcW w:w="2211" w:type="dxa"/>
            <w:tcBorders>
              <w:top w:val="nil"/>
              <w:left w:val="nil"/>
              <w:bottom w:val="nil"/>
              <w:right w:val="nil"/>
            </w:tcBorders>
            <w:shd w:val="clear" w:color="auto" w:fill="auto"/>
            <w:noWrap/>
            <w:vAlign w:val="center"/>
            <w:hideMark/>
          </w:tcPr>
          <w:p w14:paraId="64717AA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0.927 (0.882 - 0.975)</w:t>
            </w:r>
          </w:p>
        </w:tc>
        <w:tc>
          <w:tcPr>
            <w:tcW w:w="2211" w:type="dxa"/>
            <w:tcBorders>
              <w:top w:val="nil"/>
              <w:left w:val="nil"/>
              <w:bottom w:val="nil"/>
              <w:right w:val="nil"/>
            </w:tcBorders>
            <w:shd w:val="clear" w:color="auto" w:fill="auto"/>
            <w:noWrap/>
            <w:vAlign w:val="center"/>
            <w:hideMark/>
          </w:tcPr>
          <w:p w14:paraId="707C05C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0.911 (0.865 - 0.960)</w:t>
            </w:r>
          </w:p>
        </w:tc>
        <w:tc>
          <w:tcPr>
            <w:tcW w:w="2211" w:type="dxa"/>
            <w:tcBorders>
              <w:top w:val="nil"/>
              <w:left w:val="nil"/>
              <w:bottom w:val="nil"/>
              <w:right w:val="nil"/>
            </w:tcBorders>
            <w:shd w:val="clear" w:color="auto" w:fill="auto"/>
            <w:noWrap/>
            <w:vAlign w:val="center"/>
            <w:hideMark/>
          </w:tcPr>
          <w:p w14:paraId="60F78A3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1.049 (0.919 - 1.198)</w:t>
            </w:r>
          </w:p>
        </w:tc>
      </w:tr>
      <w:tr w:rsidR="007F76BE" w:rsidRPr="007F76BE" w14:paraId="151AD10A" w14:textId="77777777" w:rsidTr="00003B3D">
        <w:trPr>
          <w:trHeight w:val="278"/>
        </w:trPr>
        <w:tc>
          <w:tcPr>
            <w:tcW w:w="2727" w:type="dxa"/>
            <w:tcBorders>
              <w:top w:val="nil"/>
              <w:left w:val="nil"/>
              <w:bottom w:val="nil"/>
              <w:right w:val="nil"/>
            </w:tcBorders>
            <w:shd w:val="clear" w:color="000000" w:fill="FFFFFF"/>
            <w:noWrap/>
            <w:vAlign w:val="center"/>
            <w:hideMark/>
          </w:tcPr>
          <w:p w14:paraId="55DA03A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$45,000 to &lt; $65,000</w:t>
            </w:r>
          </w:p>
        </w:tc>
        <w:tc>
          <w:tcPr>
            <w:tcW w:w="2211" w:type="dxa"/>
            <w:tcBorders>
              <w:top w:val="nil"/>
              <w:left w:val="nil"/>
              <w:bottom w:val="nil"/>
              <w:right w:val="nil"/>
            </w:tcBorders>
            <w:shd w:val="clear" w:color="auto" w:fill="auto"/>
            <w:noWrap/>
            <w:vAlign w:val="center"/>
            <w:hideMark/>
          </w:tcPr>
          <w:p w14:paraId="27CC192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0.820 (0.773 - 0.870)</w:t>
            </w:r>
          </w:p>
        </w:tc>
        <w:tc>
          <w:tcPr>
            <w:tcW w:w="2211" w:type="dxa"/>
            <w:tcBorders>
              <w:top w:val="nil"/>
              <w:left w:val="nil"/>
              <w:bottom w:val="nil"/>
              <w:right w:val="nil"/>
            </w:tcBorders>
            <w:shd w:val="clear" w:color="auto" w:fill="auto"/>
            <w:noWrap/>
            <w:vAlign w:val="center"/>
            <w:hideMark/>
          </w:tcPr>
          <w:p w14:paraId="5BEED3E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0.813 (0.761 - 0.867)</w:t>
            </w:r>
          </w:p>
        </w:tc>
        <w:tc>
          <w:tcPr>
            <w:tcW w:w="2211" w:type="dxa"/>
            <w:tcBorders>
              <w:top w:val="nil"/>
              <w:left w:val="nil"/>
              <w:bottom w:val="nil"/>
              <w:right w:val="nil"/>
            </w:tcBorders>
            <w:shd w:val="clear" w:color="auto" w:fill="auto"/>
            <w:noWrap/>
            <w:vAlign w:val="center"/>
            <w:hideMark/>
          </w:tcPr>
          <w:p w14:paraId="7444F93F"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0.895 (0.773 - 1.036)</w:t>
            </w:r>
          </w:p>
        </w:tc>
      </w:tr>
      <w:tr w:rsidR="007F76BE" w:rsidRPr="007F76BE" w14:paraId="77E01A53" w14:textId="77777777" w:rsidTr="00003B3D">
        <w:trPr>
          <w:trHeight w:val="278"/>
        </w:trPr>
        <w:tc>
          <w:tcPr>
            <w:tcW w:w="2727" w:type="dxa"/>
            <w:tcBorders>
              <w:top w:val="nil"/>
              <w:left w:val="nil"/>
              <w:bottom w:val="nil"/>
              <w:right w:val="nil"/>
            </w:tcBorders>
            <w:shd w:val="clear" w:color="000000" w:fill="FFFFFF"/>
            <w:noWrap/>
            <w:vAlign w:val="center"/>
            <w:hideMark/>
          </w:tcPr>
          <w:p w14:paraId="40D216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$65,000 to &lt; $85,000</w:t>
            </w:r>
          </w:p>
        </w:tc>
        <w:tc>
          <w:tcPr>
            <w:tcW w:w="2211" w:type="dxa"/>
            <w:tcBorders>
              <w:top w:val="nil"/>
              <w:left w:val="nil"/>
              <w:bottom w:val="nil"/>
              <w:right w:val="nil"/>
            </w:tcBorders>
            <w:shd w:val="clear" w:color="auto" w:fill="auto"/>
            <w:noWrap/>
            <w:vAlign w:val="center"/>
            <w:hideMark/>
          </w:tcPr>
          <w:p w14:paraId="56B6B46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(0.664 - 0.779)</w:t>
            </w:r>
          </w:p>
        </w:tc>
        <w:tc>
          <w:tcPr>
            <w:tcW w:w="2211" w:type="dxa"/>
            <w:tcBorders>
              <w:top w:val="nil"/>
              <w:left w:val="nil"/>
              <w:bottom w:val="nil"/>
              <w:right w:val="nil"/>
            </w:tcBorders>
            <w:shd w:val="clear" w:color="auto" w:fill="auto"/>
            <w:noWrap/>
            <w:vAlign w:val="center"/>
            <w:hideMark/>
          </w:tcPr>
          <w:p w14:paraId="3A337CD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0.720 (0.663 - 0.782)</w:t>
            </w:r>
          </w:p>
        </w:tc>
        <w:tc>
          <w:tcPr>
            <w:tcW w:w="2211" w:type="dxa"/>
            <w:tcBorders>
              <w:top w:val="nil"/>
              <w:left w:val="nil"/>
              <w:bottom w:val="nil"/>
              <w:right w:val="nil"/>
            </w:tcBorders>
            <w:shd w:val="clear" w:color="auto" w:fill="auto"/>
            <w:noWrap/>
            <w:vAlign w:val="center"/>
            <w:hideMark/>
          </w:tcPr>
          <w:p w14:paraId="6449A23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0.722 (0.571 - 0.912)</w:t>
            </w:r>
          </w:p>
        </w:tc>
      </w:tr>
      <w:tr w:rsidR="007F76BE" w:rsidRPr="007F76BE" w14:paraId="50F56FCA" w14:textId="77777777" w:rsidTr="00003B3D">
        <w:trPr>
          <w:trHeight w:val="278"/>
        </w:trPr>
        <w:tc>
          <w:tcPr>
            <w:tcW w:w="2727" w:type="dxa"/>
            <w:tcBorders>
              <w:top w:val="nil"/>
              <w:left w:val="nil"/>
              <w:bottom w:val="nil"/>
              <w:right w:val="nil"/>
            </w:tcBorders>
            <w:shd w:val="clear" w:color="000000" w:fill="FFFFFF"/>
            <w:noWrap/>
            <w:vAlign w:val="center"/>
            <w:hideMark/>
          </w:tcPr>
          <w:p w14:paraId="6B5ECAE6"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$85,000 to &lt; $100,000</w:t>
            </w:r>
          </w:p>
        </w:tc>
        <w:tc>
          <w:tcPr>
            <w:tcW w:w="2211" w:type="dxa"/>
            <w:tcBorders>
              <w:top w:val="nil"/>
              <w:left w:val="nil"/>
              <w:bottom w:val="nil"/>
              <w:right w:val="nil"/>
            </w:tcBorders>
            <w:shd w:val="clear" w:color="auto" w:fill="auto"/>
            <w:noWrap/>
            <w:vAlign w:val="center"/>
            <w:hideMark/>
          </w:tcPr>
          <w:p w14:paraId="2E9AD75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0.613 (0.504 - 0.745)</w:t>
            </w:r>
          </w:p>
        </w:tc>
        <w:tc>
          <w:tcPr>
            <w:tcW w:w="2211" w:type="dxa"/>
            <w:tcBorders>
              <w:top w:val="nil"/>
              <w:left w:val="nil"/>
              <w:bottom w:val="nil"/>
              <w:right w:val="nil"/>
            </w:tcBorders>
            <w:shd w:val="clear" w:color="auto" w:fill="auto"/>
            <w:noWrap/>
            <w:vAlign w:val="center"/>
            <w:hideMark/>
          </w:tcPr>
          <w:p w14:paraId="0544BD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0.584 (0.445 - 0.767)</w:t>
            </w:r>
          </w:p>
        </w:tc>
        <w:tc>
          <w:tcPr>
            <w:tcW w:w="2211" w:type="dxa"/>
            <w:tcBorders>
              <w:top w:val="nil"/>
              <w:left w:val="nil"/>
              <w:bottom w:val="nil"/>
              <w:right w:val="nil"/>
            </w:tcBorders>
            <w:shd w:val="clear" w:color="auto" w:fill="auto"/>
            <w:noWrap/>
            <w:vAlign w:val="center"/>
            <w:hideMark/>
          </w:tcPr>
          <w:p w14:paraId="3921639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0.700 (0.509 - 0.964)</w:t>
            </w:r>
          </w:p>
        </w:tc>
      </w:tr>
      <w:tr w:rsidR="007F76BE" w:rsidRPr="007F76BE" w14:paraId="4557A496" w14:textId="77777777" w:rsidTr="00003B3D">
        <w:trPr>
          <w:trHeight w:val="278"/>
        </w:trPr>
        <w:tc>
          <w:tcPr>
            <w:tcW w:w="2727" w:type="dxa"/>
            <w:tcBorders>
              <w:top w:val="nil"/>
              <w:left w:val="nil"/>
              <w:bottom w:val="nil"/>
              <w:right w:val="nil"/>
            </w:tcBorders>
            <w:shd w:val="clear" w:color="000000" w:fill="FFFFFF"/>
            <w:noWrap/>
            <w:vAlign w:val="center"/>
            <w:hideMark/>
          </w:tcPr>
          <w:p w14:paraId="72CE887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$100,000 or more</w:t>
            </w:r>
          </w:p>
        </w:tc>
        <w:tc>
          <w:tcPr>
            <w:tcW w:w="2211" w:type="dxa"/>
            <w:tcBorders>
              <w:top w:val="nil"/>
              <w:left w:val="nil"/>
              <w:bottom w:val="nil"/>
              <w:right w:val="nil"/>
            </w:tcBorders>
            <w:shd w:val="clear" w:color="auto" w:fill="auto"/>
            <w:noWrap/>
            <w:vAlign w:val="center"/>
            <w:hideMark/>
          </w:tcPr>
          <w:p w14:paraId="78567FF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0.663 (0.573 - 0.766)</w:t>
            </w:r>
          </w:p>
        </w:tc>
        <w:tc>
          <w:tcPr>
            <w:tcW w:w="2211" w:type="dxa"/>
            <w:tcBorders>
              <w:top w:val="nil"/>
              <w:left w:val="nil"/>
              <w:bottom w:val="nil"/>
              <w:right w:val="nil"/>
            </w:tcBorders>
            <w:shd w:val="clear" w:color="auto" w:fill="auto"/>
            <w:noWrap/>
            <w:vAlign w:val="center"/>
            <w:hideMark/>
          </w:tcPr>
          <w:p w14:paraId="29782A3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0.586 (0.462 - 0.742)</w:t>
            </w:r>
          </w:p>
        </w:tc>
        <w:tc>
          <w:tcPr>
            <w:tcW w:w="2211" w:type="dxa"/>
            <w:tcBorders>
              <w:top w:val="nil"/>
              <w:left w:val="nil"/>
              <w:bottom w:val="nil"/>
              <w:right w:val="nil"/>
            </w:tcBorders>
            <w:shd w:val="clear" w:color="auto" w:fill="auto"/>
            <w:noWrap/>
            <w:vAlign w:val="center"/>
            <w:hideMark/>
          </w:tcPr>
          <w:p w14:paraId="01F8EAE2"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0.797 (0.635 - 1.001)</w:t>
            </w:r>
          </w:p>
        </w:tc>
      </w:tr>
      <w:tr w:rsidR="007F76BE" w:rsidRPr="007F76BE" w14:paraId="6999C708" w14:textId="77777777" w:rsidTr="00003B3D">
        <w:trPr>
          <w:trHeight w:val="278"/>
        </w:trPr>
        <w:tc>
          <w:tcPr>
            <w:tcW w:w="2727" w:type="dxa"/>
            <w:tcBorders>
              <w:top w:val="nil"/>
              <w:left w:val="nil"/>
              <w:bottom w:val="nil"/>
              <w:right w:val="nil"/>
            </w:tcBorders>
            <w:shd w:val="clear" w:color="auto" w:fill="auto"/>
            <w:noWrap/>
            <w:vAlign w:val="bottom"/>
            <w:hideMark/>
          </w:tcPr>
          <w:p w14:paraId="4E51E91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Female Sex</w:t>
            </w:r>
          </w:p>
        </w:tc>
        <w:tc>
          <w:tcPr>
            <w:tcW w:w="2211" w:type="dxa"/>
            <w:tcBorders>
              <w:top w:val="nil"/>
              <w:left w:val="nil"/>
              <w:bottom w:val="nil"/>
              <w:right w:val="nil"/>
            </w:tcBorders>
            <w:shd w:val="clear" w:color="auto" w:fill="auto"/>
            <w:noWrap/>
            <w:vAlign w:val="center"/>
            <w:hideMark/>
          </w:tcPr>
          <w:p w14:paraId="3767AC4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(0.692 - 0.746)</w:t>
            </w:r>
          </w:p>
        </w:tc>
        <w:tc>
          <w:tcPr>
            <w:tcW w:w="2211" w:type="dxa"/>
            <w:tcBorders>
              <w:top w:val="nil"/>
              <w:left w:val="nil"/>
              <w:bottom w:val="nil"/>
              <w:right w:val="nil"/>
            </w:tcBorders>
            <w:shd w:val="clear" w:color="auto" w:fill="auto"/>
            <w:noWrap/>
            <w:vAlign w:val="center"/>
            <w:hideMark/>
          </w:tcPr>
          <w:p w14:paraId="1F4853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(0.690 - 0.750)</w:t>
            </w:r>
          </w:p>
        </w:tc>
        <w:tc>
          <w:tcPr>
            <w:tcW w:w="2211" w:type="dxa"/>
            <w:tcBorders>
              <w:top w:val="nil"/>
              <w:left w:val="nil"/>
              <w:bottom w:val="nil"/>
              <w:right w:val="nil"/>
            </w:tcBorders>
            <w:shd w:val="clear" w:color="auto" w:fill="auto"/>
            <w:noWrap/>
            <w:vAlign w:val="center"/>
            <w:hideMark/>
          </w:tcPr>
          <w:p w14:paraId="34C44BB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0.714 (0.649 - 0.786)</w:t>
            </w:r>
          </w:p>
        </w:tc>
      </w:tr>
      <w:tr w:rsidR="007F76BE" w:rsidRPr="007F76BE" w14:paraId="5476AEBD" w14:textId="77777777" w:rsidTr="00003B3D">
        <w:trPr>
          <w:trHeight w:val="278"/>
        </w:trPr>
        <w:tc>
          <w:tcPr>
            <w:tcW w:w="2727" w:type="dxa"/>
            <w:tcBorders>
              <w:top w:val="nil"/>
              <w:left w:val="nil"/>
              <w:bottom w:val="nil"/>
              <w:right w:val="nil"/>
            </w:tcBorders>
            <w:shd w:val="clear" w:color="000000" w:fill="FFFFFF"/>
            <w:noWrap/>
            <w:vAlign w:val="center"/>
            <w:hideMark/>
          </w:tcPr>
          <w:p w14:paraId="4B755B0B"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Public Insurance</w:t>
            </w:r>
          </w:p>
        </w:tc>
        <w:tc>
          <w:tcPr>
            <w:tcW w:w="2211" w:type="dxa"/>
            <w:tcBorders>
              <w:top w:val="nil"/>
              <w:left w:val="nil"/>
              <w:bottom w:val="nil"/>
              <w:right w:val="nil"/>
            </w:tcBorders>
            <w:shd w:val="clear" w:color="auto" w:fill="auto"/>
            <w:noWrap/>
            <w:vAlign w:val="center"/>
            <w:hideMark/>
          </w:tcPr>
          <w:p w14:paraId="703286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1.369 (1.205 - 1.555)</w:t>
            </w:r>
          </w:p>
        </w:tc>
        <w:tc>
          <w:tcPr>
            <w:tcW w:w="2211" w:type="dxa"/>
            <w:tcBorders>
              <w:top w:val="nil"/>
              <w:left w:val="nil"/>
              <w:bottom w:val="nil"/>
              <w:right w:val="nil"/>
            </w:tcBorders>
            <w:shd w:val="clear" w:color="auto" w:fill="auto"/>
            <w:noWrap/>
            <w:vAlign w:val="center"/>
            <w:hideMark/>
          </w:tcPr>
          <w:p w14:paraId="5D59A80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1.352 (1.181 - 1.548)</w:t>
            </w:r>
          </w:p>
        </w:tc>
        <w:tc>
          <w:tcPr>
            <w:tcW w:w="2211" w:type="dxa"/>
            <w:tcBorders>
              <w:top w:val="nil"/>
              <w:left w:val="nil"/>
              <w:bottom w:val="nil"/>
              <w:right w:val="nil"/>
            </w:tcBorders>
            <w:shd w:val="clear" w:color="auto" w:fill="auto"/>
            <w:noWrap/>
            <w:vAlign w:val="center"/>
            <w:hideMark/>
          </w:tcPr>
          <w:p w14:paraId="538FF35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1.465 (1.069 - 2.008)</w:t>
            </w:r>
          </w:p>
        </w:tc>
      </w:tr>
      <w:tr w:rsidR="007F76BE" w:rsidRPr="007F76BE" w14:paraId="72D47A02" w14:textId="77777777" w:rsidTr="00003B3D">
        <w:trPr>
          <w:trHeight w:val="278"/>
        </w:trPr>
        <w:tc>
          <w:tcPr>
            <w:tcW w:w="2727" w:type="dxa"/>
            <w:tcBorders>
              <w:top w:val="nil"/>
              <w:left w:val="nil"/>
              <w:bottom w:val="nil"/>
              <w:right w:val="nil"/>
            </w:tcBorders>
            <w:shd w:val="clear" w:color="000000" w:fill="FFFFFF"/>
            <w:noWrap/>
            <w:vAlign w:val="center"/>
            <w:hideMark/>
          </w:tcPr>
          <w:p w14:paraId="681A5E9A"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Private Insurance</w:t>
            </w:r>
          </w:p>
        </w:tc>
        <w:tc>
          <w:tcPr>
            <w:tcW w:w="2211" w:type="dxa"/>
            <w:tcBorders>
              <w:top w:val="nil"/>
              <w:left w:val="nil"/>
              <w:bottom w:val="nil"/>
              <w:right w:val="nil"/>
            </w:tcBorders>
            <w:shd w:val="clear" w:color="auto" w:fill="auto"/>
            <w:noWrap/>
            <w:vAlign w:val="center"/>
            <w:hideMark/>
          </w:tcPr>
          <w:p w14:paraId="56AC20E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0.936 (0.828 - 1.059)</w:t>
            </w:r>
          </w:p>
        </w:tc>
        <w:tc>
          <w:tcPr>
            <w:tcW w:w="2211" w:type="dxa"/>
            <w:tcBorders>
              <w:top w:val="nil"/>
              <w:left w:val="nil"/>
              <w:bottom w:val="nil"/>
              <w:right w:val="nil"/>
            </w:tcBorders>
            <w:shd w:val="clear" w:color="auto" w:fill="auto"/>
            <w:noWrap/>
            <w:vAlign w:val="center"/>
            <w:hideMark/>
          </w:tcPr>
          <w:p w14:paraId="2476E11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0.955 (0.837 - 1.088)</w:t>
            </w:r>
          </w:p>
        </w:tc>
        <w:tc>
          <w:tcPr>
            <w:tcW w:w="2211" w:type="dxa"/>
            <w:tcBorders>
              <w:top w:val="nil"/>
              <w:left w:val="nil"/>
              <w:bottom w:val="nil"/>
              <w:right w:val="nil"/>
            </w:tcBorders>
            <w:shd w:val="clear" w:color="auto" w:fill="auto"/>
            <w:noWrap/>
            <w:vAlign w:val="center"/>
            <w:hideMark/>
          </w:tcPr>
          <w:p w14:paraId="7FA4DD8D"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0.836 (0.607 - 1.152)</w:t>
            </w:r>
          </w:p>
        </w:tc>
      </w:tr>
      <w:tr w:rsidR="007F76BE" w:rsidRPr="007F76BE" w14:paraId="0A49CBD9" w14:textId="77777777" w:rsidTr="00003B3D">
        <w:trPr>
          <w:trHeight w:val="278"/>
        </w:trPr>
        <w:tc>
          <w:tcPr>
            <w:tcW w:w="2727" w:type="dxa"/>
            <w:tcBorders>
              <w:top w:val="nil"/>
              <w:left w:val="nil"/>
              <w:bottom w:val="nil"/>
              <w:right w:val="nil"/>
            </w:tcBorders>
            <w:shd w:val="clear" w:color="000000" w:fill="FFFFFF"/>
            <w:noWrap/>
            <w:vAlign w:val="center"/>
            <w:hideMark/>
          </w:tcPr>
          <w:p w14:paraId="5C598E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Military</w:t>
            </w:r>
          </w:p>
        </w:tc>
        <w:tc>
          <w:tcPr>
            <w:tcW w:w="2211" w:type="dxa"/>
            <w:tcBorders>
              <w:top w:val="nil"/>
              <w:left w:val="nil"/>
              <w:bottom w:val="nil"/>
              <w:right w:val="nil"/>
            </w:tcBorders>
            <w:shd w:val="clear" w:color="auto" w:fill="auto"/>
            <w:noWrap/>
            <w:vAlign w:val="center"/>
            <w:hideMark/>
          </w:tcPr>
          <w:p w14:paraId="72BA7EA8"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1.065 (0.910 - 1.246)</w:t>
            </w:r>
          </w:p>
        </w:tc>
        <w:tc>
          <w:tcPr>
            <w:tcW w:w="2211" w:type="dxa"/>
            <w:tcBorders>
              <w:top w:val="nil"/>
              <w:left w:val="nil"/>
              <w:bottom w:val="nil"/>
              <w:right w:val="nil"/>
            </w:tcBorders>
            <w:shd w:val="clear" w:color="auto" w:fill="auto"/>
            <w:noWrap/>
            <w:vAlign w:val="center"/>
            <w:hideMark/>
          </w:tcPr>
          <w:p w14:paraId="7799EBA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1.084 (0.916 - 1.283)</w:t>
            </w:r>
          </w:p>
        </w:tc>
        <w:tc>
          <w:tcPr>
            <w:tcW w:w="2211" w:type="dxa"/>
            <w:tcBorders>
              <w:top w:val="nil"/>
              <w:left w:val="nil"/>
              <w:bottom w:val="nil"/>
              <w:right w:val="nil"/>
            </w:tcBorders>
            <w:shd w:val="clear" w:color="auto" w:fill="auto"/>
            <w:noWrap/>
            <w:vAlign w:val="center"/>
            <w:hideMark/>
          </w:tcPr>
          <w:p w14:paraId="66F2C3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0.985 (0.682 - 1.422)</w:t>
            </w:r>
          </w:p>
        </w:tc>
      </w:tr>
      <w:tr w:rsidR="007F76BE" w:rsidRPr="007F76BE" w14:paraId="07012F50" w14:textId="77777777" w:rsidTr="00003B3D">
        <w:trPr>
          <w:trHeight w:val="278"/>
        </w:trPr>
        <w:tc>
          <w:tcPr>
            <w:tcW w:w="2727" w:type="dxa"/>
            <w:tcBorders>
              <w:top w:val="nil"/>
              <w:left w:val="nil"/>
              <w:bottom w:val="nil"/>
              <w:right w:val="nil"/>
            </w:tcBorders>
            <w:shd w:val="clear" w:color="000000" w:fill="FFFFFF"/>
            <w:noWrap/>
            <w:vAlign w:val="center"/>
            <w:hideMark/>
          </w:tcPr>
          <w:p w14:paraId="4C1DEAF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Medicare</w:t>
            </w:r>
          </w:p>
        </w:tc>
        <w:tc>
          <w:tcPr>
            <w:tcW w:w="2211" w:type="dxa"/>
            <w:tcBorders>
              <w:top w:val="nil"/>
              <w:left w:val="nil"/>
              <w:bottom w:val="nil"/>
              <w:right w:val="nil"/>
            </w:tcBorders>
            <w:shd w:val="clear" w:color="auto" w:fill="auto"/>
            <w:noWrap/>
            <w:vAlign w:val="center"/>
            <w:hideMark/>
          </w:tcPr>
          <w:p w14:paraId="32CB18B6"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1.055 (0.929 - 1.199)</w:t>
            </w:r>
          </w:p>
        </w:tc>
        <w:tc>
          <w:tcPr>
            <w:tcW w:w="2211" w:type="dxa"/>
            <w:tcBorders>
              <w:top w:val="nil"/>
              <w:left w:val="nil"/>
              <w:bottom w:val="nil"/>
              <w:right w:val="nil"/>
            </w:tcBorders>
            <w:shd w:val="clear" w:color="auto" w:fill="auto"/>
            <w:noWrap/>
            <w:vAlign w:val="center"/>
            <w:hideMark/>
          </w:tcPr>
          <w:p w14:paraId="347FCCF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1.050 (0.916 - 1.203)</w:t>
            </w:r>
          </w:p>
        </w:tc>
        <w:tc>
          <w:tcPr>
            <w:tcW w:w="2211" w:type="dxa"/>
            <w:tcBorders>
              <w:top w:val="nil"/>
              <w:left w:val="nil"/>
              <w:bottom w:val="nil"/>
              <w:right w:val="nil"/>
            </w:tcBorders>
            <w:shd w:val="clear" w:color="auto" w:fill="auto"/>
            <w:noWrap/>
            <w:vAlign w:val="center"/>
            <w:hideMark/>
          </w:tcPr>
          <w:p w14:paraId="25E616B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1.089 (0.790 - 1.500)</w:t>
            </w:r>
          </w:p>
        </w:tc>
      </w:tr>
      <w:tr w:rsidR="007F76BE" w:rsidRPr="007F76BE" w14:paraId="399133CF" w14:textId="77777777" w:rsidTr="00003B3D">
        <w:trPr>
          <w:trHeight w:val="278"/>
        </w:trPr>
        <w:tc>
          <w:tcPr>
            <w:tcW w:w="2727" w:type="dxa"/>
            <w:tcBorders>
              <w:top w:val="nil"/>
              <w:left w:val="nil"/>
              <w:bottom w:val="nil"/>
              <w:right w:val="nil"/>
            </w:tcBorders>
            <w:shd w:val="clear" w:color="000000" w:fill="FFFFFF"/>
            <w:noWrap/>
            <w:vAlign w:val="center"/>
            <w:hideMark/>
          </w:tcPr>
          <w:p w14:paraId="5380CD94"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0F5B857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0.653 (0.395 - 1.079)</w:t>
            </w:r>
          </w:p>
        </w:tc>
        <w:tc>
          <w:tcPr>
            <w:tcW w:w="2211" w:type="dxa"/>
            <w:tcBorders>
              <w:top w:val="nil"/>
              <w:left w:val="nil"/>
              <w:bottom w:val="nil"/>
              <w:right w:val="nil"/>
            </w:tcBorders>
            <w:shd w:val="clear" w:color="auto" w:fill="auto"/>
            <w:noWrap/>
            <w:vAlign w:val="center"/>
            <w:hideMark/>
          </w:tcPr>
          <w:p w14:paraId="451C639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0.672 (0.402 - 1.121)</w:t>
            </w:r>
          </w:p>
        </w:tc>
        <w:tc>
          <w:tcPr>
            <w:tcW w:w="2211" w:type="dxa"/>
            <w:tcBorders>
              <w:top w:val="nil"/>
              <w:left w:val="nil"/>
              <w:bottom w:val="nil"/>
              <w:right w:val="nil"/>
            </w:tcBorders>
            <w:shd w:val="clear" w:color="auto" w:fill="auto"/>
            <w:noWrap/>
            <w:vAlign w:val="center"/>
            <w:hideMark/>
          </w:tcPr>
          <w:p w14:paraId="6D24D87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0.416 (0.056 - 3.068)</w:t>
            </w:r>
          </w:p>
        </w:tc>
      </w:tr>
      <w:tr w:rsidR="007F76BE" w:rsidRPr="007F76BE" w14:paraId="7C367E00" w14:textId="77777777" w:rsidTr="00003B3D">
        <w:trPr>
          <w:trHeight w:val="278"/>
        </w:trPr>
        <w:tc>
          <w:tcPr>
            <w:tcW w:w="2727" w:type="dxa"/>
            <w:tcBorders>
              <w:top w:val="nil"/>
              <w:left w:val="nil"/>
              <w:bottom w:val="nil"/>
              <w:right w:val="nil"/>
            </w:tcBorders>
            <w:shd w:val="clear" w:color="000000" w:fill="FFFFFF"/>
            <w:noWrap/>
            <w:vAlign w:val="center"/>
            <w:hideMark/>
          </w:tcPr>
          <w:p w14:paraId="127D594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Black</w:t>
            </w:r>
          </w:p>
        </w:tc>
        <w:tc>
          <w:tcPr>
            <w:tcW w:w="2211" w:type="dxa"/>
            <w:tcBorders>
              <w:top w:val="nil"/>
              <w:left w:val="nil"/>
              <w:bottom w:val="nil"/>
              <w:right w:val="nil"/>
            </w:tcBorders>
            <w:shd w:val="clear" w:color="auto" w:fill="auto"/>
            <w:noWrap/>
            <w:vAlign w:val="center"/>
            <w:hideMark/>
          </w:tcPr>
          <w:p w14:paraId="6DD7B54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1.015 (0.954 - 1.079)</w:t>
            </w:r>
          </w:p>
        </w:tc>
        <w:tc>
          <w:tcPr>
            <w:tcW w:w="2211" w:type="dxa"/>
            <w:tcBorders>
              <w:top w:val="nil"/>
              <w:left w:val="nil"/>
              <w:bottom w:val="nil"/>
              <w:right w:val="nil"/>
            </w:tcBorders>
            <w:shd w:val="clear" w:color="auto" w:fill="auto"/>
            <w:noWrap/>
            <w:vAlign w:val="center"/>
            <w:hideMark/>
          </w:tcPr>
          <w:p w14:paraId="0752BB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1.023 (0.957 - 1.095)</w:t>
            </w:r>
          </w:p>
        </w:tc>
        <w:tc>
          <w:tcPr>
            <w:tcW w:w="2211" w:type="dxa"/>
            <w:tcBorders>
              <w:top w:val="nil"/>
              <w:left w:val="nil"/>
              <w:bottom w:val="nil"/>
              <w:right w:val="nil"/>
            </w:tcBorders>
            <w:shd w:val="clear" w:color="auto" w:fill="auto"/>
            <w:noWrap/>
            <w:vAlign w:val="center"/>
            <w:hideMark/>
          </w:tcPr>
          <w:p w14:paraId="0BE8C76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0.982 (0.848 - 1.138)</w:t>
            </w:r>
          </w:p>
        </w:tc>
      </w:tr>
      <w:tr w:rsidR="007F76BE" w:rsidRPr="007F76BE" w14:paraId="7C485F18" w14:textId="77777777" w:rsidTr="00003B3D">
        <w:trPr>
          <w:trHeight w:val="278"/>
        </w:trPr>
        <w:tc>
          <w:tcPr>
            <w:tcW w:w="2727" w:type="dxa"/>
            <w:tcBorders>
              <w:top w:val="nil"/>
              <w:left w:val="nil"/>
              <w:bottom w:val="nil"/>
              <w:right w:val="nil"/>
            </w:tcBorders>
            <w:shd w:val="clear" w:color="000000" w:fill="FFFFFF"/>
            <w:noWrap/>
            <w:vAlign w:val="center"/>
            <w:hideMark/>
          </w:tcPr>
          <w:p w14:paraId="518CC00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Hispanic</w:t>
            </w:r>
          </w:p>
        </w:tc>
        <w:tc>
          <w:tcPr>
            <w:tcW w:w="2211" w:type="dxa"/>
            <w:tcBorders>
              <w:top w:val="nil"/>
              <w:left w:val="nil"/>
              <w:bottom w:val="nil"/>
              <w:right w:val="nil"/>
            </w:tcBorders>
            <w:shd w:val="clear" w:color="auto" w:fill="auto"/>
            <w:noWrap/>
            <w:vAlign w:val="center"/>
            <w:hideMark/>
          </w:tcPr>
          <w:p w14:paraId="1FB0D53F"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(0.656 - 0.787)</w:t>
            </w:r>
          </w:p>
        </w:tc>
        <w:tc>
          <w:tcPr>
            <w:tcW w:w="2211" w:type="dxa"/>
            <w:tcBorders>
              <w:top w:val="nil"/>
              <w:left w:val="nil"/>
              <w:bottom w:val="nil"/>
              <w:right w:val="nil"/>
            </w:tcBorders>
            <w:shd w:val="clear" w:color="auto" w:fill="auto"/>
            <w:noWrap/>
            <w:vAlign w:val="center"/>
            <w:hideMark/>
          </w:tcPr>
          <w:p w14:paraId="5DF1848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0.711 (0.642 - 0.786)</w:t>
            </w:r>
          </w:p>
        </w:tc>
        <w:tc>
          <w:tcPr>
            <w:tcW w:w="2211" w:type="dxa"/>
            <w:tcBorders>
              <w:top w:val="nil"/>
              <w:left w:val="nil"/>
              <w:bottom w:val="nil"/>
              <w:right w:val="nil"/>
            </w:tcBorders>
            <w:shd w:val="clear" w:color="auto" w:fill="auto"/>
            <w:noWrap/>
            <w:vAlign w:val="center"/>
            <w:hideMark/>
          </w:tcPr>
          <w:p w14:paraId="157673E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0.762 (0.630 - 0.922)</w:t>
            </w:r>
          </w:p>
        </w:tc>
      </w:tr>
      <w:tr w:rsidR="007F76BE" w:rsidRPr="007F76BE" w14:paraId="624E1CF9" w14:textId="77777777" w:rsidTr="00003B3D">
        <w:trPr>
          <w:trHeight w:val="278"/>
        </w:trPr>
        <w:tc>
          <w:tcPr>
            <w:tcW w:w="2727" w:type="dxa"/>
            <w:tcBorders>
              <w:top w:val="nil"/>
              <w:left w:val="nil"/>
              <w:bottom w:val="nil"/>
              <w:right w:val="nil"/>
            </w:tcBorders>
            <w:shd w:val="clear" w:color="000000" w:fill="FFFFFF"/>
            <w:noWrap/>
            <w:vAlign w:val="center"/>
            <w:hideMark/>
          </w:tcPr>
          <w:p w14:paraId="7F750C2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American Indian/Alaskan Native</w:t>
            </w:r>
          </w:p>
        </w:tc>
        <w:tc>
          <w:tcPr>
            <w:tcW w:w="2211" w:type="dxa"/>
            <w:tcBorders>
              <w:top w:val="nil"/>
              <w:left w:val="nil"/>
              <w:bottom w:val="nil"/>
              <w:right w:val="nil"/>
            </w:tcBorders>
            <w:shd w:val="clear" w:color="auto" w:fill="auto"/>
            <w:noWrap/>
            <w:vAlign w:val="center"/>
            <w:hideMark/>
          </w:tcPr>
          <w:p w14:paraId="486159A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1.081 (0.833 - 1.403)</w:t>
            </w:r>
          </w:p>
        </w:tc>
        <w:tc>
          <w:tcPr>
            <w:tcW w:w="2211" w:type="dxa"/>
            <w:tcBorders>
              <w:top w:val="nil"/>
              <w:left w:val="nil"/>
              <w:bottom w:val="nil"/>
              <w:right w:val="nil"/>
            </w:tcBorders>
            <w:shd w:val="clear" w:color="auto" w:fill="auto"/>
            <w:noWrap/>
            <w:vAlign w:val="center"/>
            <w:hideMark/>
          </w:tcPr>
          <w:p w14:paraId="59B8B81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1.128 (0.854 - 1.489)</w:t>
            </w:r>
          </w:p>
        </w:tc>
        <w:tc>
          <w:tcPr>
            <w:tcW w:w="2211" w:type="dxa"/>
            <w:tcBorders>
              <w:top w:val="nil"/>
              <w:left w:val="nil"/>
              <w:bottom w:val="nil"/>
              <w:right w:val="nil"/>
            </w:tcBorders>
            <w:shd w:val="clear" w:color="auto" w:fill="auto"/>
            <w:noWrap/>
            <w:vAlign w:val="center"/>
            <w:hideMark/>
          </w:tcPr>
          <w:p w14:paraId="1E7AA66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0.793 (0.401 - 1.568)</w:t>
            </w:r>
          </w:p>
        </w:tc>
      </w:tr>
      <w:tr w:rsidR="007F76BE" w:rsidRPr="007F76BE" w14:paraId="1C23EDCC" w14:textId="77777777" w:rsidTr="00003B3D">
        <w:trPr>
          <w:trHeight w:val="278"/>
        </w:trPr>
        <w:tc>
          <w:tcPr>
            <w:tcW w:w="2727" w:type="dxa"/>
            <w:tcBorders>
              <w:top w:val="nil"/>
              <w:left w:val="nil"/>
              <w:bottom w:val="nil"/>
              <w:right w:val="nil"/>
            </w:tcBorders>
            <w:shd w:val="clear" w:color="000000" w:fill="FFFFFF"/>
            <w:noWrap/>
            <w:vAlign w:val="center"/>
            <w:hideMark/>
          </w:tcPr>
          <w:p w14:paraId="69BA63B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Asian</w:t>
            </w:r>
          </w:p>
        </w:tc>
        <w:tc>
          <w:tcPr>
            <w:tcW w:w="2211" w:type="dxa"/>
            <w:tcBorders>
              <w:top w:val="nil"/>
              <w:left w:val="nil"/>
              <w:bottom w:val="nil"/>
              <w:right w:val="nil"/>
            </w:tcBorders>
            <w:shd w:val="clear" w:color="auto" w:fill="auto"/>
            <w:noWrap/>
            <w:vAlign w:val="center"/>
            <w:hideMark/>
          </w:tcPr>
          <w:p w14:paraId="2E8FFC2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0.644 (0.549 - 0.756)</w:t>
            </w:r>
          </w:p>
        </w:tc>
        <w:tc>
          <w:tcPr>
            <w:tcW w:w="2211" w:type="dxa"/>
            <w:tcBorders>
              <w:top w:val="nil"/>
              <w:left w:val="nil"/>
              <w:bottom w:val="nil"/>
              <w:right w:val="nil"/>
            </w:tcBorders>
            <w:shd w:val="clear" w:color="auto" w:fill="auto"/>
            <w:noWrap/>
            <w:vAlign w:val="center"/>
            <w:hideMark/>
          </w:tcPr>
          <w:p w14:paraId="64C874F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0.645 (0.539 - 0.773)</w:t>
            </w:r>
          </w:p>
        </w:tc>
        <w:tc>
          <w:tcPr>
            <w:tcW w:w="2211" w:type="dxa"/>
            <w:tcBorders>
              <w:top w:val="nil"/>
              <w:left w:val="nil"/>
              <w:bottom w:val="nil"/>
              <w:right w:val="nil"/>
            </w:tcBorders>
            <w:shd w:val="clear" w:color="auto" w:fill="auto"/>
            <w:noWrap/>
            <w:vAlign w:val="center"/>
            <w:hideMark/>
          </w:tcPr>
          <w:p w14:paraId="793C5F6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0.637 (0.439 - 0.924)</w:t>
            </w:r>
          </w:p>
        </w:tc>
      </w:tr>
      <w:tr w:rsidR="007F76BE" w:rsidRPr="007F76BE" w14:paraId="6B8D3F9F" w14:textId="77777777" w:rsidTr="00003B3D">
        <w:trPr>
          <w:trHeight w:val="278"/>
        </w:trPr>
        <w:tc>
          <w:tcPr>
            <w:tcW w:w="2727" w:type="dxa"/>
            <w:tcBorders>
              <w:top w:val="nil"/>
              <w:left w:val="nil"/>
              <w:bottom w:val="nil"/>
              <w:right w:val="nil"/>
            </w:tcBorders>
            <w:shd w:val="clear" w:color="000000" w:fill="FFFFFF"/>
            <w:noWrap/>
            <w:vAlign w:val="center"/>
            <w:hideMark/>
          </w:tcPr>
          <w:p w14:paraId="296671C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5A27510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0.710 (0.418 - 1.207)</w:t>
            </w:r>
          </w:p>
        </w:tc>
        <w:tc>
          <w:tcPr>
            <w:tcW w:w="2211" w:type="dxa"/>
            <w:tcBorders>
              <w:top w:val="nil"/>
              <w:left w:val="nil"/>
              <w:bottom w:val="nil"/>
              <w:right w:val="nil"/>
            </w:tcBorders>
            <w:shd w:val="clear" w:color="auto" w:fill="auto"/>
            <w:noWrap/>
            <w:vAlign w:val="center"/>
            <w:hideMark/>
          </w:tcPr>
          <w:p w14:paraId="315D72A9"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0.612 (0.326 - 1.149)</w:t>
            </w:r>
          </w:p>
        </w:tc>
        <w:tc>
          <w:tcPr>
            <w:tcW w:w="2211" w:type="dxa"/>
            <w:tcBorders>
              <w:top w:val="nil"/>
              <w:left w:val="nil"/>
              <w:bottom w:val="nil"/>
              <w:right w:val="nil"/>
            </w:tcBorders>
            <w:shd w:val="clear" w:color="auto" w:fill="auto"/>
            <w:noWrap/>
            <w:vAlign w:val="center"/>
            <w:hideMark/>
          </w:tcPr>
          <w:p w14:paraId="6904787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1.218 (0.437 - 3.394)</w:t>
            </w:r>
          </w:p>
        </w:tc>
      </w:tr>
      <w:tr w:rsidR="007F76BE" w:rsidRPr="007F76BE" w14:paraId="769AAE07" w14:textId="77777777" w:rsidTr="00003B3D">
        <w:trPr>
          <w:trHeight w:val="278"/>
        </w:trPr>
        <w:tc>
          <w:tcPr>
            <w:tcW w:w="2727" w:type="dxa"/>
            <w:tcBorders>
              <w:top w:val="nil"/>
              <w:left w:val="nil"/>
              <w:bottom w:val="nil"/>
              <w:right w:val="nil"/>
            </w:tcBorders>
            <w:shd w:val="clear" w:color="000000" w:fill="FFFFFF"/>
            <w:noWrap/>
            <w:vAlign w:val="center"/>
            <w:hideMark/>
          </w:tcPr>
          <w:p w14:paraId="24CE95E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Diabetes</w:t>
            </w:r>
          </w:p>
        </w:tc>
        <w:tc>
          <w:tcPr>
            <w:tcW w:w="2211" w:type="dxa"/>
            <w:tcBorders>
              <w:top w:val="nil"/>
              <w:left w:val="nil"/>
              <w:bottom w:val="nil"/>
              <w:right w:val="nil"/>
            </w:tcBorders>
            <w:shd w:val="clear" w:color="auto" w:fill="auto"/>
            <w:noWrap/>
            <w:vAlign w:val="center"/>
            <w:hideMark/>
          </w:tcPr>
          <w:p w14:paraId="245A4C9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1.466 (1.407 - 1.527)</w:t>
            </w:r>
          </w:p>
        </w:tc>
        <w:tc>
          <w:tcPr>
            <w:tcW w:w="2211" w:type="dxa"/>
            <w:tcBorders>
              <w:top w:val="nil"/>
              <w:left w:val="nil"/>
              <w:bottom w:val="nil"/>
              <w:right w:val="nil"/>
            </w:tcBorders>
            <w:shd w:val="clear" w:color="auto" w:fill="auto"/>
            <w:noWrap/>
            <w:vAlign w:val="center"/>
            <w:hideMark/>
          </w:tcPr>
          <w:p w14:paraId="3738E5C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1.510 (1.443 - 1.580)</w:t>
            </w:r>
          </w:p>
        </w:tc>
        <w:tc>
          <w:tcPr>
            <w:tcW w:w="2211" w:type="dxa"/>
            <w:tcBorders>
              <w:top w:val="nil"/>
              <w:left w:val="nil"/>
              <w:bottom w:val="nil"/>
              <w:right w:val="nil"/>
            </w:tcBorders>
            <w:shd w:val="clear" w:color="auto" w:fill="auto"/>
            <w:noWrap/>
            <w:vAlign w:val="center"/>
            <w:hideMark/>
          </w:tcPr>
          <w:p w14:paraId="1CD370C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1.273 (1.149 - 1.410)</w:t>
            </w:r>
          </w:p>
        </w:tc>
      </w:tr>
      <w:tr w:rsidR="007F76BE" w:rsidRPr="007F76BE" w14:paraId="66F0316C" w14:textId="77777777" w:rsidTr="00003B3D">
        <w:trPr>
          <w:trHeight w:val="278"/>
        </w:trPr>
        <w:tc>
          <w:tcPr>
            <w:tcW w:w="2727" w:type="dxa"/>
            <w:tcBorders>
              <w:top w:val="nil"/>
              <w:left w:val="nil"/>
              <w:bottom w:val="nil"/>
              <w:right w:val="nil"/>
            </w:tcBorders>
            <w:shd w:val="clear" w:color="000000" w:fill="FFFFFF"/>
            <w:noWrap/>
            <w:vAlign w:val="center"/>
            <w:hideMark/>
          </w:tcPr>
          <w:p w14:paraId="271328A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Cancer</w:t>
            </w:r>
          </w:p>
        </w:tc>
        <w:tc>
          <w:tcPr>
            <w:tcW w:w="2211" w:type="dxa"/>
            <w:tcBorders>
              <w:top w:val="nil"/>
              <w:left w:val="nil"/>
              <w:bottom w:val="nil"/>
              <w:right w:val="nil"/>
            </w:tcBorders>
            <w:shd w:val="clear" w:color="auto" w:fill="auto"/>
            <w:noWrap/>
            <w:vAlign w:val="center"/>
            <w:hideMark/>
          </w:tcPr>
          <w:p w14:paraId="250C182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1.120 (1.076 - 1.165)</w:t>
            </w:r>
          </w:p>
        </w:tc>
        <w:tc>
          <w:tcPr>
            <w:tcW w:w="2211" w:type="dxa"/>
            <w:tcBorders>
              <w:top w:val="nil"/>
              <w:left w:val="nil"/>
              <w:bottom w:val="nil"/>
              <w:right w:val="nil"/>
            </w:tcBorders>
            <w:shd w:val="clear" w:color="auto" w:fill="auto"/>
            <w:noWrap/>
            <w:vAlign w:val="center"/>
            <w:hideMark/>
          </w:tcPr>
          <w:p w14:paraId="5C06E5C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1.114 (1.068 - 1.163)</w:t>
            </w:r>
          </w:p>
        </w:tc>
        <w:tc>
          <w:tcPr>
            <w:tcW w:w="2211" w:type="dxa"/>
            <w:tcBorders>
              <w:top w:val="nil"/>
              <w:left w:val="nil"/>
              <w:bottom w:val="nil"/>
              <w:right w:val="nil"/>
            </w:tcBorders>
            <w:shd w:val="clear" w:color="auto" w:fill="auto"/>
            <w:noWrap/>
            <w:vAlign w:val="center"/>
            <w:hideMark/>
          </w:tcPr>
          <w:p w14:paraId="0FA924A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1.222 (1.095 - 1.364)</w:t>
            </w:r>
          </w:p>
        </w:tc>
      </w:tr>
      <w:tr w:rsidR="007F76BE" w:rsidRPr="007F76BE" w14:paraId="0032242B" w14:textId="77777777" w:rsidTr="00003B3D">
        <w:trPr>
          <w:trHeight w:val="278"/>
        </w:trPr>
        <w:tc>
          <w:tcPr>
            <w:tcW w:w="2727" w:type="dxa"/>
            <w:tcBorders>
              <w:top w:val="nil"/>
              <w:left w:val="nil"/>
              <w:bottom w:val="nil"/>
              <w:right w:val="nil"/>
            </w:tcBorders>
            <w:shd w:val="clear" w:color="000000" w:fill="FFFFFF"/>
            <w:noWrap/>
            <w:vAlign w:val="center"/>
            <w:hideMark/>
          </w:tcPr>
          <w:p w14:paraId="27A4E7C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Hypertension</w:t>
            </w:r>
          </w:p>
        </w:tc>
        <w:tc>
          <w:tcPr>
            <w:tcW w:w="2211" w:type="dxa"/>
            <w:tcBorders>
              <w:top w:val="nil"/>
              <w:left w:val="nil"/>
              <w:bottom w:val="nil"/>
              <w:right w:val="nil"/>
            </w:tcBorders>
            <w:shd w:val="clear" w:color="000000" w:fill="FFFFFF"/>
            <w:noWrap/>
            <w:vAlign w:val="center"/>
            <w:hideMark/>
          </w:tcPr>
          <w:p w14:paraId="7C5BCA0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(1.167 - 1.278)</w:t>
            </w:r>
          </w:p>
        </w:tc>
        <w:tc>
          <w:tcPr>
            <w:tcW w:w="2211" w:type="dxa"/>
            <w:tcBorders>
              <w:top w:val="nil"/>
              <w:left w:val="nil"/>
              <w:bottom w:val="nil"/>
              <w:right w:val="nil"/>
            </w:tcBorders>
            <w:shd w:val="clear" w:color="000000" w:fill="FFFFFF"/>
            <w:noWrap/>
            <w:vAlign w:val="center"/>
            <w:hideMark/>
          </w:tcPr>
          <w:p w14:paraId="686346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(1.162 - 1.284)</w:t>
            </w:r>
          </w:p>
        </w:tc>
        <w:tc>
          <w:tcPr>
            <w:tcW w:w="2211" w:type="dxa"/>
            <w:tcBorders>
              <w:top w:val="nil"/>
              <w:left w:val="nil"/>
              <w:bottom w:val="nil"/>
              <w:right w:val="nil"/>
            </w:tcBorders>
            <w:shd w:val="clear" w:color="000000" w:fill="FFFFFF"/>
            <w:noWrap/>
            <w:vAlign w:val="center"/>
            <w:hideMark/>
          </w:tcPr>
          <w:p w14:paraId="43A731E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1.163 (1.036 - 1.305)</w:t>
            </w:r>
          </w:p>
        </w:tc>
      </w:tr>
    </w:tbl>
    <w:p w14:paraId="3DF59AD2" w14:textId="77777777" w:rsidR="007E2AA4" w:rsidRDefault="007E2AA4" w:rsidP="007E2AA4">
      <w:pPr>
        <w:spacing w:line="240" w:lineRule="auto"/>
        <w:rPr>
          <w:rFonts w:ascii="Times New Roman" w:hAnsi="Times New Roman" w:cs="Times New Roman"/>
          <w:sz w:val="24"/>
          <w:szCs w:val="24"/>
        </w:rPr>
      </w:pPr>
    </w:p>
    <w:p w14:paraId="4A6C3C3B" w14:textId="1CAA4E42" w:rsidR="00897401" w:rsidRDefault="00897401">
      <w:pPr>
        <w:rPr>
          <w:rFonts w:ascii="Times New Roman" w:hAnsi="Times New Roman" w:cs="Times New Roman"/>
          <w:sz w:val="24"/>
          <w:szCs w:val="24"/>
        </w:rPr>
      </w:pPr>
      <w:r>
        <w:rPr>
          <w:rFonts w:ascii="Times New Roman" w:hAnsi="Times New Roman" w:cs="Times New Roman"/>
          <w:sz w:val="24"/>
          <w:szCs w:val="24"/>
        </w:rPr>
        <w:br w:type="page"/>
      </w:r>
    </w:p>
    <w:p w14:paraId="66A41BFA" w14:textId="75D5FED6" w:rsidR="006D2DB3" w:rsidRDefault="006D2DB3"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3</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 including hypertension, in the National Health Interview Survey, 2000 to 2014.</w:t>
      </w:r>
    </w:p>
    <w:p w14:paraId="57865900" w14:textId="77777777" w:rsidR="002D401E" w:rsidRDefault="002D401E" w:rsidP="002D401E">
      <w:pPr>
        <w:spacing w:line="240" w:lineRule="auto"/>
        <w:rPr>
          <w:rFonts w:ascii="Times New Roman" w:hAnsi="Times New Roman" w:cs="Times New Roman"/>
          <w:sz w:val="24"/>
          <w:szCs w:val="24"/>
        </w:rPr>
      </w:pPr>
    </w:p>
    <w:tbl>
      <w:tblPr>
        <w:tblW w:w="10512" w:type="dxa"/>
        <w:tblLook w:val="04A0" w:firstRow="1" w:lastRow="0" w:firstColumn="1" w:lastColumn="0" w:noHBand="0" w:noVBand="1"/>
      </w:tblPr>
      <w:tblGrid>
        <w:gridCol w:w="3077"/>
        <w:gridCol w:w="2639"/>
        <w:gridCol w:w="2429"/>
        <w:gridCol w:w="2367"/>
      </w:tblGrid>
      <w:tr w:rsidR="00D22958" w:rsidRPr="00C67B3B" w14:paraId="26C727DB" w14:textId="77777777" w:rsidTr="00D22958">
        <w:trPr>
          <w:trHeight w:val="278"/>
        </w:trPr>
        <w:tc>
          <w:tcPr>
            <w:tcW w:w="3077" w:type="dxa"/>
            <w:tcBorders>
              <w:top w:val="nil"/>
              <w:left w:val="nil"/>
              <w:bottom w:val="nil"/>
              <w:right w:val="nil"/>
            </w:tcBorders>
            <w:shd w:val="clear" w:color="auto" w:fill="auto"/>
            <w:noWrap/>
            <w:vAlign w:val="bottom"/>
            <w:hideMark/>
          </w:tcPr>
          <w:p w14:paraId="70148D61" w14:textId="77777777" w:rsidR="00D22958" w:rsidRPr="00C67B3B" w:rsidRDefault="00D22958" w:rsidP="00D22958">
            <w:pPr>
              <w:spacing w:after="0" w:line="240" w:lineRule="auto"/>
              <w:rPr>
                <w:rFonts w:ascii="Times New Roman" w:eastAsia="Times New Roman" w:hAnsi="Times New Roman" w:cs="Times New Roman"/>
                <w:sz w:val="20"/>
                <w:szCs w:val="20"/>
              </w:rPr>
            </w:pPr>
          </w:p>
        </w:tc>
        <w:tc>
          <w:tcPr>
            <w:tcW w:w="2639" w:type="dxa"/>
            <w:tcBorders>
              <w:top w:val="nil"/>
              <w:left w:val="nil"/>
              <w:bottom w:val="nil"/>
              <w:right w:val="nil"/>
            </w:tcBorders>
            <w:shd w:val="clear" w:color="auto" w:fill="auto"/>
            <w:noWrap/>
            <w:vAlign w:val="bottom"/>
            <w:hideMark/>
          </w:tcPr>
          <w:p w14:paraId="5F80BBD8" w14:textId="56A079D9"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29" w:type="dxa"/>
            <w:tcBorders>
              <w:top w:val="nil"/>
              <w:left w:val="nil"/>
              <w:bottom w:val="nil"/>
              <w:right w:val="nil"/>
            </w:tcBorders>
            <w:shd w:val="clear" w:color="auto" w:fill="auto"/>
            <w:noWrap/>
            <w:vAlign w:val="bottom"/>
            <w:hideMark/>
          </w:tcPr>
          <w:p w14:paraId="68B3462D" w14:textId="7D3FA441"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367" w:type="dxa"/>
            <w:tcBorders>
              <w:top w:val="nil"/>
              <w:left w:val="nil"/>
              <w:bottom w:val="nil"/>
              <w:right w:val="nil"/>
            </w:tcBorders>
            <w:shd w:val="clear" w:color="auto" w:fill="auto"/>
            <w:noWrap/>
            <w:vAlign w:val="bottom"/>
            <w:hideMark/>
          </w:tcPr>
          <w:p w14:paraId="40981E17" w14:textId="7F7D6835"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D22958" w:rsidRPr="00C67B3B" w14:paraId="557E1434" w14:textId="77777777" w:rsidTr="00D22958">
        <w:trPr>
          <w:trHeight w:val="278"/>
        </w:trPr>
        <w:tc>
          <w:tcPr>
            <w:tcW w:w="3077" w:type="dxa"/>
            <w:tcBorders>
              <w:top w:val="nil"/>
              <w:left w:val="nil"/>
              <w:bottom w:val="single" w:sz="4" w:space="0" w:color="auto"/>
              <w:right w:val="nil"/>
            </w:tcBorders>
            <w:shd w:val="clear" w:color="auto" w:fill="auto"/>
            <w:noWrap/>
            <w:vAlign w:val="bottom"/>
            <w:hideMark/>
          </w:tcPr>
          <w:p w14:paraId="4150CBA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 </w:t>
            </w:r>
          </w:p>
        </w:tc>
        <w:tc>
          <w:tcPr>
            <w:tcW w:w="2639" w:type="dxa"/>
            <w:tcBorders>
              <w:top w:val="nil"/>
              <w:left w:val="nil"/>
              <w:bottom w:val="single" w:sz="4" w:space="0" w:color="auto"/>
              <w:right w:val="nil"/>
            </w:tcBorders>
            <w:shd w:val="clear" w:color="auto" w:fill="auto"/>
            <w:noWrap/>
            <w:vAlign w:val="bottom"/>
            <w:hideMark/>
          </w:tcPr>
          <w:p w14:paraId="53A2CB3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429" w:type="dxa"/>
            <w:tcBorders>
              <w:top w:val="nil"/>
              <w:left w:val="nil"/>
              <w:bottom w:val="single" w:sz="4" w:space="0" w:color="auto"/>
              <w:right w:val="nil"/>
            </w:tcBorders>
            <w:shd w:val="clear" w:color="auto" w:fill="auto"/>
            <w:noWrap/>
            <w:vAlign w:val="bottom"/>
            <w:hideMark/>
          </w:tcPr>
          <w:p w14:paraId="275B0A9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367" w:type="dxa"/>
            <w:tcBorders>
              <w:top w:val="nil"/>
              <w:left w:val="nil"/>
              <w:bottom w:val="single" w:sz="4" w:space="0" w:color="auto"/>
              <w:right w:val="nil"/>
            </w:tcBorders>
            <w:shd w:val="clear" w:color="auto" w:fill="auto"/>
            <w:noWrap/>
            <w:vAlign w:val="bottom"/>
            <w:hideMark/>
          </w:tcPr>
          <w:p w14:paraId="6AB24E9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r>
      <w:tr w:rsidR="00D22958" w:rsidRPr="00C67B3B" w14:paraId="42FE5C7F" w14:textId="77777777" w:rsidTr="00D22958">
        <w:trPr>
          <w:trHeight w:val="278"/>
        </w:trPr>
        <w:tc>
          <w:tcPr>
            <w:tcW w:w="3077" w:type="dxa"/>
            <w:tcBorders>
              <w:top w:val="nil"/>
              <w:left w:val="nil"/>
              <w:bottom w:val="nil"/>
              <w:right w:val="nil"/>
            </w:tcBorders>
            <w:shd w:val="clear" w:color="auto" w:fill="auto"/>
            <w:noWrap/>
            <w:vAlign w:val="bottom"/>
            <w:hideMark/>
          </w:tcPr>
          <w:p w14:paraId="60D9F9D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CRN</w:t>
            </w:r>
          </w:p>
        </w:tc>
        <w:tc>
          <w:tcPr>
            <w:tcW w:w="2639" w:type="dxa"/>
            <w:tcBorders>
              <w:top w:val="nil"/>
              <w:left w:val="nil"/>
              <w:bottom w:val="nil"/>
              <w:right w:val="nil"/>
            </w:tcBorders>
            <w:shd w:val="clear" w:color="auto" w:fill="auto"/>
            <w:noWrap/>
            <w:vAlign w:val="center"/>
            <w:hideMark/>
          </w:tcPr>
          <w:p w14:paraId="2551821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(1.163 - 1.300)</w:t>
            </w:r>
          </w:p>
        </w:tc>
        <w:tc>
          <w:tcPr>
            <w:tcW w:w="2429" w:type="dxa"/>
            <w:tcBorders>
              <w:top w:val="nil"/>
              <w:left w:val="nil"/>
              <w:bottom w:val="nil"/>
              <w:right w:val="nil"/>
            </w:tcBorders>
            <w:shd w:val="clear" w:color="auto" w:fill="auto"/>
            <w:noWrap/>
            <w:vAlign w:val="center"/>
            <w:hideMark/>
          </w:tcPr>
          <w:p w14:paraId="42F9A5C5"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1.265 (1.190 - 1.346)</w:t>
            </w:r>
          </w:p>
        </w:tc>
        <w:tc>
          <w:tcPr>
            <w:tcW w:w="2367" w:type="dxa"/>
            <w:tcBorders>
              <w:top w:val="nil"/>
              <w:left w:val="nil"/>
              <w:bottom w:val="nil"/>
              <w:right w:val="nil"/>
            </w:tcBorders>
            <w:shd w:val="clear" w:color="auto" w:fill="auto"/>
            <w:noWrap/>
            <w:vAlign w:val="center"/>
            <w:hideMark/>
          </w:tcPr>
          <w:p w14:paraId="7E594D7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1.083 (0.940 - 1.248)</w:t>
            </w:r>
          </w:p>
        </w:tc>
      </w:tr>
      <w:tr w:rsidR="00D22958" w:rsidRPr="00C67B3B" w14:paraId="005FF3C0" w14:textId="77777777" w:rsidTr="00D22958">
        <w:trPr>
          <w:trHeight w:val="278"/>
        </w:trPr>
        <w:tc>
          <w:tcPr>
            <w:tcW w:w="3077" w:type="dxa"/>
            <w:tcBorders>
              <w:top w:val="nil"/>
              <w:left w:val="nil"/>
              <w:bottom w:val="nil"/>
              <w:right w:val="nil"/>
            </w:tcBorders>
            <w:shd w:val="clear" w:color="000000" w:fill="FFFFFF"/>
            <w:noWrap/>
            <w:vAlign w:val="center"/>
            <w:hideMark/>
          </w:tcPr>
          <w:p w14:paraId="332F54D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Some College</w:t>
            </w:r>
          </w:p>
        </w:tc>
        <w:tc>
          <w:tcPr>
            <w:tcW w:w="2639" w:type="dxa"/>
            <w:tcBorders>
              <w:top w:val="nil"/>
              <w:left w:val="nil"/>
              <w:bottom w:val="nil"/>
              <w:right w:val="nil"/>
            </w:tcBorders>
            <w:shd w:val="clear" w:color="auto" w:fill="auto"/>
            <w:noWrap/>
            <w:vAlign w:val="center"/>
            <w:hideMark/>
          </w:tcPr>
          <w:p w14:paraId="39D7B59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0.887 (0.856 - 0.918)</w:t>
            </w:r>
          </w:p>
        </w:tc>
        <w:tc>
          <w:tcPr>
            <w:tcW w:w="2429" w:type="dxa"/>
            <w:tcBorders>
              <w:top w:val="nil"/>
              <w:left w:val="nil"/>
              <w:bottom w:val="nil"/>
              <w:right w:val="nil"/>
            </w:tcBorders>
            <w:shd w:val="clear" w:color="auto" w:fill="auto"/>
            <w:noWrap/>
            <w:vAlign w:val="center"/>
            <w:hideMark/>
          </w:tcPr>
          <w:p w14:paraId="235E661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0.897 (0.864 - 0.932)</w:t>
            </w:r>
          </w:p>
        </w:tc>
        <w:tc>
          <w:tcPr>
            <w:tcW w:w="2367" w:type="dxa"/>
            <w:tcBorders>
              <w:top w:val="nil"/>
              <w:left w:val="nil"/>
              <w:bottom w:val="nil"/>
              <w:right w:val="nil"/>
            </w:tcBorders>
            <w:shd w:val="clear" w:color="auto" w:fill="auto"/>
            <w:noWrap/>
            <w:vAlign w:val="center"/>
            <w:hideMark/>
          </w:tcPr>
          <w:p w14:paraId="777FE4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0.834 (0.756 - 0.919)</w:t>
            </w:r>
          </w:p>
        </w:tc>
      </w:tr>
      <w:tr w:rsidR="00D22958" w:rsidRPr="00C67B3B" w14:paraId="602F95DC" w14:textId="77777777" w:rsidTr="00D22958">
        <w:trPr>
          <w:trHeight w:val="278"/>
        </w:trPr>
        <w:tc>
          <w:tcPr>
            <w:tcW w:w="3077" w:type="dxa"/>
            <w:tcBorders>
              <w:top w:val="nil"/>
              <w:left w:val="nil"/>
              <w:bottom w:val="nil"/>
              <w:right w:val="nil"/>
            </w:tcBorders>
            <w:shd w:val="clear" w:color="000000" w:fill="FFFFFF"/>
            <w:noWrap/>
            <w:vAlign w:val="center"/>
            <w:hideMark/>
          </w:tcPr>
          <w:p w14:paraId="7C16C8EA"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College Degree</w:t>
            </w:r>
          </w:p>
        </w:tc>
        <w:tc>
          <w:tcPr>
            <w:tcW w:w="2639" w:type="dxa"/>
            <w:tcBorders>
              <w:top w:val="nil"/>
              <w:left w:val="nil"/>
              <w:bottom w:val="nil"/>
              <w:right w:val="nil"/>
            </w:tcBorders>
            <w:shd w:val="clear" w:color="auto" w:fill="auto"/>
            <w:noWrap/>
            <w:vAlign w:val="center"/>
            <w:hideMark/>
          </w:tcPr>
          <w:p w14:paraId="1126B3B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0.752 (0.718 - 0.787)</w:t>
            </w:r>
          </w:p>
        </w:tc>
        <w:tc>
          <w:tcPr>
            <w:tcW w:w="2429" w:type="dxa"/>
            <w:tcBorders>
              <w:top w:val="nil"/>
              <w:left w:val="nil"/>
              <w:bottom w:val="nil"/>
              <w:right w:val="nil"/>
            </w:tcBorders>
            <w:shd w:val="clear" w:color="auto" w:fill="auto"/>
            <w:noWrap/>
            <w:vAlign w:val="center"/>
            <w:hideMark/>
          </w:tcPr>
          <w:p w14:paraId="14CA561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0.759 (0.722 - 0.798)</w:t>
            </w:r>
          </w:p>
        </w:tc>
        <w:tc>
          <w:tcPr>
            <w:tcW w:w="2367" w:type="dxa"/>
            <w:tcBorders>
              <w:top w:val="nil"/>
              <w:left w:val="nil"/>
              <w:bottom w:val="nil"/>
              <w:right w:val="nil"/>
            </w:tcBorders>
            <w:shd w:val="clear" w:color="auto" w:fill="auto"/>
            <w:noWrap/>
            <w:vAlign w:val="center"/>
            <w:hideMark/>
          </w:tcPr>
          <w:p w14:paraId="31568B6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0.718 (0.634 - 0.813)</w:t>
            </w:r>
          </w:p>
        </w:tc>
      </w:tr>
      <w:tr w:rsidR="00D22958" w:rsidRPr="00C67B3B" w14:paraId="2AB4F962" w14:textId="77777777" w:rsidTr="00D22958">
        <w:trPr>
          <w:trHeight w:val="278"/>
        </w:trPr>
        <w:tc>
          <w:tcPr>
            <w:tcW w:w="3077" w:type="dxa"/>
            <w:tcBorders>
              <w:top w:val="nil"/>
              <w:left w:val="nil"/>
              <w:bottom w:val="nil"/>
              <w:right w:val="nil"/>
            </w:tcBorders>
            <w:shd w:val="clear" w:color="000000" w:fill="FFFFFF"/>
            <w:noWrap/>
            <w:vAlign w:val="center"/>
            <w:hideMark/>
          </w:tcPr>
          <w:p w14:paraId="1C94FAC8"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Age</w:t>
            </w:r>
          </w:p>
        </w:tc>
        <w:tc>
          <w:tcPr>
            <w:tcW w:w="2639" w:type="dxa"/>
            <w:tcBorders>
              <w:top w:val="nil"/>
              <w:left w:val="nil"/>
              <w:bottom w:val="nil"/>
              <w:right w:val="nil"/>
            </w:tcBorders>
            <w:shd w:val="clear" w:color="auto" w:fill="auto"/>
            <w:noWrap/>
            <w:vAlign w:val="center"/>
            <w:hideMark/>
          </w:tcPr>
          <w:p w14:paraId="1A6586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1.077 (1.076 - 1.079)</w:t>
            </w:r>
          </w:p>
        </w:tc>
        <w:tc>
          <w:tcPr>
            <w:tcW w:w="2429" w:type="dxa"/>
            <w:tcBorders>
              <w:top w:val="nil"/>
              <w:left w:val="nil"/>
              <w:bottom w:val="nil"/>
              <w:right w:val="nil"/>
            </w:tcBorders>
            <w:shd w:val="clear" w:color="auto" w:fill="auto"/>
            <w:noWrap/>
            <w:vAlign w:val="center"/>
            <w:hideMark/>
          </w:tcPr>
          <w:p w14:paraId="43EC614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1.078 (1.076 - 1.080)</w:t>
            </w:r>
          </w:p>
        </w:tc>
        <w:tc>
          <w:tcPr>
            <w:tcW w:w="2367" w:type="dxa"/>
            <w:tcBorders>
              <w:top w:val="nil"/>
              <w:left w:val="nil"/>
              <w:bottom w:val="nil"/>
              <w:right w:val="nil"/>
            </w:tcBorders>
            <w:shd w:val="clear" w:color="auto" w:fill="auto"/>
            <w:noWrap/>
            <w:vAlign w:val="center"/>
            <w:hideMark/>
          </w:tcPr>
          <w:p w14:paraId="5E5CD71A"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1.075 (1.069 - 1.080)</w:t>
            </w:r>
          </w:p>
        </w:tc>
      </w:tr>
      <w:tr w:rsidR="00D22958" w:rsidRPr="00C67B3B" w14:paraId="7B7EFCA0" w14:textId="77777777" w:rsidTr="00D22958">
        <w:trPr>
          <w:trHeight w:val="278"/>
        </w:trPr>
        <w:tc>
          <w:tcPr>
            <w:tcW w:w="3077" w:type="dxa"/>
            <w:tcBorders>
              <w:top w:val="nil"/>
              <w:left w:val="nil"/>
              <w:bottom w:val="nil"/>
              <w:right w:val="nil"/>
            </w:tcBorders>
            <w:shd w:val="clear" w:color="000000" w:fill="FFFFFF"/>
            <w:noWrap/>
            <w:vAlign w:val="center"/>
            <w:hideMark/>
          </w:tcPr>
          <w:p w14:paraId="7BCFDE8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$20,000 to &lt; $45,000</w:t>
            </w:r>
          </w:p>
        </w:tc>
        <w:tc>
          <w:tcPr>
            <w:tcW w:w="2639" w:type="dxa"/>
            <w:tcBorders>
              <w:top w:val="nil"/>
              <w:left w:val="nil"/>
              <w:bottom w:val="nil"/>
              <w:right w:val="nil"/>
            </w:tcBorders>
            <w:shd w:val="clear" w:color="auto" w:fill="auto"/>
            <w:noWrap/>
            <w:vAlign w:val="center"/>
            <w:hideMark/>
          </w:tcPr>
          <w:p w14:paraId="70987DD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0.886 (0.854 - 0.919)</w:t>
            </w:r>
          </w:p>
        </w:tc>
        <w:tc>
          <w:tcPr>
            <w:tcW w:w="2429" w:type="dxa"/>
            <w:tcBorders>
              <w:top w:val="nil"/>
              <w:left w:val="nil"/>
              <w:bottom w:val="nil"/>
              <w:right w:val="nil"/>
            </w:tcBorders>
            <w:shd w:val="clear" w:color="auto" w:fill="auto"/>
            <w:noWrap/>
            <w:vAlign w:val="center"/>
            <w:hideMark/>
          </w:tcPr>
          <w:p w14:paraId="251F8B2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0.874 (0.841 - 0.907)</w:t>
            </w:r>
          </w:p>
        </w:tc>
        <w:tc>
          <w:tcPr>
            <w:tcW w:w="2367" w:type="dxa"/>
            <w:tcBorders>
              <w:top w:val="nil"/>
              <w:left w:val="nil"/>
              <w:bottom w:val="nil"/>
              <w:right w:val="nil"/>
            </w:tcBorders>
            <w:shd w:val="clear" w:color="auto" w:fill="auto"/>
            <w:noWrap/>
            <w:vAlign w:val="center"/>
            <w:hideMark/>
          </w:tcPr>
          <w:p w14:paraId="462B0581"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0.989 (0.893 - 1.095)</w:t>
            </w:r>
          </w:p>
        </w:tc>
      </w:tr>
      <w:tr w:rsidR="00D22958" w:rsidRPr="00C67B3B" w14:paraId="60FA77AF" w14:textId="77777777" w:rsidTr="00D22958">
        <w:trPr>
          <w:trHeight w:val="278"/>
        </w:trPr>
        <w:tc>
          <w:tcPr>
            <w:tcW w:w="3077" w:type="dxa"/>
            <w:tcBorders>
              <w:top w:val="nil"/>
              <w:left w:val="nil"/>
              <w:bottom w:val="nil"/>
              <w:right w:val="nil"/>
            </w:tcBorders>
            <w:shd w:val="clear" w:color="000000" w:fill="FFFFFF"/>
            <w:noWrap/>
            <w:vAlign w:val="center"/>
            <w:hideMark/>
          </w:tcPr>
          <w:p w14:paraId="51AE935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$45,000 to &lt; $65,000</w:t>
            </w:r>
          </w:p>
        </w:tc>
        <w:tc>
          <w:tcPr>
            <w:tcW w:w="2639" w:type="dxa"/>
            <w:tcBorders>
              <w:top w:val="nil"/>
              <w:left w:val="nil"/>
              <w:bottom w:val="nil"/>
              <w:right w:val="nil"/>
            </w:tcBorders>
            <w:shd w:val="clear" w:color="auto" w:fill="auto"/>
            <w:noWrap/>
            <w:vAlign w:val="center"/>
            <w:hideMark/>
          </w:tcPr>
          <w:p w14:paraId="31583FC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0.795 (0.760 - 0.832)</w:t>
            </w:r>
          </w:p>
        </w:tc>
        <w:tc>
          <w:tcPr>
            <w:tcW w:w="2429" w:type="dxa"/>
            <w:tcBorders>
              <w:top w:val="nil"/>
              <w:left w:val="nil"/>
              <w:bottom w:val="nil"/>
              <w:right w:val="nil"/>
            </w:tcBorders>
            <w:shd w:val="clear" w:color="auto" w:fill="auto"/>
            <w:noWrap/>
            <w:vAlign w:val="center"/>
            <w:hideMark/>
          </w:tcPr>
          <w:p w14:paraId="2192E1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0.782 (0.745 - 0.820)</w:t>
            </w:r>
          </w:p>
        </w:tc>
        <w:tc>
          <w:tcPr>
            <w:tcW w:w="2367" w:type="dxa"/>
            <w:tcBorders>
              <w:top w:val="nil"/>
              <w:left w:val="nil"/>
              <w:bottom w:val="nil"/>
              <w:right w:val="nil"/>
            </w:tcBorders>
            <w:shd w:val="clear" w:color="auto" w:fill="auto"/>
            <w:noWrap/>
            <w:vAlign w:val="center"/>
            <w:hideMark/>
          </w:tcPr>
          <w:p w14:paraId="1AE8686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0.904 (0.802 - 1.017)</w:t>
            </w:r>
          </w:p>
        </w:tc>
      </w:tr>
      <w:tr w:rsidR="00D22958" w:rsidRPr="00C67B3B" w14:paraId="6075AC36" w14:textId="77777777" w:rsidTr="00D22958">
        <w:trPr>
          <w:trHeight w:val="278"/>
        </w:trPr>
        <w:tc>
          <w:tcPr>
            <w:tcW w:w="3077" w:type="dxa"/>
            <w:tcBorders>
              <w:top w:val="nil"/>
              <w:left w:val="nil"/>
              <w:bottom w:val="nil"/>
              <w:right w:val="nil"/>
            </w:tcBorders>
            <w:shd w:val="clear" w:color="000000" w:fill="FFFFFF"/>
            <w:noWrap/>
            <w:vAlign w:val="center"/>
            <w:hideMark/>
          </w:tcPr>
          <w:p w14:paraId="03CE51D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$65,000 to &lt; $85,000</w:t>
            </w:r>
          </w:p>
        </w:tc>
        <w:tc>
          <w:tcPr>
            <w:tcW w:w="2639" w:type="dxa"/>
            <w:tcBorders>
              <w:top w:val="nil"/>
              <w:left w:val="nil"/>
              <w:bottom w:val="nil"/>
              <w:right w:val="nil"/>
            </w:tcBorders>
            <w:shd w:val="clear" w:color="auto" w:fill="auto"/>
            <w:noWrap/>
            <w:vAlign w:val="center"/>
            <w:hideMark/>
          </w:tcPr>
          <w:p w14:paraId="1D27443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0.662 (0.623 - 0.702)</w:t>
            </w:r>
          </w:p>
        </w:tc>
        <w:tc>
          <w:tcPr>
            <w:tcW w:w="2429" w:type="dxa"/>
            <w:tcBorders>
              <w:top w:val="nil"/>
              <w:left w:val="nil"/>
              <w:bottom w:val="nil"/>
              <w:right w:val="nil"/>
            </w:tcBorders>
            <w:shd w:val="clear" w:color="auto" w:fill="auto"/>
            <w:noWrap/>
            <w:vAlign w:val="center"/>
            <w:hideMark/>
          </w:tcPr>
          <w:p w14:paraId="0671671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0.656 (0.616 - 0.698)</w:t>
            </w:r>
          </w:p>
        </w:tc>
        <w:tc>
          <w:tcPr>
            <w:tcW w:w="2367" w:type="dxa"/>
            <w:tcBorders>
              <w:top w:val="nil"/>
              <w:left w:val="nil"/>
              <w:bottom w:val="nil"/>
              <w:right w:val="nil"/>
            </w:tcBorders>
            <w:shd w:val="clear" w:color="auto" w:fill="auto"/>
            <w:noWrap/>
            <w:vAlign w:val="center"/>
            <w:hideMark/>
          </w:tcPr>
          <w:p w14:paraId="478BFCF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0.706 (0.592 - 0.841)</w:t>
            </w:r>
          </w:p>
        </w:tc>
      </w:tr>
      <w:tr w:rsidR="00D22958" w:rsidRPr="00C67B3B" w14:paraId="41FC0C1E" w14:textId="77777777" w:rsidTr="00D22958">
        <w:trPr>
          <w:trHeight w:val="278"/>
        </w:trPr>
        <w:tc>
          <w:tcPr>
            <w:tcW w:w="3077" w:type="dxa"/>
            <w:tcBorders>
              <w:top w:val="nil"/>
              <w:left w:val="nil"/>
              <w:bottom w:val="nil"/>
              <w:right w:val="nil"/>
            </w:tcBorders>
            <w:shd w:val="clear" w:color="000000" w:fill="FFFFFF"/>
            <w:noWrap/>
            <w:vAlign w:val="center"/>
            <w:hideMark/>
          </w:tcPr>
          <w:p w14:paraId="1D5C6AD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$85,000 to &lt; $100,000</w:t>
            </w:r>
          </w:p>
        </w:tc>
        <w:tc>
          <w:tcPr>
            <w:tcW w:w="2639" w:type="dxa"/>
            <w:tcBorders>
              <w:top w:val="nil"/>
              <w:left w:val="nil"/>
              <w:bottom w:val="nil"/>
              <w:right w:val="nil"/>
            </w:tcBorders>
            <w:shd w:val="clear" w:color="auto" w:fill="auto"/>
            <w:noWrap/>
            <w:vAlign w:val="center"/>
            <w:hideMark/>
          </w:tcPr>
          <w:p w14:paraId="7D7B57B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0.588 (0.509 - 0.678)</w:t>
            </w:r>
          </w:p>
        </w:tc>
        <w:tc>
          <w:tcPr>
            <w:tcW w:w="2429" w:type="dxa"/>
            <w:tcBorders>
              <w:top w:val="nil"/>
              <w:left w:val="nil"/>
              <w:bottom w:val="nil"/>
              <w:right w:val="nil"/>
            </w:tcBorders>
            <w:shd w:val="clear" w:color="auto" w:fill="auto"/>
            <w:noWrap/>
            <w:vAlign w:val="center"/>
            <w:hideMark/>
          </w:tcPr>
          <w:p w14:paraId="7FE064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0.558 (0.456 - 0.682)</w:t>
            </w:r>
          </w:p>
        </w:tc>
        <w:tc>
          <w:tcPr>
            <w:tcW w:w="2367" w:type="dxa"/>
            <w:tcBorders>
              <w:top w:val="nil"/>
              <w:left w:val="nil"/>
              <w:bottom w:val="nil"/>
              <w:right w:val="nil"/>
            </w:tcBorders>
            <w:shd w:val="clear" w:color="auto" w:fill="auto"/>
            <w:noWrap/>
            <w:vAlign w:val="center"/>
            <w:hideMark/>
          </w:tcPr>
          <w:p w14:paraId="5E7ECFF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0.686 (0.541 - 0.870)</w:t>
            </w:r>
          </w:p>
        </w:tc>
      </w:tr>
      <w:tr w:rsidR="00D22958" w:rsidRPr="00C67B3B" w14:paraId="03CD7746" w14:textId="77777777" w:rsidTr="00D22958">
        <w:trPr>
          <w:trHeight w:val="278"/>
        </w:trPr>
        <w:tc>
          <w:tcPr>
            <w:tcW w:w="3077" w:type="dxa"/>
            <w:tcBorders>
              <w:top w:val="nil"/>
              <w:left w:val="nil"/>
              <w:bottom w:val="nil"/>
              <w:right w:val="nil"/>
            </w:tcBorders>
            <w:shd w:val="clear" w:color="000000" w:fill="FFFFFF"/>
            <w:noWrap/>
            <w:vAlign w:val="center"/>
            <w:hideMark/>
          </w:tcPr>
          <w:p w14:paraId="7D69C43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$100,000 or more</w:t>
            </w:r>
          </w:p>
        </w:tc>
        <w:tc>
          <w:tcPr>
            <w:tcW w:w="2639" w:type="dxa"/>
            <w:tcBorders>
              <w:top w:val="nil"/>
              <w:left w:val="nil"/>
              <w:bottom w:val="nil"/>
              <w:right w:val="nil"/>
            </w:tcBorders>
            <w:shd w:val="clear" w:color="auto" w:fill="auto"/>
            <w:noWrap/>
            <w:vAlign w:val="center"/>
            <w:hideMark/>
          </w:tcPr>
          <w:p w14:paraId="5D9A8D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0.621 (0.562 - 0.687)</w:t>
            </w:r>
          </w:p>
        </w:tc>
        <w:tc>
          <w:tcPr>
            <w:tcW w:w="2429" w:type="dxa"/>
            <w:tcBorders>
              <w:top w:val="nil"/>
              <w:left w:val="nil"/>
              <w:bottom w:val="nil"/>
              <w:right w:val="nil"/>
            </w:tcBorders>
            <w:shd w:val="clear" w:color="auto" w:fill="auto"/>
            <w:noWrap/>
            <w:vAlign w:val="center"/>
            <w:hideMark/>
          </w:tcPr>
          <w:p w14:paraId="0D359DB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0.600 (0.516 - 0.697)</w:t>
            </w:r>
          </w:p>
        </w:tc>
        <w:tc>
          <w:tcPr>
            <w:tcW w:w="2367" w:type="dxa"/>
            <w:tcBorders>
              <w:top w:val="nil"/>
              <w:left w:val="nil"/>
              <w:bottom w:val="nil"/>
              <w:right w:val="nil"/>
            </w:tcBorders>
            <w:shd w:val="clear" w:color="auto" w:fill="auto"/>
            <w:noWrap/>
            <w:vAlign w:val="center"/>
            <w:hideMark/>
          </w:tcPr>
          <w:p w14:paraId="5CF025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0.707 (0.586 - 0.851)</w:t>
            </w:r>
          </w:p>
        </w:tc>
      </w:tr>
      <w:tr w:rsidR="00D22958" w:rsidRPr="00C67B3B" w14:paraId="4CFB3A2F" w14:textId="77777777" w:rsidTr="00D22958">
        <w:trPr>
          <w:trHeight w:val="278"/>
        </w:trPr>
        <w:tc>
          <w:tcPr>
            <w:tcW w:w="3077" w:type="dxa"/>
            <w:tcBorders>
              <w:top w:val="nil"/>
              <w:left w:val="nil"/>
              <w:bottom w:val="nil"/>
              <w:right w:val="nil"/>
            </w:tcBorders>
            <w:shd w:val="clear" w:color="auto" w:fill="auto"/>
            <w:noWrap/>
            <w:vAlign w:val="bottom"/>
            <w:hideMark/>
          </w:tcPr>
          <w:p w14:paraId="7C657DC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Female Sex</w:t>
            </w:r>
          </w:p>
        </w:tc>
        <w:tc>
          <w:tcPr>
            <w:tcW w:w="2639" w:type="dxa"/>
            <w:tcBorders>
              <w:top w:val="nil"/>
              <w:left w:val="nil"/>
              <w:bottom w:val="nil"/>
              <w:right w:val="nil"/>
            </w:tcBorders>
            <w:shd w:val="clear" w:color="auto" w:fill="auto"/>
            <w:noWrap/>
            <w:vAlign w:val="center"/>
            <w:hideMark/>
          </w:tcPr>
          <w:p w14:paraId="5C98760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(0.644 - 0.682)</w:t>
            </w:r>
          </w:p>
        </w:tc>
        <w:tc>
          <w:tcPr>
            <w:tcW w:w="2429" w:type="dxa"/>
            <w:tcBorders>
              <w:top w:val="nil"/>
              <w:left w:val="nil"/>
              <w:bottom w:val="nil"/>
              <w:right w:val="nil"/>
            </w:tcBorders>
            <w:shd w:val="clear" w:color="auto" w:fill="auto"/>
            <w:noWrap/>
            <w:vAlign w:val="center"/>
            <w:hideMark/>
          </w:tcPr>
          <w:p w14:paraId="5FF569F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(0.642 - 0.684)</w:t>
            </w:r>
          </w:p>
        </w:tc>
        <w:tc>
          <w:tcPr>
            <w:tcW w:w="2367" w:type="dxa"/>
            <w:tcBorders>
              <w:top w:val="nil"/>
              <w:left w:val="nil"/>
              <w:bottom w:val="nil"/>
              <w:right w:val="nil"/>
            </w:tcBorders>
            <w:shd w:val="clear" w:color="auto" w:fill="auto"/>
            <w:noWrap/>
            <w:vAlign w:val="center"/>
            <w:hideMark/>
          </w:tcPr>
          <w:p w14:paraId="64EF5776"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0.661 (0.614 - 0.711)</w:t>
            </w:r>
          </w:p>
        </w:tc>
      </w:tr>
      <w:tr w:rsidR="00D22958" w:rsidRPr="00C67B3B" w14:paraId="21F15781" w14:textId="77777777" w:rsidTr="00D22958">
        <w:trPr>
          <w:trHeight w:val="278"/>
        </w:trPr>
        <w:tc>
          <w:tcPr>
            <w:tcW w:w="3077" w:type="dxa"/>
            <w:tcBorders>
              <w:top w:val="nil"/>
              <w:left w:val="nil"/>
              <w:bottom w:val="nil"/>
              <w:right w:val="nil"/>
            </w:tcBorders>
            <w:shd w:val="clear" w:color="000000" w:fill="FFFFFF"/>
            <w:noWrap/>
            <w:vAlign w:val="center"/>
            <w:hideMark/>
          </w:tcPr>
          <w:p w14:paraId="5CF401A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Public Insurance</w:t>
            </w:r>
          </w:p>
        </w:tc>
        <w:tc>
          <w:tcPr>
            <w:tcW w:w="2639" w:type="dxa"/>
            <w:tcBorders>
              <w:top w:val="nil"/>
              <w:left w:val="nil"/>
              <w:bottom w:val="nil"/>
              <w:right w:val="nil"/>
            </w:tcBorders>
            <w:shd w:val="clear" w:color="auto" w:fill="auto"/>
            <w:noWrap/>
            <w:vAlign w:val="center"/>
            <w:hideMark/>
          </w:tcPr>
          <w:p w14:paraId="17EF4E3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(1.197 - 1.411)</w:t>
            </w:r>
          </w:p>
        </w:tc>
        <w:tc>
          <w:tcPr>
            <w:tcW w:w="2429" w:type="dxa"/>
            <w:tcBorders>
              <w:top w:val="nil"/>
              <w:left w:val="nil"/>
              <w:bottom w:val="nil"/>
              <w:right w:val="nil"/>
            </w:tcBorders>
            <w:shd w:val="clear" w:color="auto" w:fill="auto"/>
            <w:noWrap/>
            <w:vAlign w:val="center"/>
            <w:hideMark/>
          </w:tcPr>
          <w:p w14:paraId="52975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1.303 (1.192 - 1.423)</w:t>
            </w:r>
          </w:p>
        </w:tc>
        <w:tc>
          <w:tcPr>
            <w:tcW w:w="2367" w:type="dxa"/>
            <w:tcBorders>
              <w:top w:val="nil"/>
              <w:left w:val="nil"/>
              <w:bottom w:val="nil"/>
              <w:right w:val="nil"/>
            </w:tcBorders>
            <w:shd w:val="clear" w:color="auto" w:fill="auto"/>
            <w:noWrap/>
            <w:vAlign w:val="center"/>
            <w:hideMark/>
          </w:tcPr>
          <w:p w14:paraId="1256AB2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1.297 (1.056 - 1.594)</w:t>
            </w:r>
          </w:p>
        </w:tc>
      </w:tr>
      <w:tr w:rsidR="00D22958" w:rsidRPr="00C67B3B" w14:paraId="5930ECC9" w14:textId="77777777" w:rsidTr="00D22958">
        <w:trPr>
          <w:trHeight w:val="278"/>
        </w:trPr>
        <w:tc>
          <w:tcPr>
            <w:tcW w:w="3077" w:type="dxa"/>
            <w:tcBorders>
              <w:top w:val="nil"/>
              <w:left w:val="nil"/>
              <w:bottom w:val="nil"/>
              <w:right w:val="nil"/>
            </w:tcBorders>
            <w:shd w:val="clear" w:color="000000" w:fill="FFFFFF"/>
            <w:noWrap/>
            <w:vAlign w:val="center"/>
            <w:hideMark/>
          </w:tcPr>
          <w:p w14:paraId="42B6C34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Private Insurance</w:t>
            </w:r>
          </w:p>
        </w:tc>
        <w:tc>
          <w:tcPr>
            <w:tcW w:w="2639" w:type="dxa"/>
            <w:tcBorders>
              <w:top w:val="nil"/>
              <w:left w:val="nil"/>
              <w:bottom w:val="nil"/>
              <w:right w:val="nil"/>
            </w:tcBorders>
            <w:shd w:val="clear" w:color="auto" w:fill="auto"/>
            <w:noWrap/>
            <w:vAlign w:val="center"/>
            <w:hideMark/>
          </w:tcPr>
          <w:p w14:paraId="786D9B2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0.852 (0.788 - 0.920)</w:t>
            </w:r>
          </w:p>
        </w:tc>
        <w:tc>
          <w:tcPr>
            <w:tcW w:w="2429" w:type="dxa"/>
            <w:tcBorders>
              <w:top w:val="nil"/>
              <w:left w:val="nil"/>
              <w:bottom w:val="nil"/>
              <w:right w:val="nil"/>
            </w:tcBorders>
            <w:shd w:val="clear" w:color="auto" w:fill="auto"/>
            <w:noWrap/>
            <w:vAlign w:val="center"/>
            <w:hideMark/>
          </w:tcPr>
          <w:p w14:paraId="1FE73C9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0.871 (0.803 - 0.946)</w:t>
            </w:r>
          </w:p>
        </w:tc>
        <w:tc>
          <w:tcPr>
            <w:tcW w:w="2367" w:type="dxa"/>
            <w:tcBorders>
              <w:top w:val="nil"/>
              <w:left w:val="nil"/>
              <w:bottom w:val="nil"/>
              <w:right w:val="nil"/>
            </w:tcBorders>
            <w:shd w:val="clear" w:color="auto" w:fill="auto"/>
            <w:noWrap/>
            <w:vAlign w:val="center"/>
            <w:hideMark/>
          </w:tcPr>
          <w:p w14:paraId="050CDAC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0.745 (0.607 - 0.913)</w:t>
            </w:r>
          </w:p>
        </w:tc>
      </w:tr>
      <w:tr w:rsidR="00D22958" w:rsidRPr="00C67B3B" w14:paraId="3E1BC0D6" w14:textId="77777777" w:rsidTr="00D22958">
        <w:trPr>
          <w:trHeight w:val="278"/>
        </w:trPr>
        <w:tc>
          <w:tcPr>
            <w:tcW w:w="3077" w:type="dxa"/>
            <w:tcBorders>
              <w:top w:val="nil"/>
              <w:left w:val="nil"/>
              <w:bottom w:val="nil"/>
              <w:right w:val="nil"/>
            </w:tcBorders>
            <w:shd w:val="clear" w:color="000000" w:fill="FFFFFF"/>
            <w:noWrap/>
            <w:vAlign w:val="center"/>
            <w:hideMark/>
          </w:tcPr>
          <w:p w14:paraId="44F8D09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Military</w:t>
            </w:r>
          </w:p>
        </w:tc>
        <w:tc>
          <w:tcPr>
            <w:tcW w:w="2639" w:type="dxa"/>
            <w:tcBorders>
              <w:top w:val="nil"/>
              <w:left w:val="nil"/>
              <w:bottom w:val="nil"/>
              <w:right w:val="nil"/>
            </w:tcBorders>
            <w:shd w:val="clear" w:color="auto" w:fill="auto"/>
            <w:noWrap/>
            <w:vAlign w:val="center"/>
            <w:hideMark/>
          </w:tcPr>
          <w:p w14:paraId="1866BDB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1.036 (0.935 - 1.149)</w:t>
            </w:r>
          </w:p>
        </w:tc>
        <w:tc>
          <w:tcPr>
            <w:tcW w:w="2429" w:type="dxa"/>
            <w:tcBorders>
              <w:top w:val="nil"/>
              <w:left w:val="nil"/>
              <w:bottom w:val="nil"/>
              <w:right w:val="nil"/>
            </w:tcBorders>
            <w:shd w:val="clear" w:color="auto" w:fill="auto"/>
            <w:noWrap/>
            <w:vAlign w:val="center"/>
            <w:hideMark/>
          </w:tcPr>
          <w:p w14:paraId="388A052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1.047 (0.936 - 1.170)</w:t>
            </w:r>
          </w:p>
        </w:tc>
        <w:tc>
          <w:tcPr>
            <w:tcW w:w="2367" w:type="dxa"/>
            <w:tcBorders>
              <w:top w:val="nil"/>
              <w:left w:val="nil"/>
              <w:bottom w:val="nil"/>
              <w:right w:val="nil"/>
            </w:tcBorders>
            <w:shd w:val="clear" w:color="auto" w:fill="auto"/>
            <w:noWrap/>
            <w:vAlign w:val="center"/>
            <w:hideMark/>
          </w:tcPr>
          <w:p w14:paraId="21F48EEC"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0.975 (0.762 - 1.248)</w:t>
            </w:r>
          </w:p>
        </w:tc>
      </w:tr>
      <w:tr w:rsidR="00D22958" w:rsidRPr="00C67B3B" w14:paraId="4112CC00" w14:textId="77777777" w:rsidTr="00D22958">
        <w:trPr>
          <w:trHeight w:val="278"/>
        </w:trPr>
        <w:tc>
          <w:tcPr>
            <w:tcW w:w="3077" w:type="dxa"/>
            <w:tcBorders>
              <w:top w:val="nil"/>
              <w:left w:val="nil"/>
              <w:bottom w:val="nil"/>
              <w:right w:val="nil"/>
            </w:tcBorders>
            <w:shd w:val="clear" w:color="000000" w:fill="FFFFFF"/>
            <w:noWrap/>
            <w:vAlign w:val="center"/>
            <w:hideMark/>
          </w:tcPr>
          <w:p w14:paraId="49C1A80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Medicare</w:t>
            </w:r>
          </w:p>
        </w:tc>
        <w:tc>
          <w:tcPr>
            <w:tcW w:w="2639" w:type="dxa"/>
            <w:tcBorders>
              <w:top w:val="nil"/>
              <w:left w:val="nil"/>
              <w:bottom w:val="nil"/>
              <w:right w:val="nil"/>
            </w:tcBorders>
            <w:shd w:val="clear" w:color="auto" w:fill="auto"/>
            <w:noWrap/>
            <w:vAlign w:val="center"/>
            <w:hideMark/>
          </w:tcPr>
          <w:p w14:paraId="25592AE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0.956 (0.882 - 1.036)</w:t>
            </w:r>
          </w:p>
        </w:tc>
        <w:tc>
          <w:tcPr>
            <w:tcW w:w="2429" w:type="dxa"/>
            <w:tcBorders>
              <w:top w:val="nil"/>
              <w:left w:val="nil"/>
              <w:bottom w:val="nil"/>
              <w:right w:val="nil"/>
            </w:tcBorders>
            <w:shd w:val="clear" w:color="auto" w:fill="auto"/>
            <w:noWrap/>
            <w:vAlign w:val="center"/>
            <w:hideMark/>
          </w:tcPr>
          <w:p w14:paraId="68CED500"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0.960 (0.880 - 1.046)</w:t>
            </w:r>
          </w:p>
        </w:tc>
        <w:tc>
          <w:tcPr>
            <w:tcW w:w="2367" w:type="dxa"/>
            <w:tcBorders>
              <w:top w:val="nil"/>
              <w:left w:val="nil"/>
              <w:bottom w:val="nil"/>
              <w:right w:val="nil"/>
            </w:tcBorders>
            <w:shd w:val="clear" w:color="auto" w:fill="auto"/>
            <w:noWrap/>
            <w:vAlign w:val="center"/>
            <w:hideMark/>
          </w:tcPr>
          <w:p w14:paraId="61CE43F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0.939 (0.760 - 1.160)</w:t>
            </w:r>
          </w:p>
        </w:tc>
      </w:tr>
      <w:tr w:rsidR="00D22958" w:rsidRPr="00C67B3B" w14:paraId="565C2114" w14:textId="77777777" w:rsidTr="00D22958">
        <w:trPr>
          <w:trHeight w:val="278"/>
        </w:trPr>
        <w:tc>
          <w:tcPr>
            <w:tcW w:w="3077" w:type="dxa"/>
            <w:tcBorders>
              <w:top w:val="nil"/>
              <w:left w:val="nil"/>
              <w:bottom w:val="nil"/>
              <w:right w:val="nil"/>
            </w:tcBorders>
            <w:shd w:val="clear" w:color="000000" w:fill="FFFFFF"/>
            <w:noWrap/>
            <w:vAlign w:val="center"/>
            <w:hideMark/>
          </w:tcPr>
          <w:p w14:paraId="0928F15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02BF928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0.821 (0.603 - 1.118)</w:t>
            </w:r>
          </w:p>
        </w:tc>
        <w:tc>
          <w:tcPr>
            <w:tcW w:w="2429" w:type="dxa"/>
            <w:tcBorders>
              <w:top w:val="nil"/>
              <w:left w:val="nil"/>
              <w:bottom w:val="nil"/>
              <w:right w:val="nil"/>
            </w:tcBorders>
            <w:shd w:val="clear" w:color="auto" w:fill="auto"/>
            <w:noWrap/>
            <w:vAlign w:val="center"/>
            <w:hideMark/>
          </w:tcPr>
          <w:p w14:paraId="0A657C3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0.839 (0.610 - 1.154)</w:t>
            </w:r>
          </w:p>
        </w:tc>
        <w:tc>
          <w:tcPr>
            <w:tcW w:w="2367" w:type="dxa"/>
            <w:tcBorders>
              <w:top w:val="nil"/>
              <w:left w:val="nil"/>
              <w:bottom w:val="nil"/>
              <w:right w:val="nil"/>
            </w:tcBorders>
            <w:shd w:val="clear" w:color="auto" w:fill="auto"/>
            <w:noWrap/>
            <w:vAlign w:val="center"/>
            <w:hideMark/>
          </w:tcPr>
          <w:p w14:paraId="725C34A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0.595 (0.154 - 2.304)</w:t>
            </w:r>
          </w:p>
        </w:tc>
      </w:tr>
      <w:tr w:rsidR="00D22958" w:rsidRPr="00C67B3B" w14:paraId="7669EC04" w14:textId="77777777" w:rsidTr="00D22958">
        <w:trPr>
          <w:trHeight w:val="278"/>
        </w:trPr>
        <w:tc>
          <w:tcPr>
            <w:tcW w:w="3077" w:type="dxa"/>
            <w:tcBorders>
              <w:top w:val="nil"/>
              <w:left w:val="nil"/>
              <w:bottom w:val="nil"/>
              <w:right w:val="nil"/>
            </w:tcBorders>
            <w:shd w:val="clear" w:color="000000" w:fill="FFFFFF"/>
            <w:noWrap/>
            <w:vAlign w:val="center"/>
            <w:hideMark/>
          </w:tcPr>
          <w:p w14:paraId="276DDF1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Black</w:t>
            </w:r>
          </w:p>
        </w:tc>
        <w:tc>
          <w:tcPr>
            <w:tcW w:w="2639" w:type="dxa"/>
            <w:tcBorders>
              <w:top w:val="nil"/>
              <w:left w:val="nil"/>
              <w:bottom w:val="nil"/>
              <w:right w:val="nil"/>
            </w:tcBorders>
            <w:shd w:val="clear" w:color="auto" w:fill="auto"/>
            <w:noWrap/>
            <w:vAlign w:val="center"/>
            <w:hideMark/>
          </w:tcPr>
          <w:p w14:paraId="3D148BF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0.971 (0.930 - 1.014)</w:t>
            </w:r>
          </w:p>
        </w:tc>
        <w:tc>
          <w:tcPr>
            <w:tcW w:w="2429" w:type="dxa"/>
            <w:tcBorders>
              <w:top w:val="nil"/>
              <w:left w:val="nil"/>
              <w:bottom w:val="nil"/>
              <w:right w:val="nil"/>
            </w:tcBorders>
            <w:shd w:val="clear" w:color="auto" w:fill="auto"/>
            <w:noWrap/>
            <w:vAlign w:val="center"/>
            <w:hideMark/>
          </w:tcPr>
          <w:p w14:paraId="584A39F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0.981 (0.936 - 1.029)</w:t>
            </w:r>
          </w:p>
        </w:tc>
        <w:tc>
          <w:tcPr>
            <w:tcW w:w="2367" w:type="dxa"/>
            <w:tcBorders>
              <w:top w:val="nil"/>
              <w:left w:val="nil"/>
              <w:bottom w:val="nil"/>
              <w:right w:val="nil"/>
            </w:tcBorders>
            <w:shd w:val="clear" w:color="auto" w:fill="auto"/>
            <w:noWrap/>
            <w:vAlign w:val="center"/>
            <w:hideMark/>
          </w:tcPr>
          <w:p w14:paraId="329E1A7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0.914 (0.816 - 1.024)</w:t>
            </w:r>
          </w:p>
        </w:tc>
      </w:tr>
      <w:tr w:rsidR="00D22958" w:rsidRPr="00C67B3B" w14:paraId="45E96150" w14:textId="77777777" w:rsidTr="00D22958">
        <w:trPr>
          <w:trHeight w:val="278"/>
        </w:trPr>
        <w:tc>
          <w:tcPr>
            <w:tcW w:w="3077" w:type="dxa"/>
            <w:tcBorders>
              <w:top w:val="nil"/>
              <w:left w:val="nil"/>
              <w:bottom w:val="nil"/>
              <w:right w:val="nil"/>
            </w:tcBorders>
            <w:shd w:val="clear" w:color="000000" w:fill="FFFFFF"/>
            <w:noWrap/>
            <w:vAlign w:val="center"/>
            <w:hideMark/>
          </w:tcPr>
          <w:p w14:paraId="58905CC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Hispanic</w:t>
            </w:r>
          </w:p>
        </w:tc>
        <w:tc>
          <w:tcPr>
            <w:tcW w:w="2639" w:type="dxa"/>
            <w:tcBorders>
              <w:top w:val="nil"/>
              <w:left w:val="nil"/>
              <w:bottom w:val="nil"/>
              <w:right w:val="nil"/>
            </w:tcBorders>
            <w:shd w:val="clear" w:color="auto" w:fill="auto"/>
            <w:noWrap/>
            <w:vAlign w:val="center"/>
            <w:hideMark/>
          </w:tcPr>
          <w:p w14:paraId="3543F39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0.705 (0.662 - 0.751)</w:t>
            </w:r>
          </w:p>
        </w:tc>
        <w:tc>
          <w:tcPr>
            <w:tcW w:w="2429" w:type="dxa"/>
            <w:tcBorders>
              <w:top w:val="nil"/>
              <w:left w:val="nil"/>
              <w:bottom w:val="nil"/>
              <w:right w:val="nil"/>
            </w:tcBorders>
            <w:shd w:val="clear" w:color="auto" w:fill="auto"/>
            <w:noWrap/>
            <w:vAlign w:val="center"/>
            <w:hideMark/>
          </w:tcPr>
          <w:p w14:paraId="0AE3E12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0.700 (0.654 - 0.749)</w:t>
            </w:r>
          </w:p>
        </w:tc>
        <w:tc>
          <w:tcPr>
            <w:tcW w:w="2367" w:type="dxa"/>
            <w:tcBorders>
              <w:top w:val="nil"/>
              <w:left w:val="nil"/>
              <w:bottom w:val="nil"/>
              <w:right w:val="nil"/>
            </w:tcBorders>
            <w:shd w:val="clear" w:color="auto" w:fill="auto"/>
            <w:noWrap/>
            <w:vAlign w:val="center"/>
            <w:hideMark/>
          </w:tcPr>
          <w:p w14:paraId="6340BEE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0.737 (0.637 - 0.853)</w:t>
            </w:r>
          </w:p>
        </w:tc>
      </w:tr>
      <w:tr w:rsidR="00D22958" w:rsidRPr="00C67B3B" w14:paraId="72F69477" w14:textId="77777777" w:rsidTr="00D22958">
        <w:trPr>
          <w:trHeight w:val="278"/>
        </w:trPr>
        <w:tc>
          <w:tcPr>
            <w:tcW w:w="3077" w:type="dxa"/>
            <w:tcBorders>
              <w:top w:val="nil"/>
              <w:left w:val="nil"/>
              <w:bottom w:val="nil"/>
              <w:right w:val="nil"/>
            </w:tcBorders>
            <w:shd w:val="clear" w:color="000000" w:fill="FFFFFF"/>
            <w:noWrap/>
            <w:vAlign w:val="center"/>
            <w:hideMark/>
          </w:tcPr>
          <w:p w14:paraId="25472463"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American Indian/Alaskan Native</w:t>
            </w:r>
          </w:p>
        </w:tc>
        <w:tc>
          <w:tcPr>
            <w:tcW w:w="2639" w:type="dxa"/>
            <w:tcBorders>
              <w:top w:val="nil"/>
              <w:left w:val="nil"/>
              <w:bottom w:val="nil"/>
              <w:right w:val="nil"/>
            </w:tcBorders>
            <w:shd w:val="clear" w:color="auto" w:fill="auto"/>
            <w:noWrap/>
            <w:vAlign w:val="center"/>
            <w:hideMark/>
          </w:tcPr>
          <w:p w14:paraId="354BBA2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1.189 (0.975 - 1.450)</w:t>
            </w:r>
          </w:p>
        </w:tc>
        <w:tc>
          <w:tcPr>
            <w:tcW w:w="2429" w:type="dxa"/>
            <w:tcBorders>
              <w:top w:val="nil"/>
              <w:left w:val="nil"/>
              <w:bottom w:val="nil"/>
              <w:right w:val="nil"/>
            </w:tcBorders>
            <w:shd w:val="clear" w:color="auto" w:fill="auto"/>
            <w:noWrap/>
            <w:vAlign w:val="center"/>
            <w:hideMark/>
          </w:tcPr>
          <w:p w14:paraId="3530B83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(1.006 - 1.505)</w:t>
            </w:r>
          </w:p>
        </w:tc>
        <w:tc>
          <w:tcPr>
            <w:tcW w:w="2367" w:type="dxa"/>
            <w:tcBorders>
              <w:top w:val="nil"/>
              <w:left w:val="nil"/>
              <w:bottom w:val="nil"/>
              <w:right w:val="nil"/>
            </w:tcBorders>
            <w:shd w:val="clear" w:color="auto" w:fill="auto"/>
            <w:noWrap/>
            <w:vAlign w:val="center"/>
            <w:hideMark/>
          </w:tcPr>
          <w:p w14:paraId="291703B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0.955 (0.584 - 1.562)</w:t>
            </w:r>
          </w:p>
        </w:tc>
      </w:tr>
      <w:tr w:rsidR="00D22958" w:rsidRPr="00C67B3B" w14:paraId="1293F75C" w14:textId="77777777" w:rsidTr="00D22958">
        <w:trPr>
          <w:trHeight w:val="278"/>
        </w:trPr>
        <w:tc>
          <w:tcPr>
            <w:tcW w:w="3077" w:type="dxa"/>
            <w:tcBorders>
              <w:top w:val="nil"/>
              <w:left w:val="nil"/>
              <w:bottom w:val="nil"/>
              <w:right w:val="nil"/>
            </w:tcBorders>
            <w:shd w:val="clear" w:color="000000" w:fill="FFFFFF"/>
            <w:noWrap/>
            <w:vAlign w:val="center"/>
            <w:hideMark/>
          </w:tcPr>
          <w:p w14:paraId="78AA854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Asian</w:t>
            </w:r>
          </w:p>
        </w:tc>
        <w:tc>
          <w:tcPr>
            <w:tcW w:w="2639" w:type="dxa"/>
            <w:tcBorders>
              <w:top w:val="nil"/>
              <w:left w:val="nil"/>
              <w:bottom w:val="nil"/>
              <w:right w:val="nil"/>
            </w:tcBorders>
            <w:shd w:val="clear" w:color="auto" w:fill="auto"/>
            <w:noWrap/>
            <w:vAlign w:val="center"/>
            <w:hideMark/>
          </w:tcPr>
          <w:p w14:paraId="40C7CBE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0.659 (0.582 - 0.747)</w:t>
            </w:r>
          </w:p>
        </w:tc>
        <w:tc>
          <w:tcPr>
            <w:tcW w:w="2429" w:type="dxa"/>
            <w:tcBorders>
              <w:top w:val="nil"/>
              <w:left w:val="nil"/>
              <w:bottom w:val="nil"/>
              <w:right w:val="nil"/>
            </w:tcBorders>
            <w:shd w:val="clear" w:color="auto" w:fill="auto"/>
            <w:noWrap/>
            <w:vAlign w:val="center"/>
            <w:hideMark/>
          </w:tcPr>
          <w:p w14:paraId="4BE7734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0.666 (0.578 - 0.768)</w:t>
            </w:r>
          </w:p>
        </w:tc>
        <w:tc>
          <w:tcPr>
            <w:tcW w:w="2367" w:type="dxa"/>
            <w:tcBorders>
              <w:top w:val="nil"/>
              <w:left w:val="nil"/>
              <w:bottom w:val="nil"/>
              <w:right w:val="nil"/>
            </w:tcBorders>
            <w:shd w:val="clear" w:color="auto" w:fill="auto"/>
            <w:noWrap/>
            <w:vAlign w:val="center"/>
            <w:hideMark/>
          </w:tcPr>
          <w:p w14:paraId="093D5FE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0.639 (0.506 - 0.808)</w:t>
            </w:r>
          </w:p>
        </w:tc>
      </w:tr>
      <w:tr w:rsidR="00D22958" w:rsidRPr="00C67B3B" w14:paraId="14638441" w14:textId="77777777" w:rsidTr="00D22958">
        <w:trPr>
          <w:trHeight w:val="278"/>
        </w:trPr>
        <w:tc>
          <w:tcPr>
            <w:tcW w:w="3077" w:type="dxa"/>
            <w:tcBorders>
              <w:top w:val="nil"/>
              <w:left w:val="nil"/>
              <w:bottom w:val="nil"/>
              <w:right w:val="nil"/>
            </w:tcBorders>
            <w:shd w:val="clear" w:color="000000" w:fill="FFFFFF"/>
            <w:noWrap/>
            <w:vAlign w:val="center"/>
            <w:hideMark/>
          </w:tcPr>
          <w:p w14:paraId="518535E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7E70A7B7"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0.766 (0.503 - 1.166)</w:t>
            </w:r>
          </w:p>
        </w:tc>
        <w:tc>
          <w:tcPr>
            <w:tcW w:w="2429" w:type="dxa"/>
            <w:tcBorders>
              <w:top w:val="nil"/>
              <w:left w:val="nil"/>
              <w:bottom w:val="nil"/>
              <w:right w:val="nil"/>
            </w:tcBorders>
            <w:shd w:val="clear" w:color="auto" w:fill="auto"/>
            <w:noWrap/>
            <w:vAlign w:val="center"/>
            <w:hideMark/>
          </w:tcPr>
          <w:p w14:paraId="42DF136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0.743 (0.463 - 1.192)</w:t>
            </w:r>
          </w:p>
        </w:tc>
        <w:tc>
          <w:tcPr>
            <w:tcW w:w="2367" w:type="dxa"/>
            <w:tcBorders>
              <w:top w:val="nil"/>
              <w:left w:val="nil"/>
              <w:bottom w:val="nil"/>
              <w:right w:val="nil"/>
            </w:tcBorders>
            <w:shd w:val="clear" w:color="auto" w:fill="auto"/>
            <w:noWrap/>
            <w:vAlign w:val="center"/>
            <w:hideMark/>
          </w:tcPr>
          <w:p w14:paraId="02F88DC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0.937 (0.398 - 2.206)</w:t>
            </w:r>
          </w:p>
        </w:tc>
      </w:tr>
      <w:tr w:rsidR="00D22958" w:rsidRPr="00C67B3B" w14:paraId="413C4DB4" w14:textId="77777777" w:rsidTr="00D22958">
        <w:trPr>
          <w:trHeight w:val="278"/>
        </w:trPr>
        <w:tc>
          <w:tcPr>
            <w:tcW w:w="3077" w:type="dxa"/>
            <w:tcBorders>
              <w:top w:val="nil"/>
              <w:left w:val="nil"/>
              <w:bottom w:val="nil"/>
              <w:right w:val="nil"/>
            </w:tcBorders>
            <w:shd w:val="clear" w:color="000000" w:fill="FFFFFF"/>
            <w:noWrap/>
            <w:vAlign w:val="center"/>
            <w:hideMark/>
          </w:tcPr>
          <w:p w14:paraId="48D5623E"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Diabetes</w:t>
            </w:r>
          </w:p>
        </w:tc>
        <w:tc>
          <w:tcPr>
            <w:tcW w:w="2639" w:type="dxa"/>
            <w:tcBorders>
              <w:top w:val="nil"/>
              <w:left w:val="nil"/>
              <w:bottom w:val="nil"/>
              <w:right w:val="nil"/>
            </w:tcBorders>
            <w:shd w:val="clear" w:color="auto" w:fill="auto"/>
            <w:noWrap/>
            <w:vAlign w:val="center"/>
            <w:hideMark/>
          </w:tcPr>
          <w:p w14:paraId="3D26D0F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1.482 (1.434 - 1.531)</w:t>
            </w:r>
          </w:p>
        </w:tc>
        <w:tc>
          <w:tcPr>
            <w:tcW w:w="2429" w:type="dxa"/>
            <w:tcBorders>
              <w:top w:val="nil"/>
              <w:left w:val="nil"/>
              <w:bottom w:val="nil"/>
              <w:right w:val="nil"/>
            </w:tcBorders>
            <w:shd w:val="clear" w:color="auto" w:fill="auto"/>
            <w:noWrap/>
            <w:vAlign w:val="center"/>
            <w:hideMark/>
          </w:tcPr>
          <w:p w14:paraId="152AA76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1.514 (1.461 - 1.568)</w:t>
            </w:r>
          </w:p>
        </w:tc>
        <w:tc>
          <w:tcPr>
            <w:tcW w:w="2367" w:type="dxa"/>
            <w:tcBorders>
              <w:top w:val="nil"/>
              <w:left w:val="nil"/>
              <w:bottom w:val="nil"/>
              <w:right w:val="nil"/>
            </w:tcBorders>
            <w:shd w:val="clear" w:color="auto" w:fill="auto"/>
            <w:noWrap/>
            <w:vAlign w:val="center"/>
            <w:hideMark/>
          </w:tcPr>
          <w:p w14:paraId="206441C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1.328 (1.225 - 1.439)</w:t>
            </w:r>
          </w:p>
        </w:tc>
      </w:tr>
      <w:tr w:rsidR="00D22958" w:rsidRPr="00C67B3B" w14:paraId="1F5A92C7" w14:textId="77777777" w:rsidTr="00D22958">
        <w:trPr>
          <w:trHeight w:val="278"/>
        </w:trPr>
        <w:tc>
          <w:tcPr>
            <w:tcW w:w="3077" w:type="dxa"/>
            <w:tcBorders>
              <w:top w:val="nil"/>
              <w:left w:val="nil"/>
              <w:bottom w:val="nil"/>
              <w:right w:val="nil"/>
            </w:tcBorders>
            <w:shd w:val="clear" w:color="000000" w:fill="FFFFFF"/>
            <w:noWrap/>
            <w:vAlign w:val="center"/>
            <w:hideMark/>
          </w:tcPr>
          <w:p w14:paraId="417DC72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Cancer</w:t>
            </w:r>
          </w:p>
        </w:tc>
        <w:tc>
          <w:tcPr>
            <w:tcW w:w="2639" w:type="dxa"/>
            <w:tcBorders>
              <w:top w:val="nil"/>
              <w:left w:val="nil"/>
              <w:bottom w:val="nil"/>
              <w:right w:val="nil"/>
            </w:tcBorders>
            <w:shd w:val="clear" w:color="000000" w:fill="FFFFFF"/>
            <w:noWrap/>
            <w:vAlign w:val="center"/>
            <w:hideMark/>
          </w:tcPr>
          <w:p w14:paraId="114D4DE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1.306 (1.261 - 1.351)</w:t>
            </w:r>
          </w:p>
        </w:tc>
        <w:tc>
          <w:tcPr>
            <w:tcW w:w="2429" w:type="dxa"/>
            <w:tcBorders>
              <w:top w:val="nil"/>
              <w:left w:val="nil"/>
              <w:bottom w:val="nil"/>
              <w:right w:val="nil"/>
            </w:tcBorders>
            <w:shd w:val="clear" w:color="000000" w:fill="FFFFFF"/>
            <w:noWrap/>
            <w:vAlign w:val="center"/>
            <w:hideMark/>
          </w:tcPr>
          <w:p w14:paraId="5DB255A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(1.251 - 1.349)</w:t>
            </w:r>
          </w:p>
        </w:tc>
        <w:tc>
          <w:tcPr>
            <w:tcW w:w="2367" w:type="dxa"/>
            <w:tcBorders>
              <w:top w:val="nil"/>
              <w:left w:val="nil"/>
              <w:bottom w:val="nil"/>
              <w:right w:val="nil"/>
            </w:tcBorders>
            <w:shd w:val="clear" w:color="000000" w:fill="FFFFFF"/>
            <w:noWrap/>
            <w:vAlign w:val="center"/>
            <w:hideMark/>
          </w:tcPr>
          <w:p w14:paraId="1D8C0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1.346 (1.233 - 1.469)</w:t>
            </w:r>
          </w:p>
        </w:tc>
      </w:tr>
    </w:tbl>
    <w:p w14:paraId="665FFA2D" w14:textId="046665D2" w:rsidR="000E5A7F" w:rsidRDefault="000E5A7F" w:rsidP="00EA4E50">
      <w:pPr>
        <w:spacing w:line="480" w:lineRule="auto"/>
        <w:rPr>
          <w:rFonts w:ascii="Times New Roman" w:hAnsi="Times New Roman" w:cs="Times New Roman"/>
          <w:sz w:val="24"/>
          <w:szCs w:val="24"/>
        </w:rPr>
      </w:pPr>
    </w:p>
    <w:p w14:paraId="675CD27F" w14:textId="77777777" w:rsidR="000E5A7F" w:rsidRDefault="000E5A7F">
      <w:pPr>
        <w:rPr>
          <w:rFonts w:ascii="Times New Roman" w:hAnsi="Times New Roman" w:cs="Times New Roman"/>
          <w:sz w:val="24"/>
          <w:szCs w:val="24"/>
        </w:rPr>
      </w:pPr>
      <w:r>
        <w:rPr>
          <w:rFonts w:ascii="Times New Roman" w:hAnsi="Times New Roman" w:cs="Times New Roman"/>
          <w:sz w:val="24"/>
          <w:szCs w:val="24"/>
        </w:rPr>
        <w:br w:type="page"/>
      </w:r>
    </w:p>
    <w:p w14:paraId="1347EBBF" w14:textId="6D60D839" w:rsidR="000E5A7F" w:rsidRDefault="000E5A7F" w:rsidP="000E5A7F">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sidR="00E860E8">
        <w:rPr>
          <w:rFonts w:ascii="Times New Roman" w:hAnsi="Times New Roman" w:cs="Times New Roman"/>
          <w:b/>
          <w:bCs/>
          <w:sz w:val="24"/>
          <w:szCs w:val="24"/>
        </w:rPr>
        <w:t>4</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diabetes</w:t>
      </w:r>
      <w:r w:rsidR="00E860E8">
        <w:rPr>
          <w:rFonts w:ascii="Times New Roman" w:hAnsi="Times New Roman" w:cs="Times New Roman"/>
          <w:sz w:val="24"/>
          <w:szCs w:val="24"/>
        </w:rPr>
        <w:t>-specific</w:t>
      </w:r>
      <w:r>
        <w:rPr>
          <w:rFonts w:ascii="Times New Roman" w:hAnsi="Times New Roman" w:cs="Times New Roman"/>
          <w:sz w:val="24"/>
          <w:szCs w:val="24"/>
        </w:rPr>
        <w:t xml:space="preserve"> mortality risk among individuals with </w:t>
      </w:r>
      <w:r w:rsidR="00E860E8">
        <w:rPr>
          <w:rFonts w:ascii="Times New Roman" w:hAnsi="Times New Roman" w:cs="Times New Roman"/>
          <w:sz w:val="24"/>
          <w:szCs w:val="24"/>
        </w:rPr>
        <w:t>diabetes</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3052"/>
        <w:gridCol w:w="2764"/>
        <w:gridCol w:w="2618"/>
        <w:gridCol w:w="2078"/>
      </w:tblGrid>
      <w:tr w:rsidR="009F657D" w:rsidRPr="00675C07" w14:paraId="49A0B36B" w14:textId="77777777" w:rsidTr="009F657D">
        <w:trPr>
          <w:trHeight w:val="278"/>
        </w:trPr>
        <w:tc>
          <w:tcPr>
            <w:tcW w:w="3052" w:type="dxa"/>
            <w:tcBorders>
              <w:top w:val="nil"/>
              <w:left w:val="nil"/>
              <w:bottom w:val="nil"/>
              <w:right w:val="nil"/>
            </w:tcBorders>
            <w:shd w:val="clear" w:color="auto" w:fill="auto"/>
            <w:noWrap/>
            <w:vAlign w:val="bottom"/>
            <w:hideMark/>
          </w:tcPr>
          <w:p w14:paraId="52C534FC" w14:textId="77777777" w:rsidR="009F657D" w:rsidRPr="00675C07" w:rsidRDefault="009F657D" w:rsidP="009F657D">
            <w:pPr>
              <w:spacing w:after="0" w:line="240" w:lineRule="auto"/>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728E8AAD" w14:textId="7C3DDD16"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618" w:type="dxa"/>
            <w:tcBorders>
              <w:top w:val="nil"/>
              <w:left w:val="nil"/>
              <w:bottom w:val="nil"/>
              <w:right w:val="nil"/>
            </w:tcBorders>
            <w:shd w:val="clear" w:color="auto" w:fill="auto"/>
            <w:noWrap/>
            <w:vAlign w:val="bottom"/>
            <w:hideMark/>
          </w:tcPr>
          <w:p w14:paraId="616AF499" w14:textId="77EC465C"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078" w:type="dxa"/>
            <w:tcBorders>
              <w:top w:val="nil"/>
              <w:left w:val="nil"/>
              <w:bottom w:val="nil"/>
              <w:right w:val="nil"/>
            </w:tcBorders>
            <w:shd w:val="clear" w:color="auto" w:fill="auto"/>
            <w:noWrap/>
            <w:vAlign w:val="bottom"/>
            <w:hideMark/>
          </w:tcPr>
          <w:p w14:paraId="5F368532" w14:textId="3BD075F2"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F657D" w:rsidRPr="00675C07" w14:paraId="72697B13" w14:textId="77777777" w:rsidTr="009F657D">
        <w:trPr>
          <w:trHeight w:val="278"/>
        </w:trPr>
        <w:tc>
          <w:tcPr>
            <w:tcW w:w="3052" w:type="dxa"/>
            <w:tcBorders>
              <w:top w:val="nil"/>
              <w:left w:val="nil"/>
              <w:bottom w:val="single" w:sz="4" w:space="0" w:color="auto"/>
              <w:right w:val="nil"/>
            </w:tcBorders>
            <w:shd w:val="clear" w:color="auto" w:fill="auto"/>
            <w:noWrap/>
            <w:vAlign w:val="bottom"/>
            <w:hideMark/>
          </w:tcPr>
          <w:p w14:paraId="350FEB0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 </w:t>
            </w:r>
          </w:p>
        </w:tc>
        <w:tc>
          <w:tcPr>
            <w:tcW w:w="2764" w:type="dxa"/>
            <w:tcBorders>
              <w:top w:val="nil"/>
              <w:left w:val="nil"/>
              <w:bottom w:val="single" w:sz="4" w:space="0" w:color="auto"/>
              <w:right w:val="nil"/>
            </w:tcBorders>
            <w:shd w:val="clear" w:color="auto" w:fill="auto"/>
            <w:noWrap/>
            <w:vAlign w:val="bottom"/>
            <w:hideMark/>
          </w:tcPr>
          <w:p w14:paraId="3EB97A7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618" w:type="dxa"/>
            <w:tcBorders>
              <w:top w:val="nil"/>
              <w:left w:val="nil"/>
              <w:bottom w:val="single" w:sz="4" w:space="0" w:color="auto"/>
              <w:right w:val="nil"/>
            </w:tcBorders>
            <w:shd w:val="clear" w:color="auto" w:fill="auto"/>
            <w:noWrap/>
            <w:vAlign w:val="bottom"/>
            <w:hideMark/>
          </w:tcPr>
          <w:p w14:paraId="6C9BDCC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078" w:type="dxa"/>
            <w:tcBorders>
              <w:top w:val="nil"/>
              <w:left w:val="nil"/>
              <w:bottom w:val="single" w:sz="4" w:space="0" w:color="auto"/>
              <w:right w:val="nil"/>
            </w:tcBorders>
            <w:shd w:val="clear" w:color="auto" w:fill="auto"/>
            <w:noWrap/>
            <w:vAlign w:val="bottom"/>
            <w:hideMark/>
          </w:tcPr>
          <w:p w14:paraId="32729FC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r>
      <w:tr w:rsidR="009F657D" w:rsidRPr="00675C07" w14:paraId="7FD30964" w14:textId="77777777" w:rsidTr="009F657D">
        <w:trPr>
          <w:trHeight w:val="285"/>
        </w:trPr>
        <w:tc>
          <w:tcPr>
            <w:tcW w:w="3052" w:type="dxa"/>
            <w:tcBorders>
              <w:top w:val="nil"/>
              <w:left w:val="nil"/>
              <w:bottom w:val="nil"/>
              <w:right w:val="nil"/>
            </w:tcBorders>
            <w:shd w:val="clear" w:color="auto" w:fill="auto"/>
            <w:noWrap/>
            <w:vAlign w:val="bottom"/>
            <w:hideMark/>
          </w:tcPr>
          <w:p w14:paraId="53A36E8E"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CRN</w:t>
            </w:r>
          </w:p>
        </w:tc>
        <w:tc>
          <w:tcPr>
            <w:tcW w:w="2764" w:type="dxa"/>
            <w:tcBorders>
              <w:top w:val="nil"/>
              <w:left w:val="nil"/>
              <w:bottom w:val="nil"/>
              <w:right w:val="nil"/>
            </w:tcBorders>
            <w:shd w:val="clear" w:color="auto" w:fill="auto"/>
            <w:noWrap/>
            <w:vAlign w:val="center"/>
            <w:hideMark/>
          </w:tcPr>
          <w:p w14:paraId="3FD511B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1.226 (1.074 - 1.399)</w:t>
            </w:r>
          </w:p>
        </w:tc>
        <w:tc>
          <w:tcPr>
            <w:tcW w:w="2618" w:type="dxa"/>
            <w:tcBorders>
              <w:top w:val="nil"/>
              <w:left w:val="nil"/>
              <w:bottom w:val="nil"/>
              <w:right w:val="nil"/>
            </w:tcBorders>
            <w:shd w:val="clear" w:color="auto" w:fill="auto"/>
            <w:noWrap/>
            <w:vAlign w:val="center"/>
            <w:hideMark/>
          </w:tcPr>
          <w:p w14:paraId="6C160C1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1.289 (1.111 - 1.496)</w:t>
            </w:r>
          </w:p>
        </w:tc>
        <w:tc>
          <w:tcPr>
            <w:tcW w:w="2078" w:type="dxa"/>
            <w:tcBorders>
              <w:top w:val="nil"/>
              <w:left w:val="nil"/>
              <w:bottom w:val="nil"/>
              <w:right w:val="nil"/>
            </w:tcBorders>
            <w:shd w:val="clear" w:color="auto" w:fill="auto"/>
            <w:noWrap/>
            <w:vAlign w:val="center"/>
            <w:hideMark/>
          </w:tcPr>
          <w:p w14:paraId="24DAFAC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1.055 (0.779 - 1.430)</w:t>
            </w:r>
          </w:p>
        </w:tc>
      </w:tr>
      <w:tr w:rsidR="009F657D" w:rsidRPr="00675C07" w14:paraId="438F41FD" w14:textId="77777777" w:rsidTr="009F657D">
        <w:trPr>
          <w:trHeight w:val="278"/>
        </w:trPr>
        <w:tc>
          <w:tcPr>
            <w:tcW w:w="3052" w:type="dxa"/>
            <w:tcBorders>
              <w:top w:val="nil"/>
              <w:left w:val="nil"/>
              <w:bottom w:val="nil"/>
              <w:right w:val="nil"/>
            </w:tcBorders>
            <w:shd w:val="clear" w:color="000000" w:fill="FFFFFF"/>
            <w:noWrap/>
            <w:vAlign w:val="center"/>
            <w:hideMark/>
          </w:tcPr>
          <w:p w14:paraId="5E1C398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Some College</w:t>
            </w:r>
          </w:p>
        </w:tc>
        <w:tc>
          <w:tcPr>
            <w:tcW w:w="2764" w:type="dxa"/>
            <w:tcBorders>
              <w:top w:val="nil"/>
              <w:left w:val="nil"/>
              <w:bottom w:val="nil"/>
              <w:right w:val="nil"/>
            </w:tcBorders>
            <w:shd w:val="clear" w:color="auto" w:fill="auto"/>
            <w:noWrap/>
            <w:vAlign w:val="center"/>
            <w:hideMark/>
          </w:tcPr>
          <w:p w14:paraId="7BD73DEA"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0.956 (0.856 - 1.069)</w:t>
            </w:r>
          </w:p>
        </w:tc>
        <w:tc>
          <w:tcPr>
            <w:tcW w:w="2618" w:type="dxa"/>
            <w:tcBorders>
              <w:top w:val="nil"/>
              <w:left w:val="nil"/>
              <w:bottom w:val="nil"/>
              <w:right w:val="nil"/>
            </w:tcBorders>
            <w:shd w:val="clear" w:color="auto" w:fill="auto"/>
            <w:noWrap/>
            <w:vAlign w:val="center"/>
            <w:hideMark/>
          </w:tcPr>
          <w:p w14:paraId="0B6F265C"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(0.860 - 1.100)</w:t>
            </w:r>
          </w:p>
        </w:tc>
        <w:tc>
          <w:tcPr>
            <w:tcW w:w="2078" w:type="dxa"/>
            <w:tcBorders>
              <w:top w:val="nil"/>
              <w:left w:val="nil"/>
              <w:bottom w:val="nil"/>
              <w:right w:val="nil"/>
            </w:tcBorders>
            <w:shd w:val="clear" w:color="auto" w:fill="auto"/>
            <w:noWrap/>
            <w:vAlign w:val="center"/>
            <w:hideMark/>
          </w:tcPr>
          <w:p w14:paraId="421F3DB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0.911 (0.691 - 1.201)</w:t>
            </w:r>
          </w:p>
        </w:tc>
      </w:tr>
      <w:tr w:rsidR="009F657D" w:rsidRPr="00675C07" w14:paraId="20F61D86" w14:textId="77777777" w:rsidTr="009F657D">
        <w:trPr>
          <w:trHeight w:val="278"/>
        </w:trPr>
        <w:tc>
          <w:tcPr>
            <w:tcW w:w="3052" w:type="dxa"/>
            <w:tcBorders>
              <w:top w:val="nil"/>
              <w:left w:val="nil"/>
              <w:bottom w:val="nil"/>
              <w:right w:val="nil"/>
            </w:tcBorders>
            <w:shd w:val="clear" w:color="000000" w:fill="FFFFFF"/>
            <w:noWrap/>
            <w:vAlign w:val="center"/>
            <w:hideMark/>
          </w:tcPr>
          <w:p w14:paraId="69E35CB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College Degree</w:t>
            </w:r>
          </w:p>
        </w:tc>
        <w:tc>
          <w:tcPr>
            <w:tcW w:w="2764" w:type="dxa"/>
            <w:tcBorders>
              <w:top w:val="nil"/>
              <w:left w:val="nil"/>
              <w:bottom w:val="nil"/>
              <w:right w:val="nil"/>
            </w:tcBorders>
            <w:shd w:val="clear" w:color="auto" w:fill="auto"/>
            <w:noWrap/>
            <w:vAlign w:val="center"/>
            <w:hideMark/>
          </w:tcPr>
          <w:p w14:paraId="52683E6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0.819 (0.702 - 0.956)</w:t>
            </w:r>
          </w:p>
        </w:tc>
        <w:tc>
          <w:tcPr>
            <w:tcW w:w="2618" w:type="dxa"/>
            <w:tcBorders>
              <w:top w:val="nil"/>
              <w:left w:val="nil"/>
              <w:bottom w:val="nil"/>
              <w:right w:val="nil"/>
            </w:tcBorders>
            <w:shd w:val="clear" w:color="auto" w:fill="auto"/>
            <w:noWrap/>
            <w:vAlign w:val="center"/>
            <w:hideMark/>
          </w:tcPr>
          <w:p w14:paraId="042EED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0.835 (0.707 - 0.987)</w:t>
            </w:r>
          </w:p>
        </w:tc>
        <w:tc>
          <w:tcPr>
            <w:tcW w:w="2078" w:type="dxa"/>
            <w:tcBorders>
              <w:top w:val="nil"/>
              <w:left w:val="nil"/>
              <w:bottom w:val="nil"/>
              <w:right w:val="nil"/>
            </w:tcBorders>
            <w:shd w:val="clear" w:color="auto" w:fill="auto"/>
            <w:noWrap/>
            <w:vAlign w:val="center"/>
            <w:hideMark/>
          </w:tcPr>
          <w:p w14:paraId="175B346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0.780 (0.525 - 1.158)</w:t>
            </w:r>
          </w:p>
        </w:tc>
      </w:tr>
      <w:tr w:rsidR="009F657D" w:rsidRPr="00675C07" w14:paraId="4B7970D4" w14:textId="77777777" w:rsidTr="009F657D">
        <w:trPr>
          <w:trHeight w:val="278"/>
        </w:trPr>
        <w:tc>
          <w:tcPr>
            <w:tcW w:w="3052" w:type="dxa"/>
            <w:tcBorders>
              <w:top w:val="nil"/>
              <w:left w:val="nil"/>
              <w:bottom w:val="nil"/>
              <w:right w:val="nil"/>
            </w:tcBorders>
            <w:shd w:val="clear" w:color="000000" w:fill="FFFFFF"/>
            <w:noWrap/>
            <w:vAlign w:val="center"/>
            <w:hideMark/>
          </w:tcPr>
          <w:p w14:paraId="1CD769C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Age</w:t>
            </w:r>
          </w:p>
        </w:tc>
        <w:tc>
          <w:tcPr>
            <w:tcW w:w="2764" w:type="dxa"/>
            <w:tcBorders>
              <w:top w:val="nil"/>
              <w:left w:val="nil"/>
              <w:bottom w:val="nil"/>
              <w:right w:val="nil"/>
            </w:tcBorders>
            <w:shd w:val="clear" w:color="auto" w:fill="auto"/>
            <w:noWrap/>
            <w:vAlign w:val="center"/>
            <w:hideMark/>
          </w:tcPr>
          <w:p w14:paraId="0F02F2A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1.068 (1.063 - 1.073)</w:t>
            </w:r>
          </w:p>
        </w:tc>
        <w:tc>
          <w:tcPr>
            <w:tcW w:w="2618" w:type="dxa"/>
            <w:tcBorders>
              <w:top w:val="nil"/>
              <w:left w:val="nil"/>
              <w:bottom w:val="nil"/>
              <w:right w:val="nil"/>
            </w:tcBorders>
            <w:shd w:val="clear" w:color="auto" w:fill="auto"/>
            <w:noWrap/>
            <w:vAlign w:val="center"/>
            <w:hideMark/>
          </w:tcPr>
          <w:p w14:paraId="7F23E34E"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1.070 (1.064 - 1.075)</w:t>
            </w:r>
          </w:p>
        </w:tc>
        <w:tc>
          <w:tcPr>
            <w:tcW w:w="2078" w:type="dxa"/>
            <w:tcBorders>
              <w:top w:val="nil"/>
              <w:left w:val="nil"/>
              <w:bottom w:val="nil"/>
              <w:right w:val="nil"/>
            </w:tcBorders>
            <w:shd w:val="clear" w:color="auto" w:fill="auto"/>
            <w:noWrap/>
            <w:vAlign w:val="center"/>
            <w:hideMark/>
          </w:tcPr>
          <w:p w14:paraId="1ED4241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1.061 (1.048 - 1.075)</w:t>
            </w:r>
          </w:p>
        </w:tc>
      </w:tr>
      <w:tr w:rsidR="009F657D" w:rsidRPr="00675C07" w14:paraId="3C08C086" w14:textId="77777777" w:rsidTr="009F657D">
        <w:trPr>
          <w:trHeight w:val="278"/>
        </w:trPr>
        <w:tc>
          <w:tcPr>
            <w:tcW w:w="3052" w:type="dxa"/>
            <w:tcBorders>
              <w:top w:val="nil"/>
              <w:left w:val="nil"/>
              <w:bottom w:val="nil"/>
              <w:right w:val="nil"/>
            </w:tcBorders>
            <w:shd w:val="clear" w:color="000000" w:fill="FFFFFF"/>
            <w:noWrap/>
            <w:vAlign w:val="center"/>
            <w:hideMark/>
          </w:tcPr>
          <w:p w14:paraId="0CEA5321"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$20,000 to &lt; $45,000</w:t>
            </w:r>
          </w:p>
        </w:tc>
        <w:tc>
          <w:tcPr>
            <w:tcW w:w="2764" w:type="dxa"/>
            <w:tcBorders>
              <w:top w:val="nil"/>
              <w:left w:val="nil"/>
              <w:bottom w:val="nil"/>
              <w:right w:val="nil"/>
            </w:tcBorders>
            <w:shd w:val="clear" w:color="auto" w:fill="auto"/>
            <w:noWrap/>
            <w:vAlign w:val="center"/>
            <w:hideMark/>
          </w:tcPr>
          <w:p w14:paraId="1483D1D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0.910 (0.810 - 1.022)</w:t>
            </w:r>
          </w:p>
        </w:tc>
        <w:tc>
          <w:tcPr>
            <w:tcW w:w="2618" w:type="dxa"/>
            <w:tcBorders>
              <w:top w:val="nil"/>
              <w:left w:val="nil"/>
              <w:bottom w:val="nil"/>
              <w:right w:val="nil"/>
            </w:tcBorders>
            <w:shd w:val="clear" w:color="auto" w:fill="auto"/>
            <w:noWrap/>
            <w:vAlign w:val="center"/>
            <w:hideMark/>
          </w:tcPr>
          <w:p w14:paraId="2016B998"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0.902 (0.794 - 1.025)</w:t>
            </w:r>
          </w:p>
        </w:tc>
        <w:tc>
          <w:tcPr>
            <w:tcW w:w="2078" w:type="dxa"/>
            <w:tcBorders>
              <w:top w:val="nil"/>
              <w:left w:val="nil"/>
              <w:bottom w:val="nil"/>
              <w:right w:val="nil"/>
            </w:tcBorders>
            <w:shd w:val="clear" w:color="auto" w:fill="auto"/>
            <w:noWrap/>
            <w:vAlign w:val="center"/>
            <w:hideMark/>
          </w:tcPr>
          <w:p w14:paraId="22DAB97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1.066 (0.795 - 1.429)</w:t>
            </w:r>
          </w:p>
        </w:tc>
      </w:tr>
      <w:tr w:rsidR="009F657D" w:rsidRPr="00675C07" w14:paraId="61F264B5" w14:textId="77777777" w:rsidTr="009F657D">
        <w:trPr>
          <w:trHeight w:val="278"/>
        </w:trPr>
        <w:tc>
          <w:tcPr>
            <w:tcW w:w="3052" w:type="dxa"/>
            <w:tcBorders>
              <w:top w:val="nil"/>
              <w:left w:val="nil"/>
              <w:bottom w:val="nil"/>
              <w:right w:val="nil"/>
            </w:tcBorders>
            <w:shd w:val="clear" w:color="000000" w:fill="FFFFFF"/>
            <w:noWrap/>
            <w:vAlign w:val="center"/>
            <w:hideMark/>
          </w:tcPr>
          <w:p w14:paraId="36CEAF6B"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$45,000 to &lt; $65,000</w:t>
            </w:r>
          </w:p>
        </w:tc>
        <w:tc>
          <w:tcPr>
            <w:tcW w:w="2764" w:type="dxa"/>
            <w:tcBorders>
              <w:top w:val="nil"/>
              <w:left w:val="nil"/>
              <w:bottom w:val="nil"/>
              <w:right w:val="nil"/>
            </w:tcBorders>
            <w:shd w:val="clear" w:color="auto" w:fill="auto"/>
            <w:noWrap/>
            <w:vAlign w:val="center"/>
            <w:hideMark/>
          </w:tcPr>
          <w:p w14:paraId="322C747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0.765 (0.671 - 0.872)</w:t>
            </w:r>
          </w:p>
        </w:tc>
        <w:tc>
          <w:tcPr>
            <w:tcW w:w="2618" w:type="dxa"/>
            <w:tcBorders>
              <w:top w:val="nil"/>
              <w:left w:val="nil"/>
              <w:bottom w:val="nil"/>
              <w:right w:val="nil"/>
            </w:tcBorders>
            <w:shd w:val="clear" w:color="auto" w:fill="auto"/>
            <w:noWrap/>
            <w:vAlign w:val="center"/>
            <w:hideMark/>
          </w:tcPr>
          <w:p w14:paraId="6E7BBAF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0.746 (0.644 - 0.865)</w:t>
            </w:r>
          </w:p>
        </w:tc>
        <w:tc>
          <w:tcPr>
            <w:tcW w:w="2078" w:type="dxa"/>
            <w:tcBorders>
              <w:top w:val="nil"/>
              <w:left w:val="nil"/>
              <w:bottom w:val="nil"/>
              <w:right w:val="nil"/>
            </w:tcBorders>
            <w:shd w:val="clear" w:color="auto" w:fill="auto"/>
            <w:noWrap/>
            <w:vAlign w:val="center"/>
            <w:hideMark/>
          </w:tcPr>
          <w:p w14:paraId="1BC14EA2"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1.003 (0.719 - 1.400)</w:t>
            </w:r>
          </w:p>
        </w:tc>
      </w:tr>
      <w:tr w:rsidR="009F657D" w:rsidRPr="00675C07" w14:paraId="576D1952" w14:textId="77777777" w:rsidTr="009F657D">
        <w:trPr>
          <w:trHeight w:val="278"/>
        </w:trPr>
        <w:tc>
          <w:tcPr>
            <w:tcW w:w="3052" w:type="dxa"/>
            <w:tcBorders>
              <w:top w:val="nil"/>
              <w:left w:val="nil"/>
              <w:bottom w:val="nil"/>
              <w:right w:val="nil"/>
            </w:tcBorders>
            <w:shd w:val="clear" w:color="000000" w:fill="FFFFFF"/>
            <w:noWrap/>
            <w:vAlign w:val="center"/>
            <w:hideMark/>
          </w:tcPr>
          <w:p w14:paraId="2B0E550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$65,000 to &lt; $85,000</w:t>
            </w:r>
          </w:p>
        </w:tc>
        <w:tc>
          <w:tcPr>
            <w:tcW w:w="2764" w:type="dxa"/>
            <w:tcBorders>
              <w:top w:val="nil"/>
              <w:left w:val="nil"/>
              <w:bottom w:val="nil"/>
              <w:right w:val="nil"/>
            </w:tcBorders>
            <w:shd w:val="clear" w:color="auto" w:fill="auto"/>
            <w:noWrap/>
            <w:vAlign w:val="center"/>
            <w:hideMark/>
          </w:tcPr>
          <w:p w14:paraId="5FE02516"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0.685 (0.576 - 0.815)</w:t>
            </w:r>
          </w:p>
        </w:tc>
        <w:tc>
          <w:tcPr>
            <w:tcW w:w="2618" w:type="dxa"/>
            <w:tcBorders>
              <w:top w:val="nil"/>
              <w:left w:val="nil"/>
              <w:bottom w:val="nil"/>
              <w:right w:val="nil"/>
            </w:tcBorders>
            <w:shd w:val="clear" w:color="auto" w:fill="auto"/>
            <w:noWrap/>
            <w:vAlign w:val="center"/>
            <w:hideMark/>
          </w:tcPr>
          <w:p w14:paraId="34FBA46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0.639 (0.531 - 0.770)</w:t>
            </w:r>
          </w:p>
        </w:tc>
        <w:tc>
          <w:tcPr>
            <w:tcW w:w="2078" w:type="dxa"/>
            <w:tcBorders>
              <w:top w:val="nil"/>
              <w:left w:val="nil"/>
              <w:bottom w:val="nil"/>
              <w:right w:val="nil"/>
            </w:tcBorders>
            <w:shd w:val="clear" w:color="auto" w:fill="auto"/>
            <w:noWrap/>
            <w:vAlign w:val="center"/>
            <w:hideMark/>
          </w:tcPr>
          <w:p w14:paraId="34DE83A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1.186 (0.728 - 1.932)</w:t>
            </w:r>
          </w:p>
        </w:tc>
      </w:tr>
      <w:tr w:rsidR="009F657D" w:rsidRPr="00675C07" w14:paraId="6FB48B1C" w14:textId="77777777" w:rsidTr="009F657D">
        <w:trPr>
          <w:trHeight w:val="278"/>
        </w:trPr>
        <w:tc>
          <w:tcPr>
            <w:tcW w:w="3052" w:type="dxa"/>
            <w:tcBorders>
              <w:top w:val="nil"/>
              <w:left w:val="nil"/>
              <w:bottom w:val="nil"/>
              <w:right w:val="nil"/>
            </w:tcBorders>
            <w:shd w:val="clear" w:color="000000" w:fill="FFFFFF"/>
            <w:noWrap/>
            <w:vAlign w:val="center"/>
            <w:hideMark/>
          </w:tcPr>
          <w:p w14:paraId="0F714A7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$85,000 to &lt; $100,000</w:t>
            </w:r>
          </w:p>
        </w:tc>
        <w:tc>
          <w:tcPr>
            <w:tcW w:w="2764" w:type="dxa"/>
            <w:tcBorders>
              <w:top w:val="nil"/>
              <w:left w:val="nil"/>
              <w:bottom w:val="nil"/>
              <w:right w:val="nil"/>
            </w:tcBorders>
            <w:shd w:val="clear" w:color="auto" w:fill="auto"/>
            <w:noWrap/>
            <w:vAlign w:val="center"/>
            <w:hideMark/>
          </w:tcPr>
          <w:p w14:paraId="08426B6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0.423 (0.250 - 0.714)</w:t>
            </w:r>
          </w:p>
        </w:tc>
        <w:tc>
          <w:tcPr>
            <w:tcW w:w="2618" w:type="dxa"/>
            <w:tcBorders>
              <w:top w:val="nil"/>
              <w:left w:val="nil"/>
              <w:bottom w:val="nil"/>
              <w:right w:val="nil"/>
            </w:tcBorders>
            <w:shd w:val="clear" w:color="auto" w:fill="auto"/>
            <w:noWrap/>
            <w:vAlign w:val="center"/>
            <w:hideMark/>
          </w:tcPr>
          <w:p w14:paraId="771E52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0.339 (0.149 - 0.773)</w:t>
            </w:r>
          </w:p>
        </w:tc>
        <w:tc>
          <w:tcPr>
            <w:tcW w:w="2078" w:type="dxa"/>
            <w:tcBorders>
              <w:top w:val="nil"/>
              <w:left w:val="nil"/>
              <w:bottom w:val="nil"/>
              <w:right w:val="nil"/>
            </w:tcBorders>
            <w:shd w:val="clear" w:color="auto" w:fill="auto"/>
            <w:noWrap/>
            <w:vAlign w:val="center"/>
            <w:hideMark/>
          </w:tcPr>
          <w:p w14:paraId="6146AF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0.697 (0.346 - 1.402)</w:t>
            </w:r>
          </w:p>
        </w:tc>
      </w:tr>
      <w:tr w:rsidR="009F657D" w:rsidRPr="00675C07" w14:paraId="0EB53CB3" w14:textId="77777777" w:rsidTr="009F657D">
        <w:trPr>
          <w:trHeight w:val="278"/>
        </w:trPr>
        <w:tc>
          <w:tcPr>
            <w:tcW w:w="3052" w:type="dxa"/>
            <w:tcBorders>
              <w:top w:val="nil"/>
              <w:left w:val="nil"/>
              <w:bottom w:val="nil"/>
              <w:right w:val="nil"/>
            </w:tcBorders>
            <w:shd w:val="clear" w:color="000000" w:fill="FFFFFF"/>
            <w:noWrap/>
            <w:vAlign w:val="center"/>
            <w:hideMark/>
          </w:tcPr>
          <w:p w14:paraId="7C49918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$100,000 or more</w:t>
            </w:r>
          </w:p>
        </w:tc>
        <w:tc>
          <w:tcPr>
            <w:tcW w:w="2764" w:type="dxa"/>
            <w:tcBorders>
              <w:top w:val="nil"/>
              <w:left w:val="nil"/>
              <w:bottom w:val="nil"/>
              <w:right w:val="nil"/>
            </w:tcBorders>
            <w:shd w:val="clear" w:color="auto" w:fill="auto"/>
            <w:noWrap/>
            <w:vAlign w:val="center"/>
            <w:hideMark/>
          </w:tcPr>
          <w:p w14:paraId="2D60D8A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0.473 (0.322 - 0.696)</w:t>
            </w:r>
          </w:p>
        </w:tc>
        <w:tc>
          <w:tcPr>
            <w:tcW w:w="2618" w:type="dxa"/>
            <w:tcBorders>
              <w:top w:val="nil"/>
              <w:left w:val="nil"/>
              <w:bottom w:val="nil"/>
              <w:right w:val="nil"/>
            </w:tcBorders>
            <w:shd w:val="clear" w:color="auto" w:fill="auto"/>
            <w:noWrap/>
            <w:vAlign w:val="center"/>
            <w:hideMark/>
          </w:tcPr>
          <w:p w14:paraId="7764A5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0.465 (0.260 - 0.832)</w:t>
            </w:r>
          </w:p>
        </w:tc>
        <w:tc>
          <w:tcPr>
            <w:tcW w:w="2078" w:type="dxa"/>
            <w:tcBorders>
              <w:top w:val="nil"/>
              <w:left w:val="nil"/>
              <w:bottom w:val="nil"/>
              <w:right w:val="nil"/>
            </w:tcBorders>
            <w:shd w:val="clear" w:color="auto" w:fill="auto"/>
            <w:noWrap/>
            <w:vAlign w:val="center"/>
            <w:hideMark/>
          </w:tcPr>
          <w:p w14:paraId="6B2F3FF3"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0.627 (0.349 - 1.128)</w:t>
            </w:r>
          </w:p>
        </w:tc>
      </w:tr>
      <w:tr w:rsidR="009F657D" w:rsidRPr="00675C07" w14:paraId="31DE3026" w14:textId="77777777" w:rsidTr="009F657D">
        <w:trPr>
          <w:trHeight w:val="278"/>
        </w:trPr>
        <w:tc>
          <w:tcPr>
            <w:tcW w:w="3052" w:type="dxa"/>
            <w:tcBorders>
              <w:top w:val="nil"/>
              <w:left w:val="nil"/>
              <w:bottom w:val="nil"/>
              <w:right w:val="nil"/>
            </w:tcBorders>
            <w:shd w:val="clear" w:color="auto" w:fill="auto"/>
            <w:noWrap/>
            <w:vAlign w:val="bottom"/>
            <w:hideMark/>
          </w:tcPr>
          <w:p w14:paraId="59E6566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Female Sex</w:t>
            </w:r>
          </w:p>
        </w:tc>
        <w:tc>
          <w:tcPr>
            <w:tcW w:w="2764" w:type="dxa"/>
            <w:tcBorders>
              <w:top w:val="nil"/>
              <w:left w:val="nil"/>
              <w:bottom w:val="nil"/>
              <w:right w:val="nil"/>
            </w:tcBorders>
            <w:shd w:val="clear" w:color="auto" w:fill="auto"/>
            <w:noWrap/>
            <w:vAlign w:val="center"/>
            <w:hideMark/>
          </w:tcPr>
          <w:p w14:paraId="748D69C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0.689 (0.631 - 0.752)</w:t>
            </w:r>
          </w:p>
        </w:tc>
        <w:tc>
          <w:tcPr>
            <w:tcW w:w="2618" w:type="dxa"/>
            <w:tcBorders>
              <w:top w:val="nil"/>
              <w:left w:val="nil"/>
              <w:bottom w:val="nil"/>
              <w:right w:val="nil"/>
            </w:tcBorders>
            <w:shd w:val="clear" w:color="auto" w:fill="auto"/>
            <w:noWrap/>
            <w:vAlign w:val="center"/>
            <w:hideMark/>
          </w:tcPr>
          <w:p w14:paraId="7021137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0.687 (0.623 - 0.756)</w:t>
            </w:r>
          </w:p>
        </w:tc>
        <w:tc>
          <w:tcPr>
            <w:tcW w:w="2078" w:type="dxa"/>
            <w:tcBorders>
              <w:top w:val="nil"/>
              <w:left w:val="nil"/>
              <w:bottom w:val="nil"/>
              <w:right w:val="nil"/>
            </w:tcBorders>
            <w:shd w:val="clear" w:color="auto" w:fill="auto"/>
            <w:noWrap/>
            <w:vAlign w:val="center"/>
            <w:hideMark/>
          </w:tcPr>
          <w:p w14:paraId="3FF4EABD"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0.690 (0.565 - 0.843)</w:t>
            </w:r>
          </w:p>
        </w:tc>
      </w:tr>
      <w:tr w:rsidR="009F657D" w:rsidRPr="00675C07" w14:paraId="05FCC186" w14:textId="77777777" w:rsidTr="009F657D">
        <w:trPr>
          <w:trHeight w:val="278"/>
        </w:trPr>
        <w:tc>
          <w:tcPr>
            <w:tcW w:w="3052" w:type="dxa"/>
            <w:tcBorders>
              <w:top w:val="nil"/>
              <w:left w:val="nil"/>
              <w:bottom w:val="nil"/>
              <w:right w:val="nil"/>
            </w:tcBorders>
            <w:shd w:val="clear" w:color="000000" w:fill="FFFFFF"/>
            <w:noWrap/>
            <w:vAlign w:val="center"/>
            <w:hideMark/>
          </w:tcPr>
          <w:p w14:paraId="33E9F35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Public Insurance</w:t>
            </w:r>
          </w:p>
        </w:tc>
        <w:tc>
          <w:tcPr>
            <w:tcW w:w="2764" w:type="dxa"/>
            <w:tcBorders>
              <w:top w:val="nil"/>
              <w:left w:val="nil"/>
              <w:bottom w:val="nil"/>
              <w:right w:val="nil"/>
            </w:tcBorders>
            <w:shd w:val="clear" w:color="auto" w:fill="auto"/>
            <w:noWrap/>
            <w:vAlign w:val="center"/>
            <w:hideMark/>
          </w:tcPr>
          <w:p w14:paraId="3128A8F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1.671 (1.318 - 2.119)</w:t>
            </w:r>
          </w:p>
        </w:tc>
        <w:tc>
          <w:tcPr>
            <w:tcW w:w="2618" w:type="dxa"/>
            <w:tcBorders>
              <w:top w:val="nil"/>
              <w:left w:val="nil"/>
              <w:bottom w:val="nil"/>
              <w:right w:val="nil"/>
            </w:tcBorders>
            <w:shd w:val="clear" w:color="auto" w:fill="auto"/>
            <w:noWrap/>
            <w:vAlign w:val="center"/>
            <w:hideMark/>
          </w:tcPr>
          <w:p w14:paraId="7FE7088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1.625 (1.256 - 2.102)</w:t>
            </w:r>
          </w:p>
        </w:tc>
        <w:tc>
          <w:tcPr>
            <w:tcW w:w="2078" w:type="dxa"/>
            <w:tcBorders>
              <w:top w:val="nil"/>
              <w:left w:val="nil"/>
              <w:bottom w:val="nil"/>
              <w:right w:val="nil"/>
            </w:tcBorders>
            <w:shd w:val="clear" w:color="auto" w:fill="auto"/>
            <w:noWrap/>
            <w:vAlign w:val="center"/>
            <w:hideMark/>
          </w:tcPr>
          <w:p w14:paraId="5D40475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2.245 (1.254 - 4.022)</w:t>
            </w:r>
          </w:p>
        </w:tc>
      </w:tr>
      <w:tr w:rsidR="009F657D" w:rsidRPr="00675C07" w14:paraId="79B7C660" w14:textId="77777777" w:rsidTr="009F657D">
        <w:trPr>
          <w:trHeight w:val="278"/>
        </w:trPr>
        <w:tc>
          <w:tcPr>
            <w:tcW w:w="3052" w:type="dxa"/>
            <w:tcBorders>
              <w:top w:val="nil"/>
              <w:left w:val="nil"/>
              <w:bottom w:val="nil"/>
              <w:right w:val="nil"/>
            </w:tcBorders>
            <w:shd w:val="clear" w:color="000000" w:fill="FFFFFF"/>
            <w:noWrap/>
            <w:vAlign w:val="center"/>
            <w:hideMark/>
          </w:tcPr>
          <w:p w14:paraId="4C98F60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Private Insurance</w:t>
            </w:r>
          </w:p>
        </w:tc>
        <w:tc>
          <w:tcPr>
            <w:tcW w:w="2764" w:type="dxa"/>
            <w:tcBorders>
              <w:top w:val="nil"/>
              <w:left w:val="nil"/>
              <w:bottom w:val="nil"/>
              <w:right w:val="nil"/>
            </w:tcBorders>
            <w:shd w:val="clear" w:color="auto" w:fill="auto"/>
            <w:noWrap/>
            <w:vAlign w:val="center"/>
            <w:hideMark/>
          </w:tcPr>
          <w:p w14:paraId="2322C41B"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1.098 (0.882 - 1.367)</w:t>
            </w:r>
          </w:p>
        </w:tc>
        <w:tc>
          <w:tcPr>
            <w:tcW w:w="2618" w:type="dxa"/>
            <w:tcBorders>
              <w:top w:val="nil"/>
              <w:left w:val="nil"/>
              <w:bottom w:val="nil"/>
              <w:right w:val="nil"/>
            </w:tcBorders>
            <w:shd w:val="clear" w:color="auto" w:fill="auto"/>
            <w:noWrap/>
            <w:vAlign w:val="center"/>
            <w:hideMark/>
          </w:tcPr>
          <w:p w14:paraId="07CA12AF"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1.043 (0.823 - 1.321)</w:t>
            </w:r>
          </w:p>
        </w:tc>
        <w:tc>
          <w:tcPr>
            <w:tcW w:w="2078" w:type="dxa"/>
            <w:tcBorders>
              <w:top w:val="nil"/>
              <w:left w:val="nil"/>
              <w:bottom w:val="nil"/>
              <w:right w:val="nil"/>
            </w:tcBorders>
            <w:shd w:val="clear" w:color="auto" w:fill="auto"/>
            <w:noWrap/>
            <w:vAlign w:val="center"/>
            <w:hideMark/>
          </w:tcPr>
          <w:p w14:paraId="6E3B73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1.491 (0.829 - 2.684)</w:t>
            </w:r>
          </w:p>
        </w:tc>
      </w:tr>
      <w:tr w:rsidR="009F657D" w:rsidRPr="00675C07" w14:paraId="030EC01F" w14:textId="77777777" w:rsidTr="009F657D">
        <w:trPr>
          <w:trHeight w:val="278"/>
        </w:trPr>
        <w:tc>
          <w:tcPr>
            <w:tcW w:w="3052" w:type="dxa"/>
            <w:tcBorders>
              <w:top w:val="nil"/>
              <w:left w:val="nil"/>
              <w:bottom w:val="nil"/>
              <w:right w:val="nil"/>
            </w:tcBorders>
            <w:shd w:val="clear" w:color="000000" w:fill="FFFFFF"/>
            <w:noWrap/>
            <w:vAlign w:val="center"/>
            <w:hideMark/>
          </w:tcPr>
          <w:p w14:paraId="1A4248FD"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Military</w:t>
            </w:r>
          </w:p>
        </w:tc>
        <w:tc>
          <w:tcPr>
            <w:tcW w:w="2764" w:type="dxa"/>
            <w:tcBorders>
              <w:top w:val="nil"/>
              <w:left w:val="nil"/>
              <w:bottom w:val="nil"/>
              <w:right w:val="nil"/>
            </w:tcBorders>
            <w:shd w:val="clear" w:color="auto" w:fill="auto"/>
            <w:noWrap/>
            <w:vAlign w:val="center"/>
            <w:hideMark/>
          </w:tcPr>
          <w:p w14:paraId="7BF6CBFA"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1.417 (1.052 - 1.907)</w:t>
            </w:r>
          </w:p>
        </w:tc>
        <w:tc>
          <w:tcPr>
            <w:tcW w:w="2618" w:type="dxa"/>
            <w:tcBorders>
              <w:top w:val="nil"/>
              <w:left w:val="nil"/>
              <w:bottom w:val="nil"/>
              <w:right w:val="nil"/>
            </w:tcBorders>
            <w:shd w:val="clear" w:color="auto" w:fill="auto"/>
            <w:noWrap/>
            <w:vAlign w:val="center"/>
            <w:hideMark/>
          </w:tcPr>
          <w:p w14:paraId="45FC2D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1.380 (1.003 - 1.899)</w:t>
            </w:r>
          </w:p>
        </w:tc>
        <w:tc>
          <w:tcPr>
            <w:tcW w:w="2078" w:type="dxa"/>
            <w:tcBorders>
              <w:top w:val="nil"/>
              <w:left w:val="nil"/>
              <w:bottom w:val="nil"/>
              <w:right w:val="nil"/>
            </w:tcBorders>
            <w:shd w:val="clear" w:color="auto" w:fill="auto"/>
            <w:noWrap/>
            <w:vAlign w:val="center"/>
            <w:hideMark/>
          </w:tcPr>
          <w:p w14:paraId="7661052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1.856 (0.923 - 3.734)</w:t>
            </w:r>
          </w:p>
        </w:tc>
      </w:tr>
      <w:tr w:rsidR="009F657D" w:rsidRPr="00675C07" w14:paraId="58FE9973" w14:textId="77777777" w:rsidTr="009F657D">
        <w:trPr>
          <w:trHeight w:val="278"/>
        </w:trPr>
        <w:tc>
          <w:tcPr>
            <w:tcW w:w="3052" w:type="dxa"/>
            <w:tcBorders>
              <w:top w:val="nil"/>
              <w:left w:val="nil"/>
              <w:bottom w:val="nil"/>
              <w:right w:val="nil"/>
            </w:tcBorders>
            <w:shd w:val="clear" w:color="000000" w:fill="FFFFFF"/>
            <w:noWrap/>
            <w:vAlign w:val="center"/>
            <w:hideMark/>
          </w:tcPr>
          <w:p w14:paraId="67ED25EC"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Medicare</w:t>
            </w:r>
          </w:p>
        </w:tc>
        <w:tc>
          <w:tcPr>
            <w:tcW w:w="2764" w:type="dxa"/>
            <w:tcBorders>
              <w:top w:val="nil"/>
              <w:left w:val="nil"/>
              <w:bottom w:val="nil"/>
              <w:right w:val="nil"/>
            </w:tcBorders>
            <w:shd w:val="clear" w:color="auto" w:fill="auto"/>
            <w:noWrap/>
            <w:vAlign w:val="center"/>
            <w:hideMark/>
          </w:tcPr>
          <w:p w14:paraId="0FD4C59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1.243 (0.982 - 1.572)</w:t>
            </w:r>
          </w:p>
        </w:tc>
        <w:tc>
          <w:tcPr>
            <w:tcW w:w="2618" w:type="dxa"/>
            <w:tcBorders>
              <w:top w:val="nil"/>
              <w:left w:val="nil"/>
              <w:bottom w:val="nil"/>
              <w:right w:val="nil"/>
            </w:tcBorders>
            <w:shd w:val="clear" w:color="auto" w:fill="auto"/>
            <w:noWrap/>
            <w:vAlign w:val="center"/>
            <w:hideMark/>
          </w:tcPr>
          <w:p w14:paraId="70AC660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1.171 (0.909 - 1.508)</w:t>
            </w:r>
          </w:p>
        </w:tc>
        <w:tc>
          <w:tcPr>
            <w:tcW w:w="2078" w:type="dxa"/>
            <w:tcBorders>
              <w:top w:val="nil"/>
              <w:left w:val="nil"/>
              <w:bottom w:val="nil"/>
              <w:right w:val="nil"/>
            </w:tcBorders>
            <w:shd w:val="clear" w:color="auto" w:fill="auto"/>
            <w:noWrap/>
            <w:vAlign w:val="center"/>
            <w:hideMark/>
          </w:tcPr>
          <w:p w14:paraId="20D2FB4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1.817 (0.981 - 3.364)</w:t>
            </w:r>
          </w:p>
        </w:tc>
      </w:tr>
      <w:tr w:rsidR="009F657D" w:rsidRPr="00675C07" w14:paraId="59C1D6EE" w14:textId="77777777" w:rsidTr="009F657D">
        <w:trPr>
          <w:trHeight w:val="278"/>
        </w:trPr>
        <w:tc>
          <w:tcPr>
            <w:tcW w:w="3052" w:type="dxa"/>
            <w:tcBorders>
              <w:top w:val="nil"/>
              <w:left w:val="nil"/>
              <w:bottom w:val="nil"/>
              <w:right w:val="nil"/>
            </w:tcBorders>
            <w:shd w:val="clear" w:color="000000" w:fill="FFFFFF"/>
            <w:noWrap/>
            <w:vAlign w:val="center"/>
            <w:hideMark/>
          </w:tcPr>
          <w:p w14:paraId="3A51B5A2"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auto" w:fill="auto"/>
            <w:noWrap/>
            <w:vAlign w:val="center"/>
            <w:hideMark/>
          </w:tcPr>
          <w:p w14:paraId="6BB1CE0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1.895 (1.059 - 3.392)</w:t>
            </w:r>
          </w:p>
        </w:tc>
        <w:tc>
          <w:tcPr>
            <w:tcW w:w="2618" w:type="dxa"/>
            <w:tcBorders>
              <w:top w:val="nil"/>
              <w:left w:val="nil"/>
              <w:bottom w:val="nil"/>
              <w:right w:val="nil"/>
            </w:tcBorders>
            <w:shd w:val="clear" w:color="auto" w:fill="auto"/>
            <w:noWrap/>
            <w:vAlign w:val="center"/>
            <w:hideMark/>
          </w:tcPr>
          <w:p w14:paraId="1F3AF6D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1.904 (1.059 - 3.423)</w:t>
            </w:r>
          </w:p>
        </w:tc>
        <w:tc>
          <w:tcPr>
            <w:tcW w:w="2078" w:type="dxa"/>
            <w:tcBorders>
              <w:top w:val="nil"/>
              <w:left w:val="nil"/>
              <w:bottom w:val="nil"/>
              <w:right w:val="nil"/>
            </w:tcBorders>
            <w:shd w:val="clear" w:color="auto" w:fill="auto"/>
            <w:noWrap/>
            <w:vAlign w:val="center"/>
            <w:hideMark/>
          </w:tcPr>
          <w:p w14:paraId="341D0E7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0.240 (0.026 - 2.221)</w:t>
            </w:r>
          </w:p>
        </w:tc>
      </w:tr>
      <w:tr w:rsidR="009F657D" w:rsidRPr="00675C07" w14:paraId="35CFBD95" w14:textId="77777777" w:rsidTr="009F657D">
        <w:trPr>
          <w:trHeight w:val="278"/>
        </w:trPr>
        <w:tc>
          <w:tcPr>
            <w:tcW w:w="3052" w:type="dxa"/>
            <w:tcBorders>
              <w:top w:val="nil"/>
              <w:left w:val="nil"/>
              <w:bottom w:val="nil"/>
              <w:right w:val="nil"/>
            </w:tcBorders>
            <w:shd w:val="clear" w:color="000000" w:fill="FFFFFF"/>
            <w:noWrap/>
            <w:vAlign w:val="center"/>
            <w:hideMark/>
          </w:tcPr>
          <w:p w14:paraId="7C5F5C8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Black</w:t>
            </w:r>
          </w:p>
        </w:tc>
        <w:tc>
          <w:tcPr>
            <w:tcW w:w="2764" w:type="dxa"/>
            <w:tcBorders>
              <w:top w:val="nil"/>
              <w:left w:val="nil"/>
              <w:bottom w:val="nil"/>
              <w:right w:val="nil"/>
            </w:tcBorders>
            <w:shd w:val="clear" w:color="auto" w:fill="auto"/>
            <w:noWrap/>
            <w:vAlign w:val="center"/>
            <w:hideMark/>
          </w:tcPr>
          <w:p w14:paraId="716D686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0.975 (0.865 - 1.099)</w:t>
            </w:r>
          </w:p>
        </w:tc>
        <w:tc>
          <w:tcPr>
            <w:tcW w:w="2618" w:type="dxa"/>
            <w:tcBorders>
              <w:top w:val="nil"/>
              <w:left w:val="nil"/>
              <w:bottom w:val="nil"/>
              <w:right w:val="nil"/>
            </w:tcBorders>
            <w:shd w:val="clear" w:color="auto" w:fill="auto"/>
            <w:noWrap/>
            <w:vAlign w:val="center"/>
            <w:hideMark/>
          </w:tcPr>
          <w:p w14:paraId="0D4A3A1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(0.856 - 1.104)</w:t>
            </w:r>
          </w:p>
        </w:tc>
        <w:tc>
          <w:tcPr>
            <w:tcW w:w="2078" w:type="dxa"/>
            <w:tcBorders>
              <w:top w:val="nil"/>
              <w:left w:val="nil"/>
              <w:bottom w:val="nil"/>
              <w:right w:val="nil"/>
            </w:tcBorders>
            <w:shd w:val="clear" w:color="auto" w:fill="auto"/>
            <w:noWrap/>
            <w:vAlign w:val="center"/>
            <w:hideMark/>
          </w:tcPr>
          <w:p w14:paraId="73A2562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(0.712 - 1.328)</w:t>
            </w:r>
          </w:p>
        </w:tc>
      </w:tr>
      <w:tr w:rsidR="009F657D" w:rsidRPr="00675C07" w14:paraId="1B733D7E" w14:textId="77777777" w:rsidTr="009F657D">
        <w:trPr>
          <w:trHeight w:val="278"/>
        </w:trPr>
        <w:tc>
          <w:tcPr>
            <w:tcW w:w="3052" w:type="dxa"/>
            <w:tcBorders>
              <w:top w:val="nil"/>
              <w:left w:val="nil"/>
              <w:bottom w:val="nil"/>
              <w:right w:val="nil"/>
            </w:tcBorders>
            <w:shd w:val="clear" w:color="000000" w:fill="FFFFFF"/>
            <w:noWrap/>
            <w:vAlign w:val="center"/>
            <w:hideMark/>
          </w:tcPr>
          <w:p w14:paraId="7DA8C595"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Hispanic</w:t>
            </w:r>
          </w:p>
        </w:tc>
        <w:tc>
          <w:tcPr>
            <w:tcW w:w="2764" w:type="dxa"/>
            <w:tcBorders>
              <w:top w:val="nil"/>
              <w:left w:val="nil"/>
              <w:bottom w:val="nil"/>
              <w:right w:val="nil"/>
            </w:tcBorders>
            <w:shd w:val="clear" w:color="auto" w:fill="auto"/>
            <w:noWrap/>
            <w:vAlign w:val="center"/>
            <w:hideMark/>
          </w:tcPr>
          <w:p w14:paraId="4EB0D7C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0.662 (0.577 - 0.760)</w:t>
            </w:r>
          </w:p>
        </w:tc>
        <w:tc>
          <w:tcPr>
            <w:tcW w:w="2618" w:type="dxa"/>
            <w:tcBorders>
              <w:top w:val="nil"/>
              <w:left w:val="nil"/>
              <w:bottom w:val="nil"/>
              <w:right w:val="nil"/>
            </w:tcBorders>
            <w:shd w:val="clear" w:color="auto" w:fill="auto"/>
            <w:noWrap/>
            <w:vAlign w:val="center"/>
            <w:hideMark/>
          </w:tcPr>
          <w:p w14:paraId="7152771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0.621 (0.531 - 0.727)</w:t>
            </w:r>
          </w:p>
        </w:tc>
        <w:tc>
          <w:tcPr>
            <w:tcW w:w="2078" w:type="dxa"/>
            <w:tcBorders>
              <w:top w:val="nil"/>
              <w:left w:val="nil"/>
              <w:bottom w:val="nil"/>
              <w:right w:val="nil"/>
            </w:tcBorders>
            <w:shd w:val="clear" w:color="auto" w:fill="auto"/>
            <w:noWrap/>
            <w:vAlign w:val="center"/>
            <w:hideMark/>
          </w:tcPr>
          <w:p w14:paraId="03B03F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0.891 (0.649 - 1.224)</w:t>
            </w:r>
          </w:p>
        </w:tc>
      </w:tr>
      <w:tr w:rsidR="009F657D" w:rsidRPr="00675C07" w14:paraId="1F951D23" w14:textId="77777777" w:rsidTr="009F657D">
        <w:trPr>
          <w:trHeight w:val="278"/>
        </w:trPr>
        <w:tc>
          <w:tcPr>
            <w:tcW w:w="3052" w:type="dxa"/>
            <w:tcBorders>
              <w:top w:val="nil"/>
              <w:left w:val="nil"/>
              <w:bottom w:val="nil"/>
              <w:right w:val="nil"/>
            </w:tcBorders>
            <w:shd w:val="clear" w:color="000000" w:fill="FFFFFF"/>
            <w:noWrap/>
            <w:vAlign w:val="center"/>
            <w:hideMark/>
          </w:tcPr>
          <w:p w14:paraId="2F0AD67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American Indian/Alaskan Native</w:t>
            </w:r>
          </w:p>
        </w:tc>
        <w:tc>
          <w:tcPr>
            <w:tcW w:w="2764" w:type="dxa"/>
            <w:tcBorders>
              <w:top w:val="nil"/>
              <w:left w:val="nil"/>
              <w:bottom w:val="nil"/>
              <w:right w:val="nil"/>
            </w:tcBorders>
            <w:shd w:val="clear" w:color="auto" w:fill="auto"/>
            <w:noWrap/>
            <w:vAlign w:val="center"/>
            <w:hideMark/>
          </w:tcPr>
          <w:p w14:paraId="4DD1E5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0.840 (0.539 - 1.307)</w:t>
            </w:r>
          </w:p>
        </w:tc>
        <w:tc>
          <w:tcPr>
            <w:tcW w:w="2618" w:type="dxa"/>
            <w:tcBorders>
              <w:top w:val="nil"/>
              <w:left w:val="nil"/>
              <w:bottom w:val="nil"/>
              <w:right w:val="nil"/>
            </w:tcBorders>
            <w:shd w:val="clear" w:color="auto" w:fill="auto"/>
            <w:noWrap/>
            <w:vAlign w:val="center"/>
            <w:hideMark/>
          </w:tcPr>
          <w:p w14:paraId="0850C7D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0.802 (0.495 - 1.299)</w:t>
            </w:r>
          </w:p>
        </w:tc>
        <w:tc>
          <w:tcPr>
            <w:tcW w:w="2078" w:type="dxa"/>
            <w:tcBorders>
              <w:top w:val="nil"/>
              <w:left w:val="nil"/>
              <w:bottom w:val="nil"/>
              <w:right w:val="nil"/>
            </w:tcBorders>
            <w:shd w:val="clear" w:color="auto" w:fill="auto"/>
            <w:noWrap/>
            <w:vAlign w:val="center"/>
            <w:hideMark/>
          </w:tcPr>
          <w:p w14:paraId="1E0E245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1.125 (0.456 - 2.778)</w:t>
            </w:r>
          </w:p>
        </w:tc>
      </w:tr>
      <w:tr w:rsidR="009F657D" w:rsidRPr="00675C07" w14:paraId="6266377B" w14:textId="77777777" w:rsidTr="009F657D">
        <w:trPr>
          <w:trHeight w:val="278"/>
        </w:trPr>
        <w:tc>
          <w:tcPr>
            <w:tcW w:w="3052" w:type="dxa"/>
            <w:tcBorders>
              <w:top w:val="nil"/>
              <w:left w:val="nil"/>
              <w:bottom w:val="nil"/>
              <w:right w:val="nil"/>
            </w:tcBorders>
            <w:shd w:val="clear" w:color="000000" w:fill="FFFFFF"/>
            <w:noWrap/>
            <w:vAlign w:val="center"/>
            <w:hideMark/>
          </w:tcPr>
          <w:p w14:paraId="368B8109"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Asian</w:t>
            </w:r>
          </w:p>
        </w:tc>
        <w:tc>
          <w:tcPr>
            <w:tcW w:w="2764" w:type="dxa"/>
            <w:tcBorders>
              <w:top w:val="nil"/>
              <w:left w:val="nil"/>
              <w:bottom w:val="nil"/>
              <w:right w:val="nil"/>
            </w:tcBorders>
            <w:shd w:val="clear" w:color="auto" w:fill="auto"/>
            <w:noWrap/>
            <w:vAlign w:val="center"/>
            <w:hideMark/>
          </w:tcPr>
          <w:p w14:paraId="20E20E63"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0.523 (0.377 - 0.724)</w:t>
            </w:r>
          </w:p>
        </w:tc>
        <w:tc>
          <w:tcPr>
            <w:tcW w:w="2618" w:type="dxa"/>
            <w:tcBorders>
              <w:top w:val="nil"/>
              <w:left w:val="nil"/>
              <w:bottom w:val="nil"/>
              <w:right w:val="nil"/>
            </w:tcBorders>
            <w:shd w:val="clear" w:color="auto" w:fill="auto"/>
            <w:noWrap/>
            <w:vAlign w:val="center"/>
            <w:hideMark/>
          </w:tcPr>
          <w:p w14:paraId="1B4EB6D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0.494 (0.343 - 0.712)</w:t>
            </w:r>
          </w:p>
        </w:tc>
        <w:tc>
          <w:tcPr>
            <w:tcW w:w="2078" w:type="dxa"/>
            <w:tcBorders>
              <w:top w:val="nil"/>
              <w:left w:val="nil"/>
              <w:bottom w:val="nil"/>
              <w:right w:val="nil"/>
            </w:tcBorders>
            <w:shd w:val="clear" w:color="auto" w:fill="auto"/>
            <w:noWrap/>
            <w:vAlign w:val="center"/>
            <w:hideMark/>
          </w:tcPr>
          <w:p w14:paraId="35C85B6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0.669 (0.340 - 1.316)</w:t>
            </w:r>
          </w:p>
        </w:tc>
      </w:tr>
      <w:tr w:rsidR="009F657D" w:rsidRPr="00675C07" w14:paraId="2731E0AF" w14:textId="77777777" w:rsidTr="009F657D">
        <w:trPr>
          <w:trHeight w:val="278"/>
        </w:trPr>
        <w:tc>
          <w:tcPr>
            <w:tcW w:w="3052" w:type="dxa"/>
            <w:tcBorders>
              <w:top w:val="nil"/>
              <w:left w:val="nil"/>
              <w:bottom w:val="nil"/>
              <w:right w:val="nil"/>
            </w:tcBorders>
            <w:shd w:val="clear" w:color="000000" w:fill="FFFFFF"/>
            <w:noWrap/>
            <w:vAlign w:val="center"/>
            <w:hideMark/>
          </w:tcPr>
          <w:p w14:paraId="066B601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000000" w:fill="FFFFFF"/>
            <w:noWrap/>
            <w:vAlign w:val="center"/>
            <w:hideMark/>
          </w:tcPr>
          <w:p w14:paraId="60516C1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0.315 (0.099 - 1.003)</w:t>
            </w:r>
          </w:p>
        </w:tc>
        <w:tc>
          <w:tcPr>
            <w:tcW w:w="2618" w:type="dxa"/>
            <w:tcBorders>
              <w:top w:val="nil"/>
              <w:left w:val="nil"/>
              <w:bottom w:val="nil"/>
              <w:right w:val="nil"/>
            </w:tcBorders>
            <w:shd w:val="clear" w:color="000000" w:fill="FFFFFF"/>
            <w:noWrap/>
            <w:vAlign w:val="center"/>
            <w:hideMark/>
          </w:tcPr>
          <w:p w14:paraId="2EAC176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0.375 (0.115 - 1.223)</w:t>
            </w:r>
          </w:p>
        </w:tc>
        <w:tc>
          <w:tcPr>
            <w:tcW w:w="2078" w:type="dxa"/>
            <w:tcBorders>
              <w:top w:val="nil"/>
              <w:left w:val="nil"/>
              <w:bottom w:val="nil"/>
              <w:right w:val="nil"/>
            </w:tcBorders>
            <w:shd w:val="clear" w:color="000000" w:fill="FFFFFF"/>
            <w:noWrap/>
            <w:vAlign w:val="center"/>
            <w:hideMark/>
          </w:tcPr>
          <w:p w14:paraId="1B0B9A7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0.957 (0.443 - 2.070)</w:t>
            </w:r>
          </w:p>
        </w:tc>
      </w:tr>
    </w:tbl>
    <w:p w14:paraId="011574AD" w14:textId="77777777" w:rsidR="00E860E8" w:rsidRDefault="00E860E8" w:rsidP="000E5A7F">
      <w:pPr>
        <w:spacing w:line="240" w:lineRule="auto"/>
        <w:rPr>
          <w:rFonts w:ascii="Times New Roman" w:hAnsi="Times New Roman" w:cs="Times New Roman"/>
          <w:sz w:val="24"/>
          <w:szCs w:val="24"/>
        </w:rPr>
      </w:pPr>
    </w:p>
    <w:p w14:paraId="5CAD6E1E" w14:textId="24D09499" w:rsidR="009F657D" w:rsidRDefault="009F657D">
      <w:pPr>
        <w:rPr>
          <w:rFonts w:ascii="Times New Roman" w:hAnsi="Times New Roman" w:cs="Times New Roman"/>
          <w:sz w:val="24"/>
          <w:szCs w:val="24"/>
        </w:rPr>
      </w:pPr>
      <w:r>
        <w:rPr>
          <w:rFonts w:ascii="Times New Roman" w:hAnsi="Times New Roman" w:cs="Times New Roman"/>
          <w:sz w:val="24"/>
          <w:szCs w:val="24"/>
        </w:rPr>
        <w:br w:type="page"/>
      </w:r>
    </w:p>
    <w:p w14:paraId="1627917F" w14:textId="32014F89" w:rsidR="009F657D" w:rsidRDefault="009F657D" w:rsidP="009F657D">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5</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disease-specific mortality risk among individuals with cardiovascular disease in the National Health Interview Survey, 2000 to 2014.</w:t>
      </w:r>
    </w:p>
    <w:tbl>
      <w:tblPr>
        <w:tblW w:w="10512" w:type="dxa"/>
        <w:tblLook w:val="04A0" w:firstRow="1" w:lastRow="0" w:firstColumn="1" w:lastColumn="0" w:noHBand="0" w:noVBand="1"/>
      </w:tblPr>
      <w:tblGrid>
        <w:gridCol w:w="3183"/>
        <w:gridCol w:w="2443"/>
        <w:gridCol w:w="2443"/>
        <w:gridCol w:w="2443"/>
      </w:tblGrid>
      <w:tr w:rsidR="00F66F44" w:rsidRPr="00F66F44" w14:paraId="3C1CB24A" w14:textId="77777777" w:rsidTr="00F66F44">
        <w:trPr>
          <w:trHeight w:val="278"/>
        </w:trPr>
        <w:tc>
          <w:tcPr>
            <w:tcW w:w="3183" w:type="dxa"/>
            <w:tcBorders>
              <w:top w:val="nil"/>
              <w:left w:val="nil"/>
              <w:bottom w:val="nil"/>
              <w:right w:val="nil"/>
            </w:tcBorders>
            <w:shd w:val="clear" w:color="auto" w:fill="auto"/>
            <w:noWrap/>
            <w:vAlign w:val="bottom"/>
            <w:hideMark/>
          </w:tcPr>
          <w:p w14:paraId="663AA4DA" w14:textId="77777777" w:rsidR="00F66F44" w:rsidRPr="00F66F44" w:rsidRDefault="00F66F44" w:rsidP="00F66F44">
            <w:pPr>
              <w:spacing w:after="0" w:line="240" w:lineRule="auto"/>
              <w:rPr>
                <w:rFonts w:ascii="Times New Roman" w:eastAsia="Times New Roman" w:hAnsi="Times New Roman" w:cs="Times New Roman"/>
                <w:sz w:val="20"/>
                <w:szCs w:val="20"/>
              </w:rPr>
            </w:pPr>
          </w:p>
        </w:tc>
        <w:tc>
          <w:tcPr>
            <w:tcW w:w="2443" w:type="dxa"/>
            <w:tcBorders>
              <w:top w:val="nil"/>
              <w:left w:val="nil"/>
              <w:bottom w:val="nil"/>
              <w:right w:val="nil"/>
            </w:tcBorders>
            <w:shd w:val="clear" w:color="auto" w:fill="auto"/>
            <w:noWrap/>
            <w:vAlign w:val="bottom"/>
            <w:hideMark/>
          </w:tcPr>
          <w:p w14:paraId="72D33727" w14:textId="55364B85"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43" w:type="dxa"/>
            <w:tcBorders>
              <w:top w:val="nil"/>
              <w:left w:val="nil"/>
              <w:bottom w:val="nil"/>
              <w:right w:val="nil"/>
            </w:tcBorders>
            <w:shd w:val="clear" w:color="auto" w:fill="auto"/>
            <w:noWrap/>
            <w:vAlign w:val="bottom"/>
            <w:hideMark/>
          </w:tcPr>
          <w:p w14:paraId="2BF7CBF4" w14:textId="49D8AB18"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443" w:type="dxa"/>
            <w:tcBorders>
              <w:top w:val="nil"/>
              <w:left w:val="nil"/>
              <w:bottom w:val="nil"/>
              <w:right w:val="nil"/>
            </w:tcBorders>
            <w:shd w:val="clear" w:color="auto" w:fill="auto"/>
            <w:noWrap/>
            <w:vAlign w:val="bottom"/>
            <w:hideMark/>
          </w:tcPr>
          <w:p w14:paraId="5C5821FC" w14:textId="678D2ACF"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F66F44" w:rsidRPr="00F66F44" w14:paraId="4EEEF5D0" w14:textId="77777777" w:rsidTr="00F66F44">
        <w:trPr>
          <w:trHeight w:val="278"/>
        </w:trPr>
        <w:tc>
          <w:tcPr>
            <w:tcW w:w="3183" w:type="dxa"/>
            <w:tcBorders>
              <w:top w:val="nil"/>
              <w:left w:val="nil"/>
              <w:bottom w:val="single" w:sz="4" w:space="0" w:color="auto"/>
              <w:right w:val="nil"/>
            </w:tcBorders>
            <w:shd w:val="clear" w:color="auto" w:fill="auto"/>
            <w:noWrap/>
            <w:vAlign w:val="bottom"/>
            <w:hideMark/>
          </w:tcPr>
          <w:p w14:paraId="33F0906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 </w:t>
            </w:r>
          </w:p>
        </w:tc>
        <w:tc>
          <w:tcPr>
            <w:tcW w:w="2443" w:type="dxa"/>
            <w:tcBorders>
              <w:top w:val="nil"/>
              <w:left w:val="nil"/>
              <w:bottom w:val="single" w:sz="4" w:space="0" w:color="auto"/>
              <w:right w:val="nil"/>
            </w:tcBorders>
            <w:shd w:val="clear" w:color="auto" w:fill="auto"/>
            <w:noWrap/>
            <w:vAlign w:val="bottom"/>
            <w:hideMark/>
          </w:tcPr>
          <w:p w14:paraId="2EDFCEB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5B0A883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3E188D3B"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r>
      <w:tr w:rsidR="00F66F44" w:rsidRPr="00F66F44" w14:paraId="73AE7F66" w14:textId="77777777" w:rsidTr="00F66F44">
        <w:trPr>
          <w:trHeight w:val="285"/>
        </w:trPr>
        <w:tc>
          <w:tcPr>
            <w:tcW w:w="3183" w:type="dxa"/>
            <w:tcBorders>
              <w:top w:val="nil"/>
              <w:left w:val="nil"/>
              <w:bottom w:val="nil"/>
              <w:right w:val="nil"/>
            </w:tcBorders>
            <w:shd w:val="clear" w:color="auto" w:fill="auto"/>
            <w:noWrap/>
            <w:vAlign w:val="bottom"/>
            <w:hideMark/>
          </w:tcPr>
          <w:p w14:paraId="4058FD3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CRN</w:t>
            </w:r>
          </w:p>
        </w:tc>
        <w:tc>
          <w:tcPr>
            <w:tcW w:w="2443" w:type="dxa"/>
            <w:tcBorders>
              <w:top w:val="nil"/>
              <w:left w:val="nil"/>
              <w:bottom w:val="nil"/>
              <w:right w:val="nil"/>
            </w:tcBorders>
            <w:shd w:val="clear" w:color="auto" w:fill="auto"/>
            <w:noWrap/>
            <w:vAlign w:val="center"/>
            <w:hideMark/>
          </w:tcPr>
          <w:p w14:paraId="30F5DF0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1.123 (0.993 - 1.271)</w:t>
            </w:r>
          </w:p>
        </w:tc>
        <w:tc>
          <w:tcPr>
            <w:tcW w:w="2443" w:type="dxa"/>
            <w:tcBorders>
              <w:top w:val="nil"/>
              <w:left w:val="nil"/>
              <w:bottom w:val="nil"/>
              <w:right w:val="nil"/>
            </w:tcBorders>
            <w:shd w:val="clear" w:color="auto" w:fill="auto"/>
            <w:noWrap/>
            <w:vAlign w:val="center"/>
            <w:hideMark/>
          </w:tcPr>
          <w:p w14:paraId="6378BE31"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1.172 (1.028 - 1.337)</w:t>
            </w:r>
          </w:p>
        </w:tc>
        <w:tc>
          <w:tcPr>
            <w:tcW w:w="2443" w:type="dxa"/>
            <w:tcBorders>
              <w:top w:val="nil"/>
              <w:left w:val="nil"/>
              <w:bottom w:val="nil"/>
              <w:right w:val="nil"/>
            </w:tcBorders>
            <w:shd w:val="clear" w:color="auto" w:fill="auto"/>
            <w:noWrap/>
            <w:vAlign w:val="center"/>
            <w:hideMark/>
          </w:tcPr>
          <w:p w14:paraId="2A254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1.054 (0.757 - 1.468)</w:t>
            </w:r>
          </w:p>
        </w:tc>
      </w:tr>
      <w:tr w:rsidR="00F66F44" w:rsidRPr="00F66F44" w14:paraId="40C1AEB2" w14:textId="77777777" w:rsidTr="00F66F44">
        <w:trPr>
          <w:trHeight w:val="278"/>
        </w:trPr>
        <w:tc>
          <w:tcPr>
            <w:tcW w:w="3183" w:type="dxa"/>
            <w:tcBorders>
              <w:top w:val="nil"/>
              <w:left w:val="nil"/>
              <w:bottom w:val="nil"/>
              <w:right w:val="nil"/>
            </w:tcBorders>
            <w:shd w:val="clear" w:color="000000" w:fill="FFFFFF"/>
            <w:noWrap/>
            <w:vAlign w:val="center"/>
            <w:hideMark/>
          </w:tcPr>
          <w:p w14:paraId="085A60D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Some College</w:t>
            </w:r>
          </w:p>
        </w:tc>
        <w:tc>
          <w:tcPr>
            <w:tcW w:w="2443" w:type="dxa"/>
            <w:tcBorders>
              <w:top w:val="nil"/>
              <w:left w:val="nil"/>
              <w:bottom w:val="nil"/>
              <w:right w:val="nil"/>
            </w:tcBorders>
            <w:shd w:val="clear" w:color="auto" w:fill="auto"/>
            <w:noWrap/>
            <w:vAlign w:val="center"/>
            <w:hideMark/>
          </w:tcPr>
          <w:p w14:paraId="0E43056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0.866 (0.797 - 0.940)</w:t>
            </w:r>
          </w:p>
        </w:tc>
        <w:tc>
          <w:tcPr>
            <w:tcW w:w="2443" w:type="dxa"/>
            <w:tcBorders>
              <w:top w:val="nil"/>
              <w:left w:val="nil"/>
              <w:bottom w:val="nil"/>
              <w:right w:val="nil"/>
            </w:tcBorders>
            <w:shd w:val="clear" w:color="auto" w:fill="auto"/>
            <w:noWrap/>
            <w:vAlign w:val="center"/>
            <w:hideMark/>
          </w:tcPr>
          <w:p w14:paraId="3C32472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0.870 (0.796 - 0.950)</w:t>
            </w:r>
          </w:p>
        </w:tc>
        <w:tc>
          <w:tcPr>
            <w:tcW w:w="2443" w:type="dxa"/>
            <w:tcBorders>
              <w:top w:val="nil"/>
              <w:left w:val="nil"/>
              <w:bottom w:val="nil"/>
              <w:right w:val="nil"/>
            </w:tcBorders>
            <w:shd w:val="clear" w:color="auto" w:fill="auto"/>
            <w:noWrap/>
            <w:vAlign w:val="center"/>
            <w:hideMark/>
          </w:tcPr>
          <w:p w14:paraId="6FE1B3F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0.910 (0.720 - 1.150)</w:t>
            </w:r>
          </w:p>
        </w:tc>
      </w:tr>
      <w:tr w:rsidR="00F66F44" w:rsidRPr="00F66F44" w14:paraId="4AC0BE4F" w14:textId="77777777" w:rsidTr="00F66F44">
        <w:trPr>
          <w:trHeight w:val="278"/>
        </w:trPr>
        <w:tc>
          <w:tcPr>
            <w:tcW w:w="3183" w:type="dxa"/>
            <w:tcBorders>
              <w:top w:val="nil"/>
              <w:left w:val="nil"/>
              <w:bottom w:val="nil"/>
              <w:right w:val="nil"/>
            </w:tcBorders>
            <w:shd w:val="clear" w:color="000000" w:fill="FFFFFF"/>
            <w:noWrap/>
            <w:vAlign w:val="center"/>
            <w:hideMark/>
          </w:tcPr>
          <w:p w14:paraId="6157C3B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College Degree</w:t>
            </w:r>
          </w:p>
        </w:tc>
        <w:tc>
          <w:tcPr>
            <w:tcW w:w="2443" w:type="dxa"/>
            <w:tcBorders>
              <w:top w:val="nil"/>
              <w:left w:val="nil"/>
              <w:bottom w:val="nil"/>
              <w:right w:val="nil"/>
            </w:tcBorders>
            <w:shd w:val="clear" w:color="auto" w:fill="auto"/>
            <w:noWrap/>
            <w:vAlign w:val="center"/>
            <w:hideMark/>
          </w:tcPr>
          <w:p w14:paraId="7EFB661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0.649 (0.580 - 0.726)</w:t>
            </w:r>
          </w:p>
        </w:tc>
        <w:tc>
          <w:tcPr>
            <w:tcW w:w="2443" w:type="dxa"/>
            <w:tcBorders>
              <w:top w:val="nil"/>
              <w:left w:val="nil"/>
              <w:bottom w:val="nil"/>
              <w:right w:val="nil"/>
            </w:tcBorders>
            <w:shd w:val="clear" w:color="auto" w:fill="auto"/>
            <w:noWrap/>
            <w:vAlign w:val="center"/>
            <w:hideMark/>
          </w:tcPr>
          <w:p w14:paraId="0D8980A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0.645 (0.570 - 0.729)</w:t>
            </w:r>
          </w:p>
        </w:tc>
        <w:tc>
          <w:tcPr>
            <w:tcW w:w="2443" w:type="dxa"/>
            <w:tcBorders>
              <w:top w:val="nil"/>
              <w:left w:val="nil"/>
              <w:bottom w:val="nil"/>
              <w:right w:val="nil"/>
            </w:tcBorders>
            <w:shd w:val="clear" w:color="auto" w:fill="auto"/>
            <w:noWrap/>
            <w:vAlign w:val="center"/>
            <w:hideMark/>
          </w:tcPr>
          <w:p w14:paraId="6F19C5A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0.699 (0.509 - 0.961)</w:t>
            </w:r>
          </w:p>
        </w:tc>
      </w:tr>
      <w:tr w:rsidR="00F66F44" w:rsidRPr="00F66F44" w14:paraId="6EAE6575" w14:textId="77777777" w:rsidTr="00F66F44">
        <w:trPr>
          <w:trHeight w:val="278"/>
        </w:trPr>
        <w:tc>
          <w:tcPr>
            <w:tcW w:w="3183" w:type="dxa"/>
            <w:tcBorders>
              <w:top w:val="nil"/>
              <w:left w:val="nil"/>
              <w:bottom w:val="nil"/>
              <w:right w:val="nil"/>
            </w:tcBorders>
            <w:shd w:val="clear" w:color="000000" w:fill="FFFFFF"/>
            <w:noWrap/>
            <w:vAlign w:val="center"/>
            <w:hideMark/>
          </w:tcPr>
          <w:p w14:paraId="5F51B556"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Age</w:t>
            </w:r>
          </w:p>
        </w:tc>
        <w:tc>
          <w:tcPr>
            <w:tcW w:w="2443" w:type="dxa"/>
            <w:tcBorders>
              <w:top w:val="nil"/>
              <w:left w:val="nil"/>
              <w:bottom w:val="nil"/>
              <w:right w:val="nil"/>
            </w:tcBorders>
            <w:shd w:val="clear" w:color="auto" w:fill="auto"/>
            <w:noWrap/>
            <w:vAlign w:val="center"/>
            <w:hideMark/>
          </w:tcPr>
          <w:p w14:paraId="5CA69FD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1.094 (1.090 - 1.098)</w:t>
            </w:r>
          </w:p>
        </w:tc>
        <w:tc>
          <w:tcPr>
            <w:tcW w:w="2443" w:type="dxa"/>
            <w:tcBorders>
              <w:top w:val="nil"/>
              <w:left w:val="nil"/>
              <w:bottom w:val="nil"/>
              <w:right w:val="nil"/>
            </w:tcBorders>
            <w:shd w:val="clear" w:color="auto" w:fill="auto"/>
            <w:noWrap/>
            <w:vAlign w:val="center"/>
            <w:hideMark/>
          </w:tcPr>
          <w:p w14:paraId="7F5022F9"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1.095 (1.091 - 1.100)</w:t>
            </w:r>
          </w:p>
        </w:tc>
        <w:tc>
          <w:tcPr>
            <w:tcW w:w="2443" w:type="dxa"/>
            <w:tcBorders>
              <w:top w:val="nil"/>
              <w:left w:val="nil"/>
              <w:bottom w:val="nil"/>
              <w:right w:val="nil"/>
            </w:tcBorders>
            <w:shd w:val="clear" w:color="auto" w:fill="auto"/>
            <w:noWrap/>
            <w:vAlign w:val="center"/>
            <w:hideMark/>
          </w:tcPr>
          <w:p w14:paraId="405A990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1.090 (1.078 - 1.102)</w:t>
            </w:r>
          </w:p>
        </w:tc>
      </w:tr>
      <w:tr w:rsidR="00F66F44" w:rsidRPr="00F66F44" w14:paraId="7FB5FE98" w14:textId="77777777" w:rsidTr="00F66F44">
        <w:trPr>
          <w:trHeight w:val="278"/>
        </w:trPr>
        <w:tc>
          <w:tcPr>
            <w:tcW w:w="3183" w:type="dxa"/>
            <w:tcBorders>
              <w:top w:val="nil"/>
              <w:left w:val="nil"/>
              <w:bottom w:val="nil"/>
              <w:right w:val="nil"/>
            </w:tcBorders>
            <w:shd w:val="clear" w:color="000000" w:fill="FFFFFF"/>
            <w:noWrap/>
            <w:vAlign w:val="center"/>
            <w:hideMark/>
          </w:tcPr>
          <w:p w14:paraId="33771C4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$20,000 to &lt; $45,000</w:t>
            </w:r>
          </w:p>
        </w:tc>
        <w:tc>
          <w:tcPr>
            <w:tcW w:w="2443" w:type="dxa"/>
            <w:tcBorders>
              <w:top w:val="nil"/>
              <w:left w:val="nil"/>
              <w:bottom w:val="nil"/>
              <w:right w:val="nil"/>
            </w:tcBorders>
            <w:shd w:val="clear" w:color="auto" w:fill="auto"/>
            <w:noWrap/>
            <w:vAlign w:val="center"/>
            <w:hideMark/>
          </w:tcPr>
          <w:p w14:paraId="7B83F966"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0.888 (0.813 - 0.971)</w:t>
            </w:r>
          </w:p>
        </w:tc>
        <w:tc>
          <w:tcPr>
            <w:tcW w:w="2443" w:type="dxa"/>
            <w:tcBorders>
              <w:top w:val="nil"/>
              <w:left w:val="nil"/>
              <w:bottom w:val="nil"/>
              <w:right w:val="nil"/>
            </w:tcBorders>
            <w:shd w:val="clear" w:color="auto" w:fill="auto"/>
            <w:noWrap/>
            <w:vAlign w:val="center"/>
            <w:hideMark/>
          </w:tcPr>
          <w:p w14:paraId="1103ADB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0.876 (0.798 - 0.963)</w:t>
            </w:r>
          </w:p>
        </w:tc>
        <w:tc>
          <w:tcPr>
            <w:tcW w:w="2443" w:type="dxa"/>
            <w:tcBorders>
              <w:top w:val="nil"/>
              <w:left w:val="nil"/>
              <w:bottom w:val="nil"/>
              <w:right w:val="nil"/>
            </w:tcBorders>
            <w:shd w:val="clear" w:color="auto" w:fill="auto"/>
            <w:noWrap/>
            <w:vAlign w:val="center"/>
            <w:hideMark/>
          </w:tcPr>
          <w:p w14:paraId="552B7861"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1.217 (0.943 - 1.570)</w:t>
            </w:r>
          </w:p>
        </w:tc>
      </w:tr>
      <w:tr w:rsidR="00F66F44" w:rsidRPr="00F66F44" w14:paraId="46E2AF67" w14:textId="77777777" w:rsidTr="00F66F44">
        <w:trPr>
          <w:trHeight w:val="278"/>
        </w:trPr>
        <w:tc>
          <w:tcPr>
            <w:tcW w:w="3183" w:type="dxa"/>
            <w:tcBorders>
              <w:top w:val="nil"/>
              <w:left w:val="nil"/>
              <w:bottom w:val="nil"/>
              <w:right w:val="nil"/>
            </w:tcBorders>
            <w:shd w:val="clear" w:color="000000" w:fill="FFFFFF"/>
            <w:noWrap/>
            <w:vAlign w:val="center"/>
            <w:hideMark/>
          </w:tcPr>
          <w:p w14:paraId="03F519DD"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$45,000 to &lt; $65,000</w:t>
            </w:r>
          </w:p>
        </w:tc>
        <w:tc>
          <w:tcPr>
            <w:tcW w:w="2443" w:type="dxa"/>
            <w:tcBorders>
              <w:top w:val="nil"/>
              <w:left w:val="nil"/>
              <w:bottom w:val="nil"/>
              <w:right w:val="nil"/>
            </w:tcBorders>
            <w:shd w:val="clear" w:color="auto" w:fill="auto"/>
            <w:noWrap/>
            <w:vAlign w:val="center"/>
            <w:hideMark/>
          </w:tcPr>
          <w:p w14:paraId="6CEDE48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0.806 (0.728 - 0.892)</w:t>
            </w:r>
          </w:p>
        </w:tc>
        <w:tc>
          <w:tcPr>
            <w:tcW w:w="2443" w:type="dxa"/>
            <w:tcBorders>
              <w:top w:val="nil"/>
              <w:left w:val="nil"/>
              <w:bottom w:val="nil"/>
              <w:right w:val="nil"/>
            </w:tcBorders>
            <w:shd w:val="clear" w:color="auto" w:fill="auto"/>
            <w:noWrap/>
            <w:vAlign w:val="center"/>
            <w:hideMark/>
          </w:tcPr>
          <w:p w14:paraId="7D645C6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0.818 (0.734 - 0.913)</w:t>
            </w:r>
          </w:p>
        </w:tc>
        <w:tc>
          <w:tcPr>
            <w:tcW w:w="2443" w:type="dxa"/>
            <w:tcBorders>
              <w:top w:val="nil"/>
              <w:left w:val="nil"/>
              <w:bottom w:val="nil"/>
              <w:right w:val="nil"/>
            </w:tcBorders>
            <w:shd w:val="clear" w:color="auto" w:fill="auto"/>
            <w:noWrap/>
            <w:vAlign w:val="center"/>
            <w:hideMark/>
          </w:tcPr>
          <w:p w14:paraId="0E394A4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1.003 (0.749 - 1.345)</w:t>
            </w:r>
          </w:p>
        </w:tc>
      </w:tr>
      <w:tr w:rsidR="00F66F44" w:rsidRPr="00F66F44" w14:paraId="70638E3E" w14:textId="77777777" w:rsidTr="00F66F44">
        <w:trPr>
          <w:trHeight w:val="278"/>
        </w:trPr>
        <w:tc>
          <w:tcPr>
            <w:tcW w:w="3183" w:type="dxa"/>
            <w:tcBorders>
              <w:top w:val="nil"/>
              <w:left w:val="nil"/>
              <w:bottom w:val="nil"/>
              <w:right w:val="nil"/>
            </w:tcBorders>
            <w:shd w:val="clear" w:color="000000" w:fill="FFFFFF"/>
            <w:noWrap/>
            <w:vAlign w:val="center"/>
            <w:hideMark/>
          </w:tcPr>
          <w:p w14:paraId="016FCBB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$65,000 to &lt; $85,000</w:t>
            </w:r>
          </w:p>
        </w:tc>
        <w:tc>
          <w:tcPr>
            <w:tcW w:w="2443" w:type="dxa"/>
            <w:tcBorders>
              <w:top w:val="nil"/>
              <w:left w:val="nil"/>
              <w:bottom w:val="nil"/>
              <w:right w:val="nil"/>
            </w:tcBorders>
            <w:shd w:val="clear" w:color="auto" w:fill="auto"/>
            <w:noWrap/>
            <w:vAlign w:val="center"/>
            <w:hideMark/>
          </w:tcPr>
          <w:p w14:paraId="38E65E3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0.700 (0.610 - 0.803)</w:t>
            </w:r>
          </w:p>
        </w:tc>
        <w:tc>
          <w:tcPr>
            <w:tcW w:w="2443" w:type="dxa"/>
            <w:tcBorders>
              <w:top w:val="nil"/>
              <w:left w:val="nil"/>
              <w:bottom w:val="nil"/>
              <w:right w:val="nil"/>
            </w:tcBorders>
            <w:shd w:val="clear" w:color="auto" w:fill="auto"/>
            <w:noWrap/>
            <w:vAlign w:val="center"/>
            <w:hideMark/>
          </w:tcPr>
          <w:p w14:paraId="78B9CCD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0.710 (0.613 - 0.823)</w:t>
            </w:r>
          </w:p>
        </w:tc>
        <w:tc>
          <w:tcPr>
            <w:tcW w:w="2443" w:type="dxa"/>
            <w:tcBorders>
              <w:top w:val="nil"/>
              <w:left w:val="nil"/>
              <w:bottom w:val="nil"/>
              <w:right w:val="nil"/>
            </w:tcBorders>
            <w:shd w:val="clear" w:color="auto" w:fill="auto"/>
            <w:noWrap/>
            <w:vAlign w:val="center"/>
            <w:hideMark/>
          </w:tcPr>
          <w:p w14:paraId="0AF4E78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0.725 (0.472 - 1.113)</w:t>
            </w:r>
          </w:p>
        </w:tc>
      </w:tr>
      <w:tr w:rsidR="00F66F44" w:rsidRPr="00F66F44" w14:paraId="481FC39E" w14:textId="77777777" w:rsidTr="00F66F44">
        <w:trPr>
          <w:trHeight w:val="278"/>
        </w:trPr>
        <w:tc>
          <w:tcPr>
            <w:tcW w:w="3183" w:type="dxa"/>
            <w:tcBorders>
              <w:top w:val="nil"/>
              <w:left w:val="nil"/>
              <w:bottom w:val="nil"/>
              <w:right w:val="nil"/>
            </w:tcBorders>
            <w:shd w:val="clear" w:color="000000" w:fill="FFFFFF"/>
            <w:noWrap/>
            <w:vAlign w:val="center"/>
            <w:hideMark/>
          </w:tcPr>
          <w:p w14:paraId="3654DD0E"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$85,000 to &lt; $100,000</w:t>
            </w:r>
          </w:p>
        </w:tc>
        <w:tc>
          <w:tcPr>
            <w:tcW w:w="2443" w:type="dxa"/>
            <w:tcBorders>
              <w:top w:val="nil"/>
              <w:left w:val="nil"/>
              <w:bottom w:val="nil"/>
              <w:right w:val="nil"/>
            </w:tcBorders>
            <w:shd w:val="clear" w:color="auto" w:fill="auto"/>
            <w:noWrap/>
            <w:vAlign w:val="center"/>
            <w:hideMark/>
          </w:tcPr>
          <w:p w14:paraId="70B137B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0.560 (0.392 - 0.802)</w:t>
            </w:r>
          </w:p>
        </w:tc>
        <w:tc>
          <w:tcPr>
            <w:tcW w:w="2443" w:type="dxa"/>
            <w:tcBorders>
              <w:top w:val="nil"/>
              <w:left w:val="nil"/>
              <w:bottom w:val="nil"/>
              <w:right w:val="nil"/>
            </w:tcBorders>
            <w:shd w:val="clear" w:color="auto" w:fill="auto"/>
            <w:noWrap/>
            <w:vAlign w:val="center"/>
            <w:hideMark/>
          </w:tcPr>
          <w:p w14:paraId="59B3CC0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0.540 (0.339 - 0.862)</w:t>
            </w:r>
          </w:p>
        </w:tc>
        <w:tc>
          <w:tcPr>
            <w:tcW w:w="2443" w:type="dxa"/>
            <w:tcBorders>
              <w:top w:val="nil"/>
              <w:left w:val="nil"/>
              <w:bottom w:val="nil"/>
              <w:right w:val="nil"/>
            </w:tcBorders>
            <w:shd w:val="clear" w:color="auto" w:fill="auto"/>
            <w:noWrap/>
            <w:vAlign w:val="center"/>
            <w:hideMark/>
          </w:tcPr>
          <w:p w14:paraId="61A6693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0.943 (0.526 - 1.691)</w:t>
            </w:r>
          </w:p>
        </w:tc>
      </w:tr>
      <w:tr w:rsidR="00F66F44" w:rsidRPr="00F66F44" w14:paraId="025087FB" w14:textId="77777777" w:rsidTr="00F66F44">
        <w:trPr>
          <w:trHeight w:val="278"/>
        </w:trPr>
        <w:tc>
          <w:tcPr>
            <w:tcW w:w="3183" w:type="dxa"/>
            <w:tcBorders>
              <w:top w:val="nil"/>
              <w:left w:val="nil"/>
              <w:bottom w:val="nil"/>
              <w:right w:val="nil"/>
            </w:tcBorders>
            <w:shd w:val="clear" w:color="000000" w:fill="FFFFFF"/>
            <w:noWrap/>
            <w:vAlign w:val="center"/>
            <w:hideMark/>
          </w:tcPr>
          <w:p w14:paraId="05A04D4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$100,000 or more</w:t>
            </w:r>
          </w:p>
        </w:tc>
        <w:tc>
          <w:tcPr>
            <w:tcW w:w="2443" w:type="dxa"/>
            <w:tcBorders>
              <w:top w:val="nil"/>
              <w:left w:val="nil"/>
              <w:bottom w:val="nil"/>
              <w:right w:val="nil"/>
            </w:tcBorders>
            <w:shd w:val="clear" w:color="auto" w:fill="auto"/>
            <w:noWrap/>
            <w:vAlign w:val="center"/>
            <w:hideMark/>
          </w:tcPr>
          <w:p w14:paraId="71C2790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0.432 (0.310 - 0.601)</w:t>
            </w:r>
          </w:p>
        </w:tc>
        <w:tc>
          <w:tcPr>
            <w:tcW w:w="2443" w:type="dxa"/>
            <w:tcBorders>
              <w:top w:val="nil"/>
              <w:left w:val="nil"/>
              <w:bottom w:val="nil"/>
              <w:right w:val="nil"/>
            </w:tcBorders>
            <w:shd w:val="clear" w:color="auto" w:fill="auto"/>
            <w:noWrap/>
            <w:vAlign w:val="center"/>
            <w:hideMark/>
          </w:tcPr>
          <w:p w14:paraId="4CAB187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0.356 (0.219 - 0.578)</w:t>
            </w:r>
          </w:p>
        </w:tc>
        <w:tc>
          <w:tcPr>
            <w:tcW w:w="2443" w:type="dxa"/>
            <w:tcBorders>
              <w:top w:val="nil"/>
              <w:left w:val="nil"/>
              <w:bottom w:val="nil"/>
              <w:right w:val="nil"/>
            </w:tcBorders>
            <w:shd w:val="clear" w:color="auto" w:fill="auto"/>
            <w:noWrap/>
            <w:vAlign w:val="center"/>
            <w:hideMark/>
          </w:tcPr>
          <w:p w14:paraId="5AD6ED0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0.829 (0.524 - 1.311)</w:t>
            </w:r>
          </w:p>
        </w:tc>
      </w:tr>
      <w:tr w:rsidR="00F66F44" w:rsidRPr="00F66F44" w14:paraId="0640896D" w14:textId="77777777" w:rsidTr="00F66F44">
        <w:trPr>
          <w:trHeight w:val="278"/>
        </w:trPr>
        <w:tc>
          <w:tcPr>
            <w:tcW w:w="3183" w:type="dxa"/>
            <w:tcBorders>
              <w:top w:val="nil"/>
              <w:left w:val="nil"/>
              <w:bottom w:val="nil"/>
              <w:right w:val="nil"/>
            </w:tcBorders>
            <w:shd w:val="clear" w:color="auto" w:fill="auto"/>
            <w:noWrap/>
            <w:vAlign w:val="bottom"/>
            <w:hideMark/>
          </w:tcPr>
          <w:p w14:paraId="667D588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Female Sex</w:t>
            </w:r>
          </w:p>
        </w:tc>
        <w:tc>
          <w:tcPr>
            <w:tcW w:w="2443" w:type="dxa"/>
            <w:tcBorders>
              <w:top w:val="nil"/>
              <w:left w:val="nil"/>
              <w:bottom w:val="nil"/>
              <w:right w:val="nil"/>
            </w:tcBorders>
            <w:shd w:val="clear" w:color="auto" w:fill="auto"/>
            <w:noWrap/>
            <w:vAlign w:val="center"/>
            <w:hideMark/>
          </w:tcPr>
          <w:p w14:paraId="71B9797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0.625 (0.582 - 0.670)</w:t>
            </w:r>
          </w:p>
        </w:tc>
        <w:tc>
          <w:tcPr>
            <w:tcW w:w="2443" w:type="dxa"/>
            <w:tcBorders>
              <w:top w:val="nil"/>
              <w:left w:val="nil"/>
              <w:bottom w:val="nil"/>
              <w:right w:val="nil"/>
            </w:tcBorders>
            <w:shd w:val="clear" w:color="auto" w:fill="auto"/>
            <w:noWrap/>
            <w:vAlign w:val="center"/>
            <w:hideMark/>
          </w:tcPr>
          <w:p w14:paraId="7377012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0.631 (0.586 - 0.681)</w:t>
            </w:r>
          </w:p>
        </w:tc>
        <w:tc>
          <w:tcPr>
            <w:tcW w:w="2443" w:type="dxa"/>
            <w:tcBorders>
              <w:top w:val="nil"/>
              <w:left w:val="nil"/>
              <w:bottom w:val="nil"/>
              <w:right w:val="nil"/>
            </w:tcBorders>
            <w:shd w:val="clear" w:color="auto" w:fill="auto"/>
            <w:noWrap/>
            <w:vAlign w:val="center"/>
            <w:hideMark/>
          </w:tcPr>
          <w:p w14:paraId="37745DD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0.583 (0.476 - 0.715)</w:t>
            </w:r>
          </w:p>
        </w:tc>
      </w:tr>
      <w:tr w:rsidR="00F66F44" w:rsidRPr="00F66F44" w14:paraId="46566EBA" w14:textId="77777777" w:rsidTr="00F66F44">
        <w:trPr>
          <w:trHeight w:val="278"/>
        </w:trPr>
        <w:tc>
          <w:tcPr>
            <w:tcW w:w="3183" w:type="dxa"/>
            <w:tcBorders>
              <w:top w:val="nil"/>
              <w:left w:val="nil"/>
              <w:bottom w:val="nil"/>
              <w:right w:val="nil"/>
            </w:tcBorders>
            <w:shd w:val="clear" w:color="000000" w:fill="FFFFFF"/>
            <w:noWrap/>
            <w:vAlign w:val="center"/>
            <w:hideMark/>
          </w:tcPr>
          <w:p w14:paraId="74E4D44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Public Insurance</w:t>
            </w:r>
          </w:p>
        </w:tc>
        <w:tc>
          <w:tcPr>
            <w:tcW w:w="2443" w:type="dxa"/>
            <w:tcBorders>
              <w:top w:val="nil"/>
              <w:left w:val="nil"/>
              <w:bottom w:val="nil"/>
              <w:right w:val="nil"/>
            </w:tcBorders>
            <w:shd w:val="clear" w:color="auto" w:fill="auto"/>
            <w:noWrap/>
            <w:vAlign w:val="center"/>
            <w:hideMark/>
          </w:tcPr>
          <w:p w14:paraId="09B115D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1.058 (0.849 - 1.318)</w:t>
            </w:r>
          </w:p>
        </w:tc>
        <w:tc>
          <w:tcPr>
            <w:tcW w:w="2443" w:type="dxa"/>
            <w:tcBorders>
              <w:top w:val="nil"/>
              <w:left w:val="nil"/>
              <w:bottom w:val="nil"/>
              <w:right w:val="nil"/>
            </w:tcBorders>
            <w:shd w:val="clear" w:color="auto" w:fill="auto"/>
            <w:noWrap/>
            <w:vAlign w:val="center"/>
            <w:hideMark/>
          </w:tcPr>
          <w:p w14:paraId="699FB5C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1.040 (0.820 - 1.318)</w:t>
            </w:r>
          </w:p>
        </w:tc>
        <w:tc>
          <w:tcPr>
            <w:tcW w:w="2443" w:type="dxa"/>
            <w:tcBorders>
              <w:top w:val="nil"/>
              <w:left w:val="nil"/>
              <w:bottom w:val="nil"/>
              <w:right w:val="nil"/>
            </w:tcBorders>
            <w:shd w:val="clear" w:color="auto" w:fill="auto"/>
            <w:noWrap/>
            <w:vAlign w:val="center"/>
            <w:hideMark/>
          </w:tcPr>
          <w:p w14:paraId="2F0DF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1.145 (0.614 - 2.135)</w:t>
            </w:r>
          </w:p>
        </w:tc>
      </w:tr>
      <w:tr w:rsidR="00F66F44" w:rsidRPr="00F66F44" w14:paraId="19DC9E3B" w14:textId="77777777" w:rsidTr="00F66F44">
        <w:trPr>
          <w:trHeight w:val="278"/>
        </w:trPr>
        <w:tc>
          <w:tcPr>
            <w:tcW w:w="3183" w:type="dxa"/>
            <w:tcBorders>
              <w:top w:val="nil"/>
              <w:left w:val="nil"/>
              <w:bottom w:val="nil"/>
              <w:right w:val="nil"/>
            </w:tcBorders>
            <w:shd w:val="clear" w:color="000000" w:fill="FFFFFF"/>
            <w:noWrap/>
            <w:vAlign w:val="center"/>
            <w:hideMark/>
          </w:tcPr>
          <w:p w14:paraId="7CE2B207"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Private Insurance</w:t>
            </w:r>
          </w:p>
        </w:tc>
        <w:tc>
          <w:tcPr>
            <w:tcW w:w="2443" w:type="dxa"/>
            <w:tcBorders>
              <w:top w:val="nil"/>
              <w:left w:val="nil"/>
              <w:bottom w:val="nil"/>
              <w:right w:val="nil"/>
            </w:tcBorders>
            <w:shd w:val="clear" w:color="auto" w:fill="auto"/>
            <w:noWrap/>
            <w:vAlign w:val="center"/>
            <w:hideMark/>
          </w:tcPr>
          <w:p w14:paraId="1FD4BC4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0.799 (0.644 - 0.990)</w:t>
            </w:r>
          </w:p>
        </w:tc>
        <w:tc>
          <w:tcPr>
            <w:tcW w:w="2443" w:type="dxa"/>
            <w:tcBorders>
              <w:top w:val="nil"/>
              <w:left w:val="nil"/>
              <w:bottom w:val="nil"/>
              <w:right w:val="nil"/>
            </w:tcBorders>
            <w:shd w:val="clear" w:color="auto" w:fill="auto"/>
            <w:noWrap/>
            <w:vAlign w:val="center"/>
            <w:hideMark/>
          </w:tcPr>
          <w:p w14:paraId="3F484590"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0.791 (0.631 - 0.992)</w:t>
            </w:r>
          </w:p>
        </w:tc>
        <w:tc>
          <w:tcPr>
            <w:tcW w:w="2443" w:type="dxa"/>
            <w:tcBorders>
              <w:top w:val="nil"/>
              <w:left w:val="nil"/>
              <w:bottom w:val="nil"/>
              <w:right w:val="nil"/>
            </w:tcBorders>
            <w:shd w:val="clear" w:color="auto" w:fill="auto"/>
            <w:noWrap/>
            <w:vAlign w:val="center"/>
            <w:hideMark/>
          </w:tcPr>
          <w:p w14:paraId="52A1879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0.675 (0.354 - 1.289)</w:t>
            </w:r>
          </w:p>
        </w:tc>
      </w:tr>
      <w:tr w:rsidR="00F66F44" w:rsidRPr="00F66F44" w14:paraId="6C53F481" w14:textId="77777777" w:rsidTr="00F66F44">
        <w:trPr>
          <w:trHeight w:val="278"/>
        </w:trPr>
        <w:tc>
          <w:tcPr>
            <w:tcW w:w="3183" w:type="dxa"/>
            <w:tcBorders>
              <w:top w:val="nil"/>
              <w:left w:val="nil"/>
              <w:bottom w:val="nil"/>
              <w:right w:val="nil"/>
            </w:tcBorders>
            <w:shd w:val="clear" w:color="000000" w:fill="FFFFFF"/>
            <w:noWrap/>
            <w:vAlign w:val="center"/>
            <w:hideMark/>
          </w:tcPr>
          <w:p w14:paraId="3FAEEB2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Military</w:t>
            </w:r>
          </w:p>
        </w:tc>
        <w:tc>
          <w:tcPr>
            <w:tcW w:w="2443" w:type="dxa"/>
            <w:tcBorders>
              <w:top w:val="nil"/>
              <w:left w:val="nil"/>
              <w:bottom w:val="nil"/>
              <w:right w:val="nil"/>
            </w:tcBorders>
            <w:shd w:val="clear" w:color="auto" w:fill="auto"/>
            <w:noWrap/>
            <w:vAlign w:val="center"/>
            <w:hideMark/>
          </w:tcPr>
          <w:p w14:paraId="347F964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0.805 (0.610 - 1.063)</w:t>
            </w:r>
          </w:p>
        </w:tc>
        <w:tc>
          <w:tcPr>
            <w:tcW w:w="2443" w:type="dxa"/>
            <w:tcBorders>
              <w:top w:val="nil"/>
              <w:left w:val="nil"/>
              <w:bottom w:val="nil"/>
              <w:right w:val="nil"/>
            </w:tcBorders>
            <w:shd w:val="clear" w:color="auto" w:fill="auto"/>
            <w:noWrap/>
            <w:vAlign w:val="center"/>
            <w:hideMark/>
          </w:tcPr>
          <w:p w14:paraId="1DB4DF3D"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0.858 (0.643 - 1.145)</w:t>
            </w:r>
          </w:p>
        </w:tc>
        <w:tc>
          <w:tcPr>
            <w:tcW w:w="2443" w:type="dxa"/>
            <w:tcBorders>
              <w:top w:val="nil"/>
              <w:left w:val="nil"/>
              <w:bottom w:val="nil"/>
              <w:right w:val="nil"/>
            </w:tcBorders>
            <w:shd w:val="clear" w:color="auto" w:fill="auto"/>
            <w:noWrap/>
            <w:vAlign w:val="center"/>
            <w:hideMark/>
          </w:tcPr>
          <w:p w14:paraId="3EE4D8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0.571 (0.246 - 1.326)</w:t>
            </w:r>
          </w:p>
        </w:tc>
      </w:tr>
      <w:tr w:rsidR="00F66F44" w:rsidRPr="00F66F44" w14:paraId="37CD87EF" w14:textId="77777777" w:rsidTr="00F66F44">
        <w:trPr>
          <w:trHeight w:val="278"/>
        </w:trPr>
        <w:tc>
          <w:tcPr>
            <w:tcW w:w="3183" w:type="dxa"/>
            <w:tcBorders>
              <w:top w:val="nil"/>
              <w:left w:val="nil"/>
              <w:bottom w:val="nil"/>
              <w:right w:val="nil"/>
            </w:tcBorders>
            <w:shd w:val="clear" w:color="000000" w:fill="FFFFFF"/>
            <w:noWrap/>
            <w:vAlign w:val="center"/>
            <w:hideMark/>
          </w:tcPr>
          <w:p w14:paraId="6BD7F8E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Medicare</w:t>
            </w:r>
          </w:p>
        </w:tc>
        <w:tc>
          <w:tcPr>
            <w:tcW w:w="2443" w:type="dxa"/>
            <w:tcBorders>
              <w:top w:val="nil"/>
              <w:left w:val="nil"/>
              <w:bottom w:val="nil"/>
              <w:right w:val="nil"/>
            </w:tcBorders>
            <w:shd w:val="clear" w:color="auto" w:fill="auto"/>
            <w:noWrap/>
            <w:vAlign w:val="center"/>
            <w:hideMark/>
          </w:tcPr>
          <w:p w14:paraId="5775132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0.834 (0.668 - 1.042)</w:t>
            </w:r>
          </w:p>
        </w:tc>
        <w:tc>
          <w:tcPr>
            <w:tcW w:w="2443" w:type="dxa"/>
            <w:tcBorders>
              <w:top w:val="nil"/>
              <w:left w:val="nil"/>
              <w:bottom w:val="nil"/>
              <w:right w:val="nil"/>
            </w:tcBorders>
            <w:shd w:val="clear" w:color="auto" w:fill="auto"/>
            <w:noWrap/>
            <w:vAlign w:val="center"/>
            <w:hideMark/>
          </w:tcPr>
          <w:p w14:paraId="416DB46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0.837 (0.660 - 1.060)</w:t>
            </w:r>
          </w:p>
        </w:tc>
        <w:tc>
          <w:tcPr>
            <w:tcW w:w="2443" w:type="dxa"/>
            <w:tcBorders>
              <w:top w:val="nil"/>
              <w:left w:val="nil"/>
              <w:bottom w:val="nil"/>
              <w:right w:val="nil"/>
            </w:tcBorders>
            <w:shd w:val="clear" w:color="auto" w:fill="auto"/>
            <w:noWrap/>
            <w:vAlign w:val="center"/>
            <w:hideMark/>
          </w:tcPr>
          <w:p w14:paraId="28AE0A4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0.770 (0.400 - 1.481)</w:t>
            </w:r>
          </w:p>
        </w:tc>
      </w:tr>
      <w:tr w:rsidR="00F66F44" w:rsidRPr="00F66F44" w14:paraId="77A503BE" w14:textId="77777777" w:rsidTr="00F66F44">
        <w:trPr>
          <w:trHeight w:val="278"/>
        </w:trPr>
        <w:tc>
          <w:tcPr>
            <w:tcW w:w="3183" w:type="dxa"/>
            <w:tcBorders>
              <w:top w:val="nil"/>
              <w:left w:val="nil"/>
              <w:bottom w:val="nil"/>
              <w:right w:val="nil"/>
            </w:tcBorders>
            <w:shd w:val="clear" w:color="000000" w:fill="FFFFFF"/>
            <w:noWrap/>
            <w:vAlign w:val="center"/>
            <w:hideMark/>
          </w:tcPr>
          <w:p w14:paraId="62E4A78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auto" w:fill="auto"/>
            <w:noWrap/>
            <w:vAlign w:val="center"/>
            <w:hideMark/>
          </w:tcPr>
          <w:p w14:paraId="78FAC4D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1.205 (0.603 - 2.408)</w:t>
            </w:r>
          </w:p>
        </w:tc>
        <w:tc>
          <w:tcPr>
            <w:tcW w:w="2443" w:type="dxa"/>
            <w:tcBorders>
              <w:top w:val="nil"/>
              <w:left w:val="nil"/>
              <w:bottom w:val="nil"/>
              <w:right w:val="nil"/>
            </w:tcBorders>
            <w:shd w:val="clear" w:color="auto" w:fill="auto"/>
            <w:noWrap/>
            <w:vAlign w:val="center"/>
            <w:hideMark/>
          </w:tcPr>
          <w:p w14:paraId="475F840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1.173 (0.574 - 2.397)</w:t>
            </w:r>
          </w:p>
        </w:tc>
        <w:tc>
          <w:tcPr>
            <w:tcW w:w="2443" w:type="dxa"/>
            <w:tcBorders>
              <w:top w:val="nil"/>
              <w:left w:val="nil"/>
              <w:bottom w:val="nil"/>
              <w:right w:val="nil"/>
            </w:tcBorders>
            <w:shd w:val="clear" w:color="auto" w:fill="auto"/>
            <w:noWrap/>
            <w:vAlign w:val="center"/>
            <w:hideMark/>
          </w:tcPr>
          <w:p w14:paraId="36586199"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1.443 (0.173 - 12.037)</w:t>
            </w:r>
          </w:p>
        </w:tc>
      </w:tr>
      <w:tr w:rsidR="00F66F44" w:rsidRPr="00F66F44" w14:paraId="357C5309" w14:textId="77777777" w:rsidTr="00F66F44">
        <w:trPr>
          <w:trHeight w:val="278"/>
        </w:trPr>
        <w:tc>
          <w:tcPr>
            <w:tcW w:w="3183" w:type="dxa"/>
            <w:tcBorders>
              <w:top w:val="nil"/>
              <w:left w:val="nil"/>
              <w:bottom w:val="nil"/>
              <w:right w:val="nil"/>
            </w:tcBorders>
            <w:shd w:val="clear" w:color="000000" w:fill="FFFFFF"/>
            <w:noWrap/>
            <w:vAlign w:val="center"/>
            <w:hideMark/>
          </w:tcPr>
          <w:p w14:paraId="108D961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Black</w:t>
            </w:r>
          </w:p>
        </w:tc>
        <w:tc>
          <w:tcPr>
            <w:tcW w:w="2443" w:type="dxa"/>
            <w:tcBorders>
              <w:top w:val="nil"/>
              <w:left w:val="nil"/>
              <w:bottom w:val="nil"/>
              <w:right w:val="nil"/>
            </w:tcBorders>
            <w:shd w:val="clear" w:color="auto" w:fill="auto"/>
            <w:noWrap/>
            <w:vAlign w:val="center"/>
            <w:hideMark/>
          </w:tcPr>
          <w:p w14:paraId="22C308B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1.225 (1.095 - 1.371)</w:t>
            </w:r>
          </w:p>
        </w:tc>
        <w:tc>
          <w:tcPr>
            <w:tcW w:w="2443" w:type="dxa"/>
            <w:tcBorders>
              <w:top w:val="nil"/>
              <w:left w:val="nil"/>
              <w:bottom w:val="nil"/>
              <w:right w:val="nil"/>
            </w:tcBorders>
            <w:shd w:val="clear" w:color="auto" w:fill="auto"/>
            <w:noWrap/>
            <w:vAlign w:val="center"/>
            <w:hideMark/>
          </w:tcPr>
          <w:p w14:paraId="2F32BFC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1.253 (1.109 - 1.416)</w:t>
            </w:r>
          </w:p>
        </w:tc>
        <w:tc>
          <w:tcPr>
            <w:tcW w:w="2443" w:type="dxa"/>
            <w:tcBorders>
              <w:top w:val="nil"/>
              <w:left w:val="nil"/>
              <w:bottom w:val="nil"/>
              <w:right w:val="nil"/>
            </w:tcBorders>
            <w:shd w:val="clear" w:color="auto" w:fill="auto"/>
            <w:noWrap/>
            <w:vAlign w:val="center"/>
            <w:hideMark/>
          </w:tcPr>
          <w:p w14:paraId="48F3367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1.093 (0.794 - 1.505)</w:t>
            </w:r>
          </w:p>
        </w:tc>
      </w:tr>
      <w:tr w:rsidR="00F66F44" w:rsidRPr="00F66F44" w14:paraId="1E3363E1" w14:textId="77777777" w:rsidTr="00F66F44">
        <w:trPr>
          <w:trHeight w:val="278"/>
        </w:trPr>
        <w:tc>
          <w:tcPr>
            <w:tcW w:w="3183" w:type="dxa"/>
            <w:tcBorders>
              <w:top w:val="nil"/>
              <w:left w:val="nil"/>
              <w:bottom w:val="nil"/>
              <w:right w:val="nil"/>
            </w:tcBorders>
            <w:shd w:val="clear" w:color="000000" w:fill="FFFFFF"/>
            <w:noWrap/>
            <w:vAlign w:val="center"/>
            <w:hideMark/>
          </w:tcPr>
          <w:p w14:paraId="7D8A4CC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Hispanic</w:t>
            </w:r>
          </w:p>
        </w:tc>
        <w:tc>
          <w:tcPr>
            <w:tcW w:w="2443" w:type="dxa"/>
            <w:tcBorders>
              <w:top w:val="nil"/>
              <w:left w:val="nil"/>
              <w:bottom w:val="nil"/>
              <w:right w:val="nil"/>
            </w:tcBorders>
            <w:shd w:val="clear" w:color="auto" w:fill="auto"/>
            <w:noWrap/>
            <w:vAlign w:val="center"/>
            <w:hideMark/>
          </w:tcPr>
          <w:p w14:paraId="3DB00CD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0.789 (0.677 - 0.919)</w:t>
            </w:r>
          </w:p>
        </w:tc>
        <w:tc>
          <w:tcPr>
            <w:tcW w:w="2443" w:type="dxa"/>
            <w:tcBorders>
              <w:top w:val="nil"/>
              <w:left w:val="nil"/>
              <w:bottom w:val="nil"/>
              <w:right w:val="nil"/>
            </w:tcBorders>
            <w:shd w:val="clear" w:color="auto" w:fill="auto"/>
            <w:noWrap/>
            <w:vAlign w:val="center"/>
            <w:hideMark/>
          </w:tcPr>
          <w:p w14:paraId="25EA585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0.788 (0.666 - 0.931)</w:t>
            </w:r>
          </w:p>
        </w:tc>
        <w:tc>
          <w:tcPr>
            <w:tcW w:w="2443" w:type="dxa"/>
            <w:tcBorders>
              <w:top w:val="nil"/>
              <w:left w:val="nil"/>
              <w:bottom w:val="nil"/>
              <w:right w:val="nil"/>
            </w:tcBorders>
            <w:shd w:val="clear" w:color="auto" w:fill="auto"/>
            <w:noWrap/>
            <w:vAlign w:val="center"/>
            <w:hideMark/>
          </w:tcPr>
          <w:p w14:paraId="2A4B1A0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0.814 (0.571 - 1.159)</w:t>
            </w:r>
          </w:p>
        </w:tc>
      </w:tr>
      <w:tr w:rsidR="00F66F44" w:rsidRPr="00F66F44" w14:paraId="618CC7B9" w14:textId="77777777" w:rsidTr="00F66F44">
        <w:trPr>
          <w:trHeight w:val="278"/>
        </w:trPr>
        <w:tc>
          <w:tcPr>
            <w:tcW w:w="3183" w:type="dxa"/>
            <w:tcBorders>
              <w:top w:val="nil"/>
              <w:left w:val="nil"/>
              <w:bottom w:val="nil"/>
              <w:right w:val="nil"/>
            </w:tcBorders>
            <w:shd w:val="clear" w:color="000000" w:fill="FFFFFF"/>
            <w:noWrap/>
            <w:vAlign w:val="center"/>
            <w:hideMark/>
          </w:tcPr>
          <w:p w14:paraId="348B6B9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American Indian/Alaskan Native</w:t>
            </w:r>
          </w:p>
        </w:tc>
        <w:tc>
          <w:tcPr>
            <w:tcW w:w="2443" w:type="dxa"/>
            <w:tcBorders>
              <w:top w:val="nil"/>
              <w:left w:val="nil"/>
              <w:bottom w:val="nil"/>
              <w:right w:val="nil"/>
            </w:tcBorders>
            <w:shd w:val="clear" w:color="auto" w:fill="auto"/>
            <w:noWrap/>
            <w:vAlign w:val="center"/>
            <w:hideMark/>
          </w:tcPr>
          <w:p w14:paraId="63AAF9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1.386 (0.799 - 2.402)</w:t>
            </w:r>
          </w:p>
        </w:tc>
        <w:tc>
          <w:tcPr>
            <w:tcW w:w="2443" w:type="dxa"/>
            <w:tcBorders>
              <w:top w:val="nil"/>
              <w:left w:val="nil"/>
              <w:bottom w:val="nil"/>
              <w:right w:val="nil"/>
            </w:tcBorders>
            <w:shd w:val="clear" w:color="auto" w:fill="auto"/>
            <w:noWrap/>
            <w:vAlign w:val="center"/>
            <w:hideMark/>
          </w:tcPr>
          <w:p w14:paraId="3131F96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1.477 (0.824 - 2.646)</w:t>
            </w:r>
          </w:p>
        </w:tc>
        <w:tc>
          <w:tcPr>
            <w:tcW w:w="2443" w:type="dxa"/>
            <w:tcBorders>
              <w:top w:val="nil"/>
              <w:left w:val="nil"/>
              <w:bottom w:val="nil"/>
              <w:right w:val="nil"/>
            </w:tcBorders>
            <w:shd w:val="clear" w:color="auto" w:fill="auto"/>
            <w:noWrap/>
            <w:vAlign w:val="center"/>
            <w:hideMark/>
          </w:tcPr>
          <w:p w14:paraId="6539480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0.817 (0.180 - 3.711)</w:t>
            </w:r>
          </w:p>
        </w:tc>
      </w:tr>
      <w:tr w:rsidR="00F66F44" w:rsidRPr="00F66F44" w14:paraId="17FAA835" w14:textId="77777777" w:rsidTr="00F66F44">
        <w:trPr>
          <w:trHeight w:val="278"/>
        </w:trPr>
        <w:tc>
          <w:tcPr>
            <w:tcW w:w="3183" w:type="dxa"/>
            <w:tcBorders>
              <w:top w:val="nil"/>
              <w:left w:val="nil"/>
              <w:bottom w:val="nil"/>
              <w:right w:val="nil"/>
            </w:tcBorders>
            <w:shd w:val="clear" w:color="000000" w:fill="FFFFFF"/>
            <w:noWrap/>
            <w:vAlign w:val="center"/>
            <w:hideMark/>
          </w:tcPr>
          <w:p w14:paraId="70D6F13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Asian</w:t>
            </w:r>
          </w:p>
        </w:tc>
        <w:tc>
          <w:tcPr>
            <w:tcW w:w="2443" w:type="dxa"/>
            <w:tcBorders>
              <w:top w:val="nil"/>
              <w:left w:val="nil"/>
              <w:bottom w:val="nil"/>
              <w:right w:val="nil"/>
            </w:tcBorders>
            <w:shd w:val="clear" w:color="auto" w:fill="auto"/>
            <w:noWrap/>
            <w:vAlign w:val="center"/>
            <w:hideMark/>
          </w:tcPr>
          <w:p w14:paraId="00F122E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0.667 (0.505 - 0.880)</w:t>
            </w:r>
          </w:p>
        </w:tc>
        <w:tc>
          <w:tcPr>
            <w:tcW w:w="2443" w:type="dxa"/>
            <w:tcBorders>
              <w:top w:val="nil"/>
              <w:left w:val="nil"/>
              <w:bottom w:val="nil"/>
              <w:right w:val="nil"/>
            </w:tcBorders>
            <w:shd w:val="clear" w:color="auto" w:fill="auto"/>
            <w:noWrap/>
            <w:vAlign w:val="center"/>
            <w:hideMark/>
          </w:tcPr>
          <w:p w14:paraId="3DD5A47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0.734 (0.545 - 0.989)</w:t>
            </w:r>
          </w:p>
        </w:tc>
        <w:tc>
          <w:tcPr>
            <w:tcW w:w="2443" w:type="dxa"/>
            <w:tcBorders>
              <w:top w:val="nil"/>
              <w:left w:val="nil"/>
              <w:bottom w:val="nil"/>
              <w:right w:val="nil"/>
            </w:tcBorders>
            <w:shd w:val="clear" w:color="auto" w:fill="auto"/>
            <w:noWrap/>
            <w:vAlign w:val="center"/>
            <w:hideMark/>
          </w:tcPr>
          <w:p w14:paraId="4812E5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0.443 (0.181 - 1.083)</w:t>
            </w:r>
          </w:p>
        </w:tc>
      </w:tr>
      <w:tr w:rsidR="00F66F44" w:rsidRPr="00F66F44" w14:paraId="516DB0EC" w14:textId="77777777" w:rsidTr="00F66F44">
        <w:trPr>
          <w:trHeight w:val="278"/>
        </w:trPr>
        <w:tc>
          <w:tcPr>
            <w:tcW w:w="3183" w:type="dxa"/>
            <w:tcBorders>
              <w:top w:val="nil"/>
              <w:left w:val="nil"/>
              <w:bottom w:val="nil"/>
              <w:right w:val="nil"/>
            </w:tcBorders>
            <w:shd w:val="clear" w:color="000000" w:fill="FFFFFF"/>
            <w:noWrap/>
            <w:vAlign w:val="center"/>
            <w:hideMark/>
          </w:tcPr>
          <w:p w14:paraId="0613AAC9"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000000" w:fill="FFFFFF"/>
            <w:noWrap/>
            <w:vAlign w:val="center"/>
            <w:hideMark/>
          </w:tcPr>
          <w:p w14:paraId="3B8B96F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0.962 (0.372 - 2.491)</w:t>
            </w:r>
          </w:p>
        </w:tc>
        <w:tc>
          <w:tcPr>
            <w:tcW w:w="2443" w:type="dxa"/>
            <w:tcBorders>
              <w:top w:val="nil"/>
              <w:left w:val="nil"/>
              <w:bottom w:val="nil"/>
              <w:right w:val="nil"/>
            </w:tcBorders>
            <w:shd w:val="clear" w:color="000000" w:fill="FFFFFF"/>
            <w:noWrap/>
            <w:vAlign w:val="center"/>
            <w:hideMark/>
          </w:tcPr>
          <w:p w14:paraId="752B79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0.610 (0.229 - 1.622)</w:t>
            </w:r>
          </w:p>
        </w:tc>
        <w:tc>
          <w:tcPr>
            <w:tcW w:w="2443" w:type="dxa"/>
            <w:tcBorders>
              <w:top w:val="nil"/>
              <w:left w:val="nil"/>
              <w:bottom w:val="nil"/>
              <w:right w:val="nil"/>
            </w:tcBorders>
            <w:shd w:val="clear" w:color="000000" w:fill="FFFFFF"/>
            <w:noWrap/>
            <w:vAlign w:val="center"/>
            <w:hideMark/>
          </w:tcPr>
          <w:p w14:paraId="1FE28DF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3.306 (0.703 - 15.545)</w:t>
            </w:r>
          </w:p>
        </w:tc>
      </w:tr>
    </w:tbl>
    <w:p w14:paraId="70E1813A" w14:textId="4621E4EB" w:rsidR="008E6B8B" w:rsidRDefault="008E6B8B" w:rsidP="00EA4E50">
      <w:pPr>
        <w:spacing w:line="480" w:lineRule="auto"/>
        <w:rPr>
          <w:rFonts w:ascii="Times New Roman" w:hAnsi="Times New Roman" w:cs="Times New Roman"/>
          <w:sz w:val="24"/>
          <w:szCs w:val="24"/>
        </w:rPr>
      </w:pPr>
    </w:p>
    <w:p w14:paraId="1D57EB0F" w14:textId="77777777" w:rsidR="008E6B8B" w:rsidRDefault="008E6B8B">
      <w:pPr>
        <w:rPr>
          <w:rFonts w:ascii="Times New Roman" w:hAnsi="Times New Roman" w:cs="Times New Roman"/>
          <w:sz w:val="24"/>
          <w:szCs w:val="24"/>
        </w:rPr>
      </w:pPr>
      <w:r>
        <w:rPr>
          <w:rFonts w:ascii="Times New Roman" w:hAnsi="Times New Roman" w:cs="Times New Roman"/>
          <w:sz w:val="24"/>
          <w:szCs w:val="24"/>
        </w:rPr>
        <w:br w:type="page"/>
      </w:r>
    </w:p>
    <w:p w14:paraId="6ECEA5BE" w14:textId="1DD34E5E" w:rsidR="008E6B8B" w:rsidRDefault="008E6B8B" w:rsidP="008E6B8B">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6</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 or hypertension mortality risk among individuals with cardiovascular disease</w:t>
      </w:r>
      <w:r w:rsidR="00247F30">
        <w:rPr>
          <w:rFonts w:ascii="Times New Roman" w:hAnsi="Times New Roman" w:cs="Times New Roman"/>
          <w:sz w:val="24"/>
          <w:szCs w:val="24"/>
        </w:rPr>
        <w:t xml:space="preserve"> or hypertension</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2970"/>
        <w:gridCol w:w="2527"/>
        <w:gridCol w:w="2750"/>
        <w:gridCol w:w="2265"/>
      </w:tblGrid>
      <w:tr w:rsidR="00956D71" w:rsidRPr="00956D71" w14:paraId="2E084A99" w14:textId="77777777" w:rsidTr="00956D71">
        <w:trPr>
          <w:trHeight w:val="278"/>
        </w:trPr>
        <w:tc>
          <w:tcPr>
            <w:tcW w:w="2970" w:type="dxa"/>
            <w:tcBorders>
              <w:top w:val="nil"/>
              <w:left w:val="nil"/>
              <w:bottom w:val="nil"/>
              <w:right w:val="nil"/>
            </w:tcBorders>
            <w:shd w:val="clear" w:color="auto" w:fill="auto"/>
            <w:noWrap/>
            <w:vAlign w:val="bottom"/>
            <w:hideMark/>
          </w:tcPr>
          <w:p w14:paraId="62446456" w14:textId="77777777" w:rsidR="00956D71" w:rsidRPr="00956D71" w:rsidRDefault="00956D71" w:rsidP="00956D71">
            <w:pPr>
              <w:spacing w:after="0" w:line="240" w:lineRule="auto"/>
              <w:rPr>
                <w:rFonts w:ascii="Times New Roman" w:eastAsia="Times New Roman" w:hAnsi="Times New Roman" w:cs="Times New Roman"/>
                <w:sz w:val="20"/>
                <w:szCs w:val="20"/>
              </w:rPr>
            </w:pPr>
          </w:p>
        </w:tc>
        <w:tc>
          <w:tcPr>
            <w:tcW w:w="2527" w:type="dxa"/>
            <w:tcBorders>
              <w:top w:val="nil"/>
              <w:left w:val="nil"/>
              <w:bottom w:val="nil"/>
              <w:right w:val="nil"/>
            </w:tcBorders>
            <w:shd w:val="clear" w:color="auto" w:fill="auto"/>
            <w:noWrap/>
            <w:vAlign w:val="bottom"/>
            <w:hideMark/>
          </w:tcPr>
          <w:p w14:paraId="74CA17AC" w14:textId="6753584C"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750" w:type="dxa"/>
            <w:tcBorders>
              <w:top w:val="nil"/>
              <w:left w:val="nil"/>
              <w:bottom w:val="nil"/>
              <w:right w:val="nil"/>
            </w:tcBorders>
            <w:shd w:val="clear" w:color="auto" w:fill="auto"/>
            <w:noWrap/>
            <w:vAlign w:val="bottom"/>
            <w:hideMark/>
          </w:tcPr>
          <w:p w14:paraId="07FB18ED" w14:textId="5E4AF876"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65" w:type="dxa"/>
            <w:tcBorders>
              <w:top w:val="nil"/>
              <w:left w:val="nil"/>
              <w:bottom w:val="nil"/>
              <w:right w:val="nil"/>
            </w:tcBorders>
            <w:shd w:val="clear" w:color="auto" w:fill="auto"/>
            <w:noWrap/>
            <w:vAlign w:val="bottom"/>
            <w:hideMark/>
          </w:tcPr>
          <w:p w14:paraId="46F7DDE4" w14:textId="6B916150"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56D71" w:rsidRPr="00956D71" w14:paraId="30EEB927" w14:textId="77777777" w:rsidTr="00956D71">
        <w:trPr>
          <w:trHeight w:val="278"/>
        </w:trPr>
        <w:tc>
          <w:tcPr>
            <w:tcW w:w="2970" w:type="dxa"/>
            <w:tcBorders>
              <w:top w:val="nil"/>
              <w:left w:val="nil"/>
              <w:bottom w:val="single" w:sz="4" w:space="0" w:color="auto"/>
              <w:right w:val="nil"/>
            </w:tcBorders>
            <w:shd w:val="clear" w:color="auto" w:fill="auto"/>
            <w:noWrap/>
            <w:vAlign w:val="bottom"/>
            <w:hideMark/>
          </w:tcPr>
          <w:p w14:paraId="0F22901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 </w:t>
            </w:r>
          </w:p>
        </w:tc>
        <w:tc>
          <w:tcPr>
            <w:tcW w:w="2527" w:type="dxa"/>
            <w:tcBorders>
              <w:top w:val="nil"/>
              <w:left w:val="nil"/>
              <w:bottom w:val="single" w:sz="4" w:space="0" w:color="auto"/>
              <w:right w:val="nil"/>
            </w:tcBorders>
            <w:shd w:val="clear" w:color="auto" w:fill="auto"/>
            <w:noWrap/>
            <w:vAlign w:val="bottom"/>
            <w:hideMark/>
          </w:tcPr>
          <w:p w14:paraId="3BFED19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750" w:type="dxa"/>
            <w:tcBorders>
              <w:top w:val="nil"/>
              <w:left w:val="nil"/>
              <w:bottom w:val="single" w:sz="4" w:space="0" w:color="auto"/>
              <w:right w:val="nil"/>
            </w:tcBorders>
            <w:shd w:val="clear" w:color="auto" w:fill="auto"/>
            <w:noWrap/>
            <w:vAlign w:val="bottom"/>
            <w:hideMark/>
          </w:tcPr>
          <w:p w14:paraId="39BC7FA1"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265" w:type="dxa"/>
            <w:tcBorders>
              <w:top w:val="nil"/>
              <w:left w:val="nil"/>
              <w:bottom w:val="single" w:sz="4" w:space="0" w:color="auto"/>
              <w:right w:val="nil"/>
            </w:tcBorders>
            <w:shd w:val="clear" w:color="auto" w:fill="auto"/>
            <w:noWrap/>
            <w:vAlign w:val="bottom"/>
            <w:hideMark/>
          </w:tcPr>
          <w:p w14:paraId="0F79062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r>
      <w:tr w:rsidR="00956D71" w:rsidRPr="00956D71" w14:paraId="331335B9" w14:textId="77777777" w:rsidTr="00956D71">
        <w:trPr>
          <w:trHeight w:val="278"/>
        </w:trPr>
        <w:tc>
          <w:tcPr>
            <w:tcW w:w="2970" w:type="dxa"/>
            <w:tcBorders>
              <w:top w:val="nil"/>
              <w:left w:val="nil"/>
              <w:bottom w:val="nil"/>
              <w:right w:val="nil"/>
            </w:tcBorders>
            <w:shd w:val="clear" w:color="auto" w:fill="auto"/>
            <w:noWrap/>
            <w:vAlign w:val="bottom"/>
            <w:hideMark/>
          </w:tcPr>
          <w:p w14:paraId="5141C79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CRN</w:t>
            </w:r>
          </w:p>
        </w:tc>
        <w:tc>
          <w:tcPr>
            <w:tcW w:w="2527" w:type="dxa"/>
            <w:tcBorders>
              <w:top w:val="nil"/>
              <w:left w:val="nil"/>
              <w:bottom w:val="nil"/>
              <w:right w:val="nil"/>
            </w:tcBorders>
            <w:shd w:val="clear" w:color="000000" w:fill="FFFFFF"/>
            <w:noWrap/>
            <w:vAlign w:val="center"/>
            <w:hideMark/>
          </w:tcPr>
          <w:p w14:paraId="63939F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1.300 (1.187 - 1.424)</w:t>
            </w:r>
          </w:p>
        </w:tc>
        <w:tc>
          <w:tcPr>
            <w:tcW w:w="2750" w:type="dxa"/>
            <w:tcBorders>
              <w:top w:val="nil"/>
              <w:left w:val="nil"/>
              <w:bottom w:val="nil"/>
              <w:right w:val="nil"/>
            </w:tcBorders>
            <w:shd w:val="clear" w:color="auto" w:fill="auto"/>
            <w:noWrap/>
            <w:vAlign w:val="center"/>
            <w:hideMark/>
          </w:tcPr>
          <w:p w14:paraId="315E174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1.326 (1.198 - 1.467)</w:t>
            </w:r>
          </w:p>
        </w:tc>
        <w:tc>
          <w:tcPr>
            <w:tcW w:w="2265" w:type="dxa"/>
            <w:tcBorders>
              <w:top w:val="nil"/>
              <w:left w:val="nil"/>
              <w:bottom w:val="nil"/>
              <w:right w:val="nil"/>
            </w:tcBorders>
            <w:shd w:val="clear" w:color="auto" w:fill="auto"/>
            <w:noWrap/>
            <w:vAlign w:val="center"/>
            <w:hideMark/>
          </w:tcPr>
          <w:p w14:paraId="01AF09A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1.311 (1.051 - 1.634)</w:t>
            </w:r>
          </w:p>
        </w:tc>
      </w:tr>
      <w:tr w:rsidR="00956D71" w:rsidRPr="00956D71" w14:paraId="64424C00" w14:textId="77777777" w:rsidTr="00956D71">
        <w:trPr>
          <w:trHeight w:val="278"/>
        </w:trPr>
        <w:tc>
          <w:tcPr>
            <w:tcW w:w="2970" w:type="dxa"/>
            <w:tcBorders>
              <w:top w:val="nil"/>
              <w:left w:val="nil"/>
              <w:bottom w:val="nil"/>
              <w:right w:val="nil"/>
            </w:tcBorders>
            <w:shd w:val="clear" w:color="000000" w:fill="FFFFFF"/>
            <w:noWrap/>
            <w:vAlign w:val="center"/>
            <w:hideMark/>
          </w:tcPr>
          <w:p w14:paraId="0300C810"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Some College</w:t>
            </w:r>
          </w:p>
        </w:tc>
        <w:tc>
          <w:tcPr>
            <w:tcW w:w="2527" w:type="dxa"/>
            <w:tcBorders>
              <w:top w:val="nil"/>
              <w:left w:val="nil"/>
              <w:bottom w:val="nil"/>
              <w:right w:val="nil"/>
            </w:tcBorders>
            <w:shd w:val="clear" w:color="000000" w:fill="FFFFFF"/>
            <w:noWrap/>
            <w:vAlign w:val="center"/>
            <w:hideMark/>
          </w:tcPr>
          <w:p w14:paraId="5007CDB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0.910 (0.859 - 0.964)</w:t>
            </w:r>
          </w:p>
        </w:tc>
        <w:tc>
          <w:tcPr>
            <w:tcW w:w="2750" w:type="dxa"/>
            <w:tcBorders>
              <w:top w:val="nil"/>
              <w:left w:val="nil"/>
              <w:bottom w:val="nil"/>
              <w:right w:val="nil"/>
            </w:tcBorders>
            <w:shd w:val="clear" w:color="auto" w:fill="auto"/>
            <w:noWrap/>
            <w:vAlign w:val="center"/>
            <w:hideMark/>
          </w:tcPr>
          <w:p w14:paraId="566C301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0.926 (0.870 - 0.985)</w:t>
            </w:r>
          </w:p>
        </w:tc>
        <w:tc>
          <w:tcPr>
            <w:tcW w:w="2265" w:type="dxa"/>
            <w:tcBorders>
              <w:top w:val="nil"/>
              <w:left w:val="nil"/>
              <w:bottom w:val="nil"/>
              <w:right w:val="nil"/>
            </w:tcBorders>
            <w:shd w:val="clear" w:color="auto" w:fill="auto"/>
            <w:noWrap/>
            <w:vAlign w:val="center"/>
            <w:hideMark/>
          </w:tcPr>
          <w:p w14:paraId="0F7DB2D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0.852 (0.717 - 1.011)</w:t>
            </w:r>
          </w:p>
        </w:tc>
      </w:tr>
      <w:tr w:rsidR="00956D71" w:rsidRPr="00956D71" w14:paraId="5CDB35E5" w14:textId="77777777" w:rsidTr="00956D71">
        <w:trPr>
          <w:trHeight w:val="278"/>
        </w:trPr>
        <w:tc>
          <w:tcPr>
            <w:tcW w:w="2970" w:type="dxa"/>
            <w:tcBorders>
              <w:top w:val="nil"/>
              <w:left w:val="nil"/>
              <w:bottom w:val="nil"/>
              <w:right w:val="nil"/>
            </w:tcBorders>
            <w:shd w:val="clear" w:color="000000" w:fill="FFFFFF"/>
            <w:noWrap/>
            <w:vAlign w:val="center"/>
            <w:hideMark/>
          </w:tcPr>
          <w:p w14:paraId="5E6A85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College Degree</w:t>
            </w:r>
          </w:p>
        </w:tc>
        <w:tc>
          <w:tcPr>
            <w:tcW w:w="2527" w:type="dxa"/>
            <w:tcBorders>
              <w:top w:val="nil"/>
              <w:left w:val="nil"/>
              <w:bottom w:val="nil"/>
              <w:right w:val="nil"/>
            </w:tcBorders>
            <w:shd w:val="clear" w:color="000000" w:fill="FFFFFF"/>
            <w:noWrap/>
            <w:vAlign w:val="center"/>
            <w:hideMark/>
          </w:tcPr>
          <w:p w14:paraId="379BCF3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0.738 (0.683 - 0.797)</w:t>
            </w:r>
          </w:p>
        </w:tc>
        <w:tc>
          <w:tcPr>
            <w:tcW w:w="2750" w:type="dxa"/>
            <w:tcBorders>
              <w:top w:val="nil"/>
              <w:left w:val="nil"/>
              <w:bottom w:val="nil"/>
              <w:right w:val="nil"/>
            </w:tcBorders>
            <w:shd w:val="clear" w:color="auto" w:fill="auto"/>
            <w:noWrap/>
            <w:vAlign w:val="center"/>
            <w:hideMark/>
          </w:tcPr>
          <w:p w14:paraId="6F69E864"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0.758 (0.696 - 0.826)</w:t>
            </w:r>
          </w:p>
        </w:tc>
        <w:tc>
          <w:tcPr>
            <w:tcW w:w="2265" w:type="dxa"/>
            <w:tcBorders>
              <w:top w:val="nil"/>
              <w:left w:val="nil"/>
              <w:bottom w:val="nil"/>
              <w:right w:val="nil"/>
            </w:tcBorders>
            <w:shd w:val="clear" w:color="auto" w:fill="auto"/>
            <w:noWrap/>
            <w:vAlign w:val="center"/>
            <w:hideMark/>
          </w:tcPr>
          <w:p w14:paraId="4D053B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0.643 (0.521 - 0.794)</w:t>
            </w:r>
          </w:p>
        </w:tc>
      </w:tr>
      <w:tr w:rsidR="00956D71" w:rsidRPr="00956D71" w14:paraId="6CD5EAD3" w14:textId="77777777" w:rsidTr="00956D71">
        <w:trPr>
          <w:trHeight w:val="278"/>
        </w:trPr>
        <w:tc>
          <w:tcPr>
            <w:tcW w:w="2970" w:type="dxa"/>
            <w:tcBorders>
              <w:top w:val="nil"/>
              <w:left w:val="nil"/>
              <w:bottom w:val="nil"/>
              <w:right w:val="nil"/>
            </w:tcBorders>
            <w:shd w:val="clear" w:color="000000" w:fill="FFFFFF"/>
            <w:noWrap/>
            <w:vAlign w:val="center"/>
            <w:hideMark/>
          </w:tcPr>
          <w:p w14:paraId="60AF7BF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Age</w:t>
            </w:r>
          </w:p>
        </w:tc>
        <w:tc>
          <w:tcPr>
            <w:tcW w:w="2527" w:type="dxa"/>
            <w:tcBorders>
              <w:top w:val="nil"/>
              <w:left w:val="nil"/>
              <w:bottom w:val="nil"/>
              <w:right w:val="nil"/>
            </w:tcBorders>
            <w:shd w:val="clear" w:color="000000" w:fill="FFFFFF"/>
            <w:noWrap/>
            <w:vAlign w:val="center"/>
            <w:hideMark/>
          </w:tcPr>
          <w:p w14:paraId="47348508"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1.097 (1.094 - 1.100)</w:t>
            </w:r>
          </w:p>
        </w:tc>
        <w:tc>
          <w:tcPr>
            <w:tcW w:w="2750" w:type="dxa"/>
            <w:tcBorders>
              <w:top w:val="nil"/>
              <w:left w:val="nil"/>
              <w:bottom w:val="nil"/>
              <w:right w:val="nil"/>
            </w:tcBorders>
            <w:shd w:val="clear" w:color="auto" w:fill="auto"/>
            <w:noWrap/>
            <w:vAlign w:val="center"/>
            <w:hideMark/>
          </w:tcPr>
          <w:p w14:paraId="44E061D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1.098 (1.094 - 1.101)</w:t>
            </w:r>
          </w:p>
        </w:tc>
        <w:tc>
          <w:tcPr>
            <w:tcW w:w="2265" w:type="dxa"/>
            <w:tcBorders>
              <w:top w:val="nil"/>
              <w:left w:val="nil"/>
              <w:bottom w:val="nil"/>
              <w:right w:val="nil"/>
            </w:tcBorders>
            <w:shd w:val="clear" w:color="auto" w:fill="auto"/>
            <w:noWrap/>
            <w:vAlign w:val="center"/>
            <w:hideMark/>
          </w:tcPr>
          <w:p w14:paraId="6F1752F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1.096 (1.088 - 1.105)</w:t>
            </w:r>
          </w:p>
        </w:tc>
      </w:tr>
      <w:tr w:rsidR="00956D71" w:rsidRPr="00956D71" w14:paraId="5770460C" w14:textId="77777777" w:rsidTr="00956D71">
        <w:trPr>
          <w:trHeight w:val="278"/>
        </w:trPr>
        <w:tc>
          <w:tcPr>
            <w:tcW w:w="2970" w:type="dxa"/>
            <w:tcBorders>
              <w:top w:val="nil"/>
              <w:left w:val="nil"/>
              <w:bottom w:val="nil"/>
              <w:right w:val="nil"/>
            </w:tcBorders>
            <w:shd w:val="clear" w:color="000000" w:fill="FFFFFF"/>
            <w:noWrap/>
            <w:vAlign w:val="center"/>
            <w:hideMark/>
          </w:tcPr>
          <w:p w14:paraId="659E837B"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$20,000 to &lt; $45,000</w:t>
            </w:r>
          </w:p>
        </w:tc>
        <w:tc>
          <w:tcPr>
            <w:tcW w:w="2527" w:type="dxa"/>
            <w:tcBorders>
              <w:top w:val="nil"/>
              <w:left w:val="nil"/>
              <w:bottom w:val="nil"/>
              <w:right w:val="nil"/>
            </w:tcBorders>
            <w:shd w:val="clear" w:color="000000" w:fill="FFFFFF"/>
            <w:noWrap/>
            <w:vAlign w:val="center"/>
            <w:hideMark/>
          </w:tcPr>
          <w:p w14:paraId="0D26F60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0.850 (0.798 - 0.905)</w:t>
            </w:r>
          </w:p>
        </w:tc>
        <w:tc>
          <w:tcPr>
            <w:tcW w:w="2750" w:type="dxa"/>
            <w:tcBorders>
              <w:top w:val="nil"/>
              <w:left w:val="nil"/>
              <w:bottom w:val="nil"/>
              <w:right w:val="nil"/>
            </w:tcBorders>
            <w:shd w:val="clear" w:color="auto" w:fill="auto"/>
            <w:noWrap/>
            <w:vAlign w:val="center"/>
            <w:hideMark/>
          </w:tcPr>
          <w:p w14:paraId="2AB8428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0.840 (0.786 - 0.898)</w:t>
            </w:r>
          </w:p>
        </w:tc>
        <w:tc>
          <w:tcPr>
            <w:tcW w:w="2265" w:type="dxa"/>
            <w:tcBorders>
              <w:top w:val="nil"/>
              <w:left w:val="nil"/>
              <w:bottom w:val="nil"/>
              <w:right w:val="nil"/>
            </w:tcBorders>
            <w:shd w:val="clear" w:color="auto" w:fill="auto"/>
            <w:noWrap/>
            <w:vAlign w:val="center"/>
            <w:hideMark/>
          </w:tcPr>
          <w:p w14:paraId="79DE124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1.039 (0.883 - 1.224)</w:t>
            </w:r>
          </w:p>
        </w:tc>
      </w:tr>
      <w:tr w:rsidR="00956D71" w:rsidRPr="00956D71" w14:paraId="7C89B30B" w14:textId="77777777" w:rsidTr="00956D71">
        <w:trPr>
          <w:trHeight w:val="278"/>
        </w:trPr>
        <w:tc>
          <w:tcPr>
            <w:tcW w:w="2970" w:type="dxa"/>
            <w:tcBorders>
              <w:top w:val="nil"/>
              <w:left w:val="nil"/>
              <w:bottom w:val="nil"/>
              <w:right w:val="nil"/>
            </w:tcBorders>
            <w:shd w:val="clear" w:color="000000" w:fill="FFFFFF"/>
            <w:noWrap/>
            <w:vAlign w:val="center"/>
            <w:hideMark/>
          </w:tcPr>
          <w:p w14:paraId="093C17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$45,000 to &lt; $65,000</w:t>
            </w:r>
          </w:p>
        </w:tc>
        <w:tc>
          <w:tcPr>
            <w:tcW w:w="2527" w:type="dxa"/>
            <w:tcBorders>
              <w:top w:val="nil"/>
              <w:left w:val="nil"/>
              <w:bottom w:val="nil"/>
              <w:right w:val="nil"/>
            </w:tcBorders>
            <w:shd w:val="clear" w:color="000000" w:fill="FFFFFF"/>
            <w:noWrap/>
            <w:vAlign w:val="center"/>
            <w:hideMark/>
          </w:tcPr>
          <w:p w14:paraId="6169B3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0.790 (0.735 - 0.849)</w:t>
            </w:r>
          </w:p>
        </w:tc>
        <w:tc>
          <w:tcPr>
            <w:tcW w:w="2750" w:type="dxa"/>
            <w:tcBorders>
              <w:top w:val="nil"/>
              <w:left w:val="nil"/>
              <w:bottom w:val="nil"/>
              <w:right w:val="nil"/>
            </w:tcBorders>
            <w:shd w:val="clear" w:color="auto" w:fill="auto"/>
            <w:noWrap/>
            <w:vAlign w:val="center"/>
            <w:hideMark/>
          </w:tcPr>
          <w:p w14:paraId="2F2AEAA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0.783 (0.726 - 0.845)</w:t>
            </w:r>
          </w:p>
        </w:tc>
        <w:tc>
          <w:tcPr>
            <w:tcW w:w="2265" w:type="dxa"/>
            <w:tcBorders>
              <w:top w:val="nil"/>
              <w:left w:val="nil"/>
              <w:bottom w:val="nil"/>
              <w:right w:val="nil"/>
            </w:tcBorders>
            <w:shd w:val="clear" w:color="auto" w:fill="auto"/>
            <w:noWrap/>
            <w:vAlign w:val="center"/>
            <w:hideMark/>
          </w:tcPr>
          <w:p w14:paraId="1C79825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0.998 (0.824 - 1.209)</w:t>
            </w:r>
          </w:p>
        </w:tc>
      </w:tr>
      <w:tr w:rsidR="00956D71" w:rsidRPr="00956D71" w14:paraId="7BB270E0" w14:textId="77777777" w:rsidTr="00956D71">
        <w:trPr>
          <w:trHeight w:val="278"/>
        </w:trPr>
        <w:tc>
          <w:tcPr>
            <w:tcW w:w="2970" w:type="dxa"/>
            <w:tcBorders>
              <w:top w:val="nil"/>
              <w:left w:val="nil"/>
              <w:bottom w:val="nil"/>
              <w:right w:val="nil"/>
            </w:tcBorders>
            <w:shd w:val="clear" w:color="000000" w:fill="FFFFFF"/>
            <w:noWrap/>
            <w:vAlign w:val="center"/>
            <w:hideMark/>
          </w:tcPr>
          <w:p w14:paraId="49A6A7B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$65,000 to &lt; $85,000</w:t>
            </w:r>
          </w:p>
        </w:tc>
        <w:tc>
          <w:tcPr>
            <w:tcW w:w="2527" w:type="dxa"/>
            <w:tcBorders>
              <w:top w:val="nil"/>
              <w:left w:val="nil"/>
              <w:bottom w:val="nil"/>
              <w:right w:val="nil"/>
            </w:tcBorders>
            <w:shd w:val="clear" w:color="000000" w:fill="FFFFFF"/>
            <w:noWrap/>
            <w:vAlign w:val="center"/>
            <w:hideMark/>
          </w:tcPr>
          <w:p w14:paraId="197D78C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0.614 (0.555 - 0.679)</w:t>
            </w:r>
          </w:p>
        </w:tc>
        <w:tc>
          <w:tcPr>
            <w:tcW w:w="2750" w:type="dxa"/>
            <w:tcBorders>
              <w:top w:val="nil"/>
              <w:left w:val="nil"/>
              <w:bottom w:val="nil"/>
              <w:right w:val="nil"/>
            </w:tcBorders>
            <w:shd w:val="clear" w:color="auto" w:fill="auto"/>
            <w:noWrap/>
            <w:vAlign w:val="center"/>
            <w:hideMark/>
          </w:tcPr>
          <w:p w14:paraId="7D8FBEA3"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0.610 (0.548 - 0.679)</w:t>
            </w:r>
          </w:p>
        </w:tc>
        <w:tc>
          <w:tcPr>
            <w:tcW w:w="2265" w:type="dxa"/>
            <w:tcBorders>
              <w:top w:val="nil"/>
              <w:left w:val="nil"/>
              <w:bottom w:val="nil"/>
              <w:right w:val="nil"/>
            </w:tcBorders>
            <w:shd w:val="clear" w:color="auto" w:fill="auto"/>
            <w:noWrap/>
            <w:vAlign w:val="center"/>
            <w:hideMark/>
          </w:tcPr>
          <w:p w14:paraId="0E916A9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0.700 (0.520 - 0.942)</w:t>
            </w:r>
          </w:p>
        </w:tc>
      </w:tr>
      <w:tr w:rsidR="00956D71" w:rsidRPr="00956D71" w14:paraId="0D3AEE61" w14:textId="77777777" w:rsidTr="00956D71">
        <w:trPr>
          <w:trHeight w:val="278"/>
        </w:trPr>
        <w:tc>
          <w:tcPr>
            <w:tcW w:w="2970" w:type="dxa"/>
            <w:tcBorders>
              <w:top w:val="nil"/>
              <w:left w:val="nil"/>
              <w:bottom w:val="nil"/>
              <w:right w:val="nil"/>
            </w:tcBorders>
            <w:shd w:val="clear" w:color="000000" w:fill="FFFFFF"/>
            <w:noWrap/>
            <w:vAlign w:val="center"/>
            <w:hideMark/>
          </w:tcPr>
          <w:p w14:paraId="07A13BA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$85,000 to &lt; $100,000</w:t>
            </w:r>
          </w:p>
        </w:tc>
        <w:tc>
          <w:tcPr>
            <w:tcW w:w="2527" w:type="dxa"/>
            <w:tcBorders>
              <w:top w:val="nil"/>
              <w:left w:val="nil"/>
              <w:bottom w:val="nil"/>
              <w:right w:val="nil"/>
            </w:tcBorders>
            <w:shd w:val="clear" w:color="000000" w:fill="FFFFFF"/>
            <w:noWrap/>
            <w:vAlign w:val="center"/>
            <w:hideMark/>
          </w:tcPr>
          <w:p w14:paraId="4F7A86A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0.469 (0.359 - 0.613)</w:t>
            </w:r>
          </w:p>
        </w:tc>
        <w:tc>
          <w:tcPr>
            <w:tcW w:w="2750" w:type="dxa"/>
            <w:tcBorders>
              <w:top w:val="nil"/>
              <w:left w:val="nil"/>
              <w:bottom w:val="nil"/>
              <w:right w:val="nil"/>
            </w:tcBorders>
            <w:shd w:val="clear" w:color="auto" w:fill="auto"/>
            <w:noWrap/>
            <w:vAlign w:val="center"/>
            <w:hideMark/>
          </w:tcPr>
          <w:p w14:paraId="2A8CA0B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0.426 (0.304 - 0.598)</w:t>
            </w:r>
          </w:p>
        </w:tc>
        <w:tc>
          <w:tcPr>
            <w:tcW w:w="2265" w:type="dxa"/>
            <w:tcBorders>
              <w:top w:val="nil"/>
              <w:left w:val="nil"/>
              <w:bottom w:val="nil"/>
              <w:right w:val="nil"/>
            </w:tcBorders>
            <w:shd w:val="clear" w:color="auto" w:fill="auto"/>
            <w:noWrap/>
            <w:vAlign w:val="center"/>
            <w:hideMark/>
          </w:tcPr>
          <w:p w14:paraId="6FFE63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0.753 (0.490 - 1.158)</w:t>
            </w:r>
          </w:p>
        </w:tc>
      </w:tr>
      <w:tr w:rsidR="00956D71" w:rsidRPr="00956D71" w14:paraId="0A560042" w14:textId="77777777" w:rsidTr="00956D71">
        <w:trPr>
          <w:trHeight w:val="278"/>
        </w:trPr>
        <w:tc>
          <w:tcPr>
            <w:tcW w:w="2970" w:type="dxa"/>
            <w:tcBorders>
              <w:top w:val="nil"/>
              <w:left w:val="nil"/>
              <w:bottom w:val="nil"/>
              <w:right w:val="nil"/>
            </w:tcBorders>
            <w:shd w:val="clear" w:color="000000" w:fill="FFFFFF"/>
            <w:noWrap/>
            <w:vAlign w:val="center"/>
            <w:hideMark/>
          </w:tcPr>
          <w:p w14:paraId="28D7B56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$100,000 or more</w:t>
            </w:r>
          </w:p>
        </w:tc>
        <w:tc>
          <w:tcPr>
            <w:tcW w:w="2527" w:type="dxa"/>
            <w:tcBorders>
              <w:top w:val="nil"/>
              <w:left w:val="nil"/>
              <w:bottom w:val="nil"/>
              <w:right w:val="nil"/>
            </w:tcBorders>
            <w:shd w:val="clear" w:color="000000" w:fill="FFFFFF"/>
            <w:noWrap/>
            <w:vAlign w:val="center"/>
            <w:hideMark/>
          </w:tcPr>
          <w:p w14:paraId="7657637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0.438 (0.355 - 0.539)</w:t>
            </w:r>
          </w:p>
        </w:tc>
        <w:tc>
          <w:tcPr>
            <w:tcW w:w="2750" w:type="dxa"/>
            <w:tcBorders>
              <w:top w:val="nil"/>
              <w:left w:val="nil"/>
              <w:bottom w:val="nil"/>
              <w:right w:val="nil"/>
            </w:tcBorders>
            <w:shd w:val="clear" w:color="auto" w:fill="auto"/>
            <w:noWrap/>
            <w:vAlign w:val="center"/>
            <w:hideMark/>
          </w:tcPr>
          <w:p w14:paraId="1190DDA0"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0.383 (0.287 - 0.511)</w:t>
            </w:r>
          </w:p>
        </w:tc>
        <w:tc>
          <w:tcPr>
            <w:tcW w:w="2265" w:type="dxa"/>
            <w:tcBorders>
              <w:top w:val="nil"/>
              <w:left w:val="nil"/>
              <w:bottom w:val="nil"/>
              <w:right w:val="nil"/>
            </w:tcBorders>
            <w:shd w:val="clear" w:color="auto" w:fill="auto"/>
            <w:noWrap/>
            <w:vAlign w:val="center"/>
            <w:hideMark/>
          </w:tcPr>
          <w:p w14:paraId="7D92F88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0.732 (0.523 - 1.024)</w:t>
            </w:r>
          </w:p>
        </w:tc>
      </w:tr>
      <w:tr w:rsidR="00956D71" w:rsidRPr="00956D71" w14:paraId="2DA7C14E" w14:textId="77777777" w:rsidTr="00956D71">
        <w:trPr>
          <w:trHeight w:val="278"/>
        </w:trPr>
        <w:tc>
          <w:tcPr>
            <w:tcW w:w="2970" w:type="dxa"/>
            <w:tcBorders>
              <w:top w:val="nil"/>
              <w:left w:val="nil"/>
              <w:bottom w:val="nil"/>
              <w:right w:val="nil"/>
            </w:tcBorders>
            <w:shd w:val="clear" w:color="auto" w:fill="auto"/>
            <w:noWrap/>
            <w:vAlign w:val="bottom"/>
            <w:hideMark/>
          </w:tcPr>
          <w:p w14:paraId="20549EF3"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Female Sex</w:t>
            </w:r>
          </w:p>
        </w:tc>
        <w:tc>
          <w:tcPr>
            <w:tcW w:w="2527" w:type="dxa"/>
            <w:tcBorders>
              <w:top w:val="nil"/>
              <w:left w:val="nil"/>
              <w:bottom w:val="nil"/>
              <w:right w:val="nil"/>
            </w:tcBorders>
            <w:shd w:val="clear" w:color="000000" w:fill="FFFFFF"/>
            <w:noWrap/>
            <w:vAlign w:val="center"/>
            <w:hideMark/>
          </w:tcPr>
          <w:p w14:paraId="696281E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0.601 (0.572 - 0.631)</w:t>
            </w:r>
          </w:p>
        </w:tc>
        <w:tc>
          <w:tcPr>
            <w:tcW w:w="2750" w:type="dxa"/>
            <w:tcBorders>
              <w:top w:val="nil"/>
              <w:left w:val="nil"/>
              <w:bottom w:val="nil"/>
              <w:right w:val="nil"/>
            </w:tcBorders>
            <w:shd w:val="clear" w:color="auto" w:fill="auto"/>
            <w:noWrap/>
            <w:vAlign w:val="center"/>
            <w:hideMark/>
          </w:tcPr>
          <w:p w14:paraId="031D780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0.606 (0.575 - 0.639)</w:t>
            </w:r>
          </w:p>
        </w:tc>
        <w:tc>
          <w:tcPr>
            <w:tcW w:w="2265" w:type="dxa"/>
            <w:tcBorders>
              <w:top w:val="nil"/>
              <w:left w:val="nil"/>
              <w:bottom w:val="nil"/>
              <w:right w:val="nil"/>
            </w:tcBorders>
            <w:shd w:val="clear" w:color="auto" w:fill="auto"/>
            <w:noWrap/>
            <w:vAlign w:val="center"/>
            <w:hideMark/>
          </w:tcPr>
          <w:p w14:paraId="1C922525"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0.567 (0.494 - 0.650)</w:t>
            </w:r>
          </w:p>
        </w:tc>
      </w:tr>
      <w:tr w:rsidR="00956D71" w:rsidRPr="00956D71" w14:paraId="13134E4B" w14:textId="77777777" w:rsidTr="00956D71">
        <w:trPr>
          <w:trHeight w:val="278"/>
        </w:trPr>
        <w:tc>
          <w:tcPr>
            <w:tcW w:w="2970" w:type="dxa"/>
            <w:tcBorders>
              <w:top w:val="nil"/>
              <w:left w:val="nil"/>
              <w:bottom w:val="nil"/>
              <w:right w:val="nil"/>
            </w:tcBorders>
            <w:shd w:val="clear" w:color="000000" w:fill="FFFFFF"/>
            <w:noWrap/>
            <w:vAlign w:val="center"/>
            <w:hideMark/>
          </w:tcPr>
          <w:p w14:paraId="17AF95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Public Insurance</w:t>
            </w:r>
          </w:p>
        </w:tc>
        <w:tc>
          <w:tcPr>
            <w:tcW w:w="2527" w:type="dxa"/>
            <w:tcBorders>
              <w:top w:val="nil"/>
              <w:left w:val="nil"/>
              <w:bottom w:val="nil"/>
              <w:right w:val="nil"/>
            </w:tcBorders>
            <w:shd w:val="clear" w:color="000000" w:fill="FFFFFF"/>
            <w:noWrap/>
            <w:vAlign w:val="center"/>
            <w:hideMark/>
          </w:tcPr>
          <w:p w14:paraId="45F59A5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1.188 (1.028 - 1.373)</w:t>
            </w:r>
          </w:p>
        </w:tc>
        <w:tc>
          <w:tcPr>
            <w:tcW w:w="2750" w:type="dxa"/>
            <w:tcBorders>
              <w:top w:val="nil"/>
              <w:left w:val="nil"/>
              <w:bottom w:val="nil"/>
              <w:right w:val="nil"/>
            </w:tcBorders>
            <w:shd w:val="clear" w:color="auto" w:fill="auto"/>
            <w:noWrap/>
            <w:vAlign w:val="center"/>
            <w:hideMark/>
          </w:tcPr>
          <w:p w14:paraId="7A2DEEA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1.165 (0.995 - 1.364)</w:t>
            </w:r>
          </w:p>
        </w:tc>
        <w:tc>
          <w:tcPr>
            <w:tcW w:w="2265" w:type="dxa"/>
            <w:tcBorders>
              <w:top w:val="nil"/>
              <w:left w:val="nil"/>
              <w:bottom w:val="nil"/>
              <w:right w:val="nil"/>
            </w:tcBorders>
            <w:shd w:val="clear" w:color="auto" w:fill="auto"/>
            <w:noWrap/>
            <w:vAlign w:val="center"/>
            <w:hideMark/>
          </w:tcPr>
          <w:p w14:paraId="4F29D66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1.358 (0.948 - 1.947)</w:t>
            </w:r>
          </w:p>
        </w:tc>
      </w:tr>
      <w:tr w:rsidR="00956D71" w:rsidRPr="00956D71" w14:paraId="4AD9E869" w14:textId="77777777" w:rsidTr="00956D71">
        <w:trPr>
          <w:trHeight w:val="278"/>
        </w:trPr>
        <w:tc>
          <w:tcPr>
            <w:tcW w:w="2970" w:type="dxa"/>
            <w:tcBorders>
              <w:top w:val="nil"/>
              <w:left w:val="nil"/>
              <w:bottom w:val="nil"/>
              <w:right w:val="nil"/>
            </w:tcBorders>
            <w:shd w:val="clear" w:color="000000" w:fill="FFFFFF"/>
            <w:noWrap/>
            <w:vAlign w:val="center"/>
            <w:hideMark/>
          </w:tcPr>
          <w:p w14:paraId="66AF46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Private Insurance</w:t>
            </w:r>
          </w:p>
        </w:tc>
        <w:tc>
          <w:tcPr>
            <w:tcW w:w="2527" w:type="dxa"/>
            <w:tcBorders>
              <w:top w:val="nil"/>
              <w:left w:val="nil"/>
              <w:bottom w:val="nil"/>
              <w:right w:val="nil"/>
            </w:tcBorders>
            <w:shd w:val="clear" w:color="000000" w:fill="FFFFFF"/>
            <w:noWrap/>
            <w:vAlign w:val="center"/>
            <w:hideMark/>
          </w:tcPr>
          <w:p w14:paraId="6D1F1A0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0.788 (0.686 - 0.905)</w:t>
            </w:r>
          </w:p>
        </w:tc>
        <w:tc>
          <w:tcPr>
            <w:tcW w:w="2750" w:type="dxa"/>
            <w:tcBorders>
              <w:top w:val="nil"/>
              <w:left w:val="nil"/>
              <w:bottom w:val="nil"/>
              <w:right w:val="nil"/>
            </w:tcBorders>
            <w:shd w:val="clear" w:color="auto" w:fill="auto"/>
            <w:noWrap/>
            <w:vAlign w:val="center"/>
            <w:hideMark/>
          </w:tcPr>
          <w:p w14:paraId="5D36F01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0.769 (0.661 - 0.893)</w:t>
            </w:r>
          </w:p>
        </w:tc>
        <w:tc>
          <w:tcPr>
            <w:tcW w:w="2265" w:type="dxa"/>
            <w:tcBorders>
              <w:top w:val="nil"/>
              <w:left w:val="nil"/>
              <w:bottom w:val="nil"/>
              <w:right w:val="nil"/>
            </w:tcBorders>
            <w:shd w:val="clear" w:color="auto" w:fill="auto"/>
            <w:noWrap/>
            <w:vAlign w:val="center"/>
            <w:hideMark/>
          </w:tcPr>
          <w:p w14:paraId="1FA6536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0.809 (0.572 - 1.143)</w:t>
            </w:r>
          </w:p>
        </w:tc>
      </w:tr>
      <w:tr w:rsidR="00956D71" w:rsidRPr="00956D71" w14:paraId="66AD6499" w14:textId="77777777" w:rsidTr="00956D71">
        <w:trPr>
          <w:trHeight w:val="278"/>
        </w:trPr>
        <w:tc>
          <w:tcPr>
            <w:tcW w:w="2970" w:type="dxa"/>
            <w:tcBorders>
              <w:top w:val="nil"/>
              <w:left w:val="nil"/>
              <w:bottom w:val="nil"/>
              <w:right w:val="nil"/>
            </w:tcBorders>
            <w:shd w:val="clear" w:color="000000" w:fill="FFFFFF"/>
            <w:noWrap/>
            <w:vAlign w:val="center"/>
            <w:hideMark/>
          </w:tcPr>
          <w:p w14:paraId="24B5F01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Military</w:t>
            </w:r>
          </w:p>
        </w:tc>
        <w:tc>
          <w:tcPr>
            <w:tcW w:w="2527" w:type="dxa"/>
            <w:tcBorders>
              <w:top w:val="nil"/>
              <w:left w:val="nil"/>
              <w:bottom w:val="nil"/>
              <w:right w:val="nil"/>
            </w:tcBorders>
            <w:shd w:val="clear" w:color="000000" w:fill="FFFFFF"/>
            <w:noWrap/>
            <w:vAlign w:val="center"/>
            <w:hideMark/>
          </w:tcPr>
          <w:p w14:paraId="72C97EE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(0.798 - 1.153)</w:t>
            </w:r>
          </w:p>
        </w:tc>
        <w:tc>
          <w:tcPr>
            <w:tcW w:w="2750" w:type="dxa"/>
            <w:tcBorders>
              <w:top w:val="nil"/>
              <w:left w:val="nil"/>
              <w:bottom w:val="nil"/>
              <w:right w:val="nil"/>
            </w:tcBorders>
            <w:shd w:val="clear" w:color="auto" w:fill="auto"/>
            <w:noWrap/>
            <w:vAlign w:val="center"/>
            <w:hideMark/>
          </w:tcPr>
          <w:p w14:paraId="3716FD46"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(0.790 - 1.168)</w:t>
            </w:r>
          </w:p>
        </w:tc>
        <w:tc>
          <w:tcPr>
            <w:tcW w:w="2265" w:type="dxa"/>
            <w:tcBorders>
              <w:top w:val="nil"/>
              <w:left w:val="nil"/>
              <w:bottom w:val="nil"/>
              <w:right w:val="nil"/>
            </w:tcBorders>
            <w:shd w:val="clear" w:color="auto" w:fill="auto"/>
            <w:noWrap/>
            <w:vAlign w:val="center"/>
            <w:hideMark/>
          </w:tcPr>
          <w:p w14:paraId="07FF42A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0.984 (0.624 - 1.554)</w:t>
            </w:r>
          </w:p>
        </w:tc>
      </w:tr>
      <w:tr w:rsidR="00956D71" w:rsidRPr="00956D71" w14:paraId="1A6963EE" w14:textId="77777777" w:rsidTr="00956D71">
        <w:trPr>
          <w:trHeight w:val="278"/>
        </w:trPr>
        <w:tc>
          <w:tcPr>
            <w:tcW w:w="2970" w:type="dxa"/>
            <w:tcBorders>
              <w:top w:val="nil"/>
              <w:left w:val="nil"/>
              <w:bottom w:val="nil"/>
              <w:right w:val="nil"/>
            </w:tcBorders>
            <w:shd w:val="clear" w:color="000000" w:fill="FFFFFF"/>
            <w:noWrap/>
            <w:vAlign w:val="center"/>
            <w:hideMark/>
          </w:tcPr>
          <w:p w14:paraId="24F9308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Medicare</w:t>
            </w:r>
          </w:p>
        </w:tc>
        <w:tc>
          <w:tcPr>
            <w:tcW w:w="2527" w:type="dxa"/>
            <w:tcBorders>
              <w:top w:val="nil"/>
              <w:left w:val="nil"/>
              <w:bottom w:val="nil"/>
              <w:right w:val="nil"/>
            </w:tcBorders>
            <w:shd w:val="clear" w:color="000000" w:fill="FFFFFF"/>
            <w:noWrap/>
            <w:vAlign w:val="center"/>
            <w:hideMark/>
          </w:tcPr>
          <w:p w14:paraId="06C86B7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0.843 (0.730 - 0.974)</w:t>
            </w:r>
          </w:p>
        </w:tc>
        <w:tc>
          <w:tcPr>
            <w:tcW w:w="2750" w:type="dxa"/>
            <w:tcBorders>
              <w:top w:val="nil"/>
              <w:left w:val="nil"/>
              <w:bottom w:val="nil"/>
              <w:right w:val="nil"/>
            </w:tcBorders>
            <w:shd w:val="clear" w:color="auto" w:fill="auto"/>
            <w:noWrap/>
            <w:vAlign w:val="center"/>
            <w:hideMark/>
          </w:tcPr>
          <w:p w14:paraId="51CE75D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0.832 (0.712 - 0.973)</w:t>
            </w:r>
          </w:p>
        </w:tc>
        <w:tc>
          <w:tcPr>
            <w:tcW w:w="2265" w:type="dxa"/>
            <w:tcBorders>
              <w:top w:val="nil"/>
              <w:left w:val="nil"/>
              <w:bottom w:val="nil"/>
              <w:right w:val="nil"/>
            </w:tcBorders>
            <w:shd w:val="clear" w:color="auto" w:fill="auto"/>
            <w:noWrap/>
            <w:vAlign w:val="center"/>
            <w:hideMark/>
          </w:tcPr>
          <w:p w14:paraId="788B7DE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0.882 (0.602 - 1.294)</w:t>
            </w:r>
          </w:p>
        </w:tc>
      </w:tr>
      <w:tr w:rsidR="00956D71" w:rsidRPr="00956D71" w14:paraId="756CEDD8" w14:textId="77777777" w:rsidTr="00956D71">
        <w:trPr>
          <w:trHeight w:val="278"/>
        </w:trPr>
        <w:tc>
          <w:tcPr>
            <w:tcW w:w="2970" w:type="dxa"/>
            <w:tcBorders>
              <w:top w:val="nil"/>
              <w:left w:val="nil"/>
              <w:bottom w:val="nil"/>
              <w:right w:val="nil"/>
            </w:tcBorders>
            <w:shd w:val="clear" w:color="000000" w:fill="FFFFFF"/>
            <w:noWrap/>
            <w:vAlign w:val="center"/>
            <w:hideMark/>
          </w:tcPr>
          <w:p w14:paraId="582B5BA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1269013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0.783 (0.486 - 1.261)</w:t>
            </w:r>
          </w:p>
        </w:tc>
        <w:tc>
          <w:tcPr>
            <w:tcW w:w="2750" w:type="dxa"/>
            <w:tcBorders>
              <w:top w:val="nil"/>
              <w:left w:val="nil"/>
              <w:bottom w:val="nil"/>
              <w:right w:val="nil"/>
            </w:tcBorders>
            <w:shd w:val="clear" w:color="auto" w:fill="auto"/>
            <w:noWrap/>
            <w:vAlign w:val="center"/>
            <w:hideMark/>
          </w:tcPr>
          <w:p w14:paraId="6160A7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0.751 (0.460 - 1.226)</w:t>
            </w:r>
          </w:p>
        </w:tc>
        <w:tc>
          <w:tcPr>
            <w:tcW w:w="2265" w:type="dxa"/>
            <w:tcBorders>
              <w:top w:val="nil"/>
              <w:left w:val="nil"/>
              <w:bottom w:val="nil"/>
              <w:right w:val="nil"/>
            </w:tcBorders>
            <w:shd w:val="clear" w:color="auto" w:fill="auto"/>
            <w:noWrap/>
            <w:vAlign w:val="center"/>
            <w:hideMark/>
          </w:tcPr>
          <w:p w14:paraId="5405968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0.911 (0.201 - 4.124)</w:t>
            </w:r>
          </w:p>
        </w:tc>
      </w:tr>
      <w:tr w:rsidR="00956D71" w:rsidRPr="00956D71" w14:paraId="49919A8A" w14:textId="77777777" w:rsidTr="00956D71">
        <w:trPr>
          <w:trHeight w:val="278"/>
        </w:trPr>
        <w:tc>
          <w:tcPr>
            <w:tcW w:w="2970" w:type="dxa"/>
            <w:tcBorders>
              <w:top w:val="nil"/>
              <w:left w:val="nil"/>
              <w:bottom w:val="nil"/>
              <w:right w:val="nil"/>
            </w:tcBorders>
            <w:shd w:val="clear" w:color="000000" w:fill="FFFFFF"/>
            <w:noWrap/>
            <w:vAlign w:val="center"/>
            <w:hideMark/>
          </w:tcPr>
          <w:p w14:paraId="6EED5CC5"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Black</w:t>
            </w:r>
          </w:p>
        </w:tc>
        <w:tc>
          <w:tcPr>
            <w:tcW w:w="2527" w:type="dxa"/>
            <w:tcBorders>
              <w:top w:val="nil"/>
              <w:left w:val="nil"/>
              <w:bottom w:val="nil"/>
              <w:right w:val="nil"/>
            </w:tcBorders>
            <w:shd w:val="clear" w:color="000000" w:fill="FFFFFF"/>
            <w:noWrap/>
            <w:vAlign w:val="center"/>
            <w:hideMark/>
          </w:tcPr>
          <w:p w14:paraId="230CE1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1.155 (1.078 - 1.237)</w:t>
            </w:r>
          </w:p>
        </w:tc>
        <w:tc>
          <w:tcPr>
            <w:tcW w:w="2750" w:type="dxa"/>
            <w:tcBorders>
              <w:top w:val="nil"/>
              <w:left w:val="nil"/>
              <w:bottom w:val="nil"/>
              <w:right w:val="nil"/>
            </w:tcBorders>
            <w:shd w:val="clear" w:color="auto" w:fill="auto"/>
            <w:noWrap/>
            <w:vAlign w:val="center"/>
            <w:hideMark/>
          </w:tcPr>
          <w:p w14:paraId="4037003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1.164 (1.083 - 1.252)</w:t>
            </w:r>
          </w:p>
        </w:tc>
        <w:tc>
          <w:tcPr>
            <w:tcW w:w="2265" w:type="dxa"/>
            <w:tcBorders>
              <w:top w:val="nil"/>
              <w:left w:val="nil"/>
              <w:bottom w:val="nil"/>
              <w:right w:val="nil"/>
            </w:tcBorders>
            <w:shd w:val="clear" w:color="auto" w:fill="auto"/>
            <w:noWrap/>
            <w:vAlign w:val="center"/>
            <w:hideMark/>
          </w:tcPr>
          <w:p w14:paraId="1911590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1.108 (0.916 - 1.341)</w:t>
            </w:r>
          </w:p>
        </w:tc>
      </w:tr>
      <w:tr w:rsidR="00956D71" w:rsidRPr="00956D71" w14:paraId="789E3BCC" w14:textId="77777777" w:rsidTr="00956D71">
        <w:trPr>
          <w:trHeight w:val="278"/>
        </w:trPr>
        <w:tc>
          <w:tcPr>
            <w:tcW w:w="2970" w:type="dxa"/>
            <w:tcBorders>
              <w:top w:val="nil"/>
              <w:left w:val="nil"/>
              <w:bottom w:val="nil"/>
              <w:right w:val="nil"/>
            </w:tcBorders>
            <w:shd w:val="clear" w:color="000000" w:fill="FFFFFF"/>
            <w:noWrap/>
            <w:vAlign w:val="center"/>
            <w:hideMark/>
          </w:tcPr>
          <w:p w14:paraId="71E28C07"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Hispanic</w:t>
            </w:r>
          </w:p>
        </w:tc>
        <w:tc>
          <w:tcPr>
            <w:tcW w:w="2527" w:type="dxa"/>
            <w:tcBorders>
              <w:top w:val="nil"/>
              <w:left w:val="nil"/>
              <w:bottom w:val="nil"/>
              <w:right w:val="nil"/>
            </w:tcBorders>
            <w:shd w:val="clear" w:color="000000" w:fill="FFFFFF"/>
            <w:noWrap/>
            <w:vAlign w:val="center"/>
            <w:hideMark/>
          </w:tcPr>
          <w:p w14:paraId="1B22D7F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0.777 (0.707 - 0.854)</w:t>
            </w:r>
          </w:p>
        </w:tc>
        <w:tc>
          <w:tcPr>
            <w:tcW w:w="2750" w:type="dxa"/>
            <w:tcBorders>
              <w:top w:val="nil"/>
              <w:left w:val="nil"/>
              <w:bottom w:val="nil"/>
              <w:right w:val="nil"/>
            </w:tcBorders>
            <w:shd w:val="clear" w:color="auto" w:fill="auto"/>
            <w:noWrap/>
            <w:vAlign w:val="center"/>
            <w:hideMark/>
          </w:tcPr>
          <w:p w14:paraId="22C3D61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0.754 (0.679 - 0.836)</w:t>
            </w:r>
          </w:p>
        </w:tc>
        <w:tc>
          <w:tcPr>
            <w:tcW w:w="2265" w:type="dxa"/>
            <w:tcBorders>
              <w:top w:val="nil"/>
              <w:left w:val="nil"/>
              <w:bottom w:val="nil"/>
              <w:right w:val="nil"/>
            </w:tcBorders>
            <w:shd w:val="clear" w:color="auto" w:fill="auto"/>
            <w:noWrap/>
            <w:vAlign w:val="center"/>
            <w:hideMark/>
          </w:tcPr>
          <w:p w14:paraId="4DF9863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0.955 (0.768 - 1.188)</w:t>
            </w:r>
          </w:p>
        </w:tc>
      </w:tr>
      <w:tr w:rsidR="00956D71" w:rsidRPr="00956D71" w14:paraId="7893A67E" w14:textId="77777777" w:rsidTr="00956D71">
        <w:trPr>
          <w:trHeight w:val="278"/>
        </w:trPr>
        <w:tc>
          <w:tcPr>
            <w:tcW w:w="2970" w:type="dxa"/>
            <w:tcBorders>
              <w:top w:val="nil"/>
              <w:left w:val="nil"/>
              <w:bottom w:val="nil"/>
              <w:right w:val="nil"/>
            </w:tcBorders>
            <w:shd w:val="clear" w:color="000000" w:fill="FFFFFF"/>
            <w:noWrap/>
            <w:vAlign w:val="center"/>
            <w:hideMark/>
          </w:tcPr>
          <w:p w14:paraId="6969092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American Indian/Alaskan Native</w:t>
            </w:r>
          </w:p>
        </w:tc>
        <w:tc>
          <w:tcPr>
            <w:tcW w:w="2527" w:type="dxa"/>
            <w:tcBorders>
              <w:top w:val="nil"/>
              <w:left w:val="nil"/>
              <w:bottom w:val="nil"/>
              <w:right w:val="nil"/>
            </w:tcBorders>
            <w:shd w:val="clear" w:color="000000" w:fill="FFFFFF"/>
            <w:noWrap/>
            <w:vAlign w:val="center"/>
            <w:hideMark/>
          </w:tcPr>
          <w:p w14:paraId="7D91FE27"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1.331 (0.910 - 1.947)</w:t>
            </w:r>
          </w:p>
        </w:tc>
        <w:tc>
          <w:tcPr>
            <w:tcW w:w="2750" w:type="dxa"/>
            <w:tcBorders>
              <w:top w:val="nil"/>
              <w:left w:val="nil"/>
              <w:bottom w:val="nil"/>
              <w:right w:val="nil"/>
            </w:tcBorders>
            <w:shd w:val="clear" w:color="auto" w:fill="auto"/>
            <w:noWrap/>
            <w:vAlign w:val="center"/>
            <w:hideMark/>
          </w:tcPr>
          <w:p w14:paraId="64D0133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1.417 (0.967 - 2.076)</w:t>
            </w:r>
          </w:p>
        </w:tc>
        <w:tc>
          <w:tcPr>
            <w:tcW w:w="2265" w:type="dxa"/>
            <w:tcBorders>
              <w:top w:val="nil"/>
              <w:left w:val="nil"/>
              <w:bottom w:val="nil"/>
              <w:right w:val="nil"/>
            </w:tcBorders>
            <w:shd w:val="clear" w:color="auto" w:fill="auto"/>
            <w:noWrap/>
            <w:vAlign w:val="center"/>
            <w:hideMark/>
          </w:tcPr>
          <w:p w14:paraId="1D7DA79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0.737 (0.281 - 1.934)</w:t>
            </w:r>
          </w:p>
        </w:tc>
      </w:tr>
      <w:tr w:rsidR="00956D71" w:rsidRPr="00956D71" w14:paraId="0838272C" w14:textId="77777777" w:rsidTr="00956D71">
        <w:trPr>
          <w:trHeight w:val="278"/>
        </w:trPr>
        <w:tc>
          <w:tcPr>
            <w:tcW w:w="2970" w:type="dxa"/>
            <w:tcBorders>
              <w:top w:val="nil"/>
              <w:left w:val="nil"/>
              <w:bottom w:val="nil"/>
              <w:right w:val="nil"/>
            </w:tcBorders>
            <w:shd w:val="clear" w:color="000000" w:fill="FFFFFF"/>
            <w:noWrap/>
            <w:vAlign w:val="center"/>
            <w:hideMark/>
          </w:tcPr>
          <w:p w14:paraId="53673106"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Asian</w:t>
            </w:r>
          </w:p>
        </w:tc>
        <w:tc>
          <w:tcPr>
            <w:tcW w:w="2527" w:type="dxa"/>
            <w:tcBorders>
              <w:top w:val="nil"/>
              <w:left w:val="nil"/>
              <w:bottom w:val="nil"/>
              <w:right w:val="nil"/>
            </w:tcBorders>
            <w:shd w:val="clear" w:color="000000" w:fill="FFFFFF"/>
            <w:noWrap/>
            <w:vAlign w:val="center"/>
            <w:hideMark/>
          </w:tcPr>
          <w:p w14:paraId="38D099C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0.720 (0.605 - 0.857)</w:t>
            </w:r>
          </w:p>
        </w:tc>
        <w:tc>
          <w:tcPr>
            <w:tcW w:w="2750" w:type="dxa"/>
            <w:tcBorders>
              <w:top w:val="nil"/>
              <w:left w:val="nil"/>
              <w:bottom w:val="nil"/>
              <w:right w:val="nil"/>
            </w:tcBorders>
            <w:shd w:val="clear" w:color="auto" w:fill="auto"/>
            <w:noWrap/>
            <w:vAlign w:val="center"/>
            <w:hideMark/>
          </w:tcPr>
          <w:p w14:paraId="35A7748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0.742 (0.609 - 0.903)</w:t>
            </w:r>
          </w:p>
        </w:tc>
        <w:tc>
          <w:tcPr>
            <w:tcW w:w="2265" w:type="dxa"/>
            <w:tcBorders>
              <w:top w:val="nil"/>
              <w:left w:val="nil"/>
              <w:bottom w:val="nil"/>
              <w:right w:val="nil"/>
            </w:tcBorders>
            <w:shd w:val="clear" w:color="auto" w:fill="auto"/>
            <w:noWrap/>
            <w:vAlign w:val="center"/>
            <w:hideMark/>
          </w:tcPr>
          <w:p w14:paraId="742D483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0.676 (0.456 - 1.000)</w:t>
            </w:r>
          </w:p>
        </w:tc>
      </w:tr>
      <w:tr w:rsidR="00956D71" w:rsidRPr="00956D71" w14:paraId="596BC8B8" w14:textId="77777777" w:rsidTr="00956D71">
        <w:trPr>
          <w:trHeight w:val="278"/>
        </w:trPr>
        <w:tc>
          <w:tcPr>
            <w:tcW w:w="2970" w:type="dxa"/>
            <w:tcBorders>
              <w:top w:val="nil"/>
              <w:left w:val="nil"/>
              <w:bottom w:val="nil"/>
              <w:right w:val="nil"/>
            </w:tcBorders>
            <w:shd w:val="clear" w:color="000000" w:fill="FFFFFF"/>
            <w:noWrap/>
            <w:vAlign w:val="center"/>
            <w:hideMark/>
          </w:tcPr>
          <w:p w14:paraId="6D4377A8"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50525C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0.675 (0.369 - 1.235)</w:t>
            </w:r>
          </w:p>
        </w:tc>
        <w:tc>
          <w:tcPr>
            <w:tcW w:w="2750" w:type="dxa"/>
            <w:tcBorders>
              <w:top w:val="nil"/>
              <w:left w:val="nil"/>
              <w:bottom w:val="nil"/>
              <w:right w:val="nil"/>
            </w:tcBorders>
            <w:shd w:val="clear" w:color="000000" w:fill="FFFFFF"/>
            <w:noWrap/>
            <w:vAlign w:val="center"/>
            <w:hideMark/>
          </w:tcPr>
          <w:p w14:paraId="02B24BE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0.416 (0.203 - 0.851)</w:t>
            </w:r>
          </w:p>
        </w:tc>
        <w:tc>
          <w:tcPr>
            <w:tcW w:w="2265" w:type="dxa"/>
            <w:tcBorders>
              <w:top w:val="nil"/>
              <w:left w:val="nil"/>
              <w:bottom w:val="nil"/>
              <w:right w:val="nil"/>
            </w:tcBorders>
            <w:shd w:val="clear" w:color="000000" w:fill="FFFFFF"/>
            <w:noWrap/>
            <w:vAlign w:val="center"/>
            <w:hideMark/>
          </w:tcPr>
          <w:p w14:paraId="0D177EE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2.593 (0.996 - 6.751)</w:t>
            </w:r>
          </w:p>
        </w:tc>
      </w:tr>
    </w:tbl>
    <w:p w14:paraId="4E7229AA" w14:textId="77777777" w:rsidR="00247F30" w:rsidRDefault="00247F30" w:rsidP="008E6B8B">
      <w:pPr>
        <w:spacing w:line="240" w:lineRule="auto"/>
        <w:rPr>
          <w:rFonts w:ascii="Times New Roman" w:hAnsi="Times New Roman" w:cs="Times New Roman"/>
          <w:sz w:val="24"/>
          <w:szCs w:val="24"/>
        </w:rPr>
      </w:pPr>
    </w:p>
    <w:p w14:paraId="4DEADCB5" w14:textId="7E4A6494" w:rsidR="007C68E9" w:rsidRDefault="007C68E9">
      <w:pPr>
        <w:rPr>
          <w:rFonts w:ascii="Times New Roman" w:hAnsi="Times New Roman" w:cs="Times New Roman"/>
          <w:sz w:val="24"/>
          <w:szCs w:val="24"/>
        </w:rPr>
      </w:pPr>
      <w:r>
        <w:rPr>
          <w:rFonts w:ascii="Times New Roman" w:hAnsi="Times New Roman" w:cs="Times New Roman"/>
          <w:sz w:val="24"/>
          <w:szCs w:val="24"/>
        </w:rPr>
        <w:br w:type="page"/>
      </w:r>
    </w:p>
    <w:p w14:paraId="07A78D64" w14:textId="45A2B816" w:rsidR="007C68E9" w:rsidRDefault="007C68E9" w:rsidP="007C68E9">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7</w:t>
      </w:r>
      <w:r w:rsidRPr="002D401E">
        <w:rPr>
          <w:rFonts w:ascii="Times New Roman" w:hAnsi="Times New Roman" w:cs="Times New Roman"/>
          <w:b/>
          <w:bCs/>
          <w:sz w:val="24"/>
          <w:szCs w:val="24"/>
        </w:rPr>
        <w:t>.</w:t>
      </w:r>
      <w:r>
        <w:rPr>
          <w:rFonts w:ascii="Times New Roman" w:hAnsi="Times New Roman" w:cs="Times New Roman"/>
          <w:sz w:val="24"/>
          <w:szCs w:val="24"/>
        </w:rPr>
        <w:t xml:space="preserve"> </w:t>
      </w:r>
      <w:r w:rsidR="00D63EC7">
        <w:rPr>
          <w:rFonts w:ascii="Times New Roman" w:hAnsi="Times New Roman" w:cs="Times New Roman"/>
          <w:sz w:val="24"/>
          <w:szCs w:val="24"/>
        </w:rPr>
        <w:t>Association of CRN and all-cause and disease-specific mortality among National Health Interview Survey (2000- 2014) participants with diabetes, cardiovascular disease, and/or hypertension</w:t>
      </w:r>
      <w:r w:rsidR="005416C2">
        <w:rPr>
          <w:rFonts w:ascii="Times New Roman" w:hAnsi="Times New Roman" w:cs="Times New Roman"/>
          <w:sz w:val="24"/>
          <w:szCs w:val="24"/>
        </w:rPr>
        <w:t xml:space="preserve"> after excluding potentially influential cases.</w:t>
      </w:r>
    </w:p>
    <w:tbl>
      <w:tblPr>
        <w:tblW w:w="13540" w:type="dxa"/>
        <w:tblLook w:val="04A0" w:firstRow="1" w:lastRow="0" w:firstColumn="1" w:lastColumn="0" w:noHBand="0" w:noVBand="1"/>
      </w:tblPr>
      <w:tblGrid>
        <w:gridCol w:w="1720"/>
        <w:gridCol w:w="1540"/>
        <w:gridCol w:w="1110"/>
        <w:gridCol w:w="1841"/>
        <w:gridCol w:w="1889"/>
        <w:gridCol w:w="500"/>
        <w:gridCol w:w="1210"/>
        <w:gridCol w:w="110"/>
        <w:gridCol w:w="1720"/>
        <w:gridCol w:w="1900"/>
      </w:tblGrid>
      <w:tr w:rsidR="00E46867" w:rsidRPr="00E46867" w14:paraId="4F06DCD5" w14:textId="77777777" w:rsidTr="00B709BA">
        <w:trPr>
          <w:trHeight w:val="20"/>
        </w:trPr>
        <w:tc>
          <w:tcPr>
            <w:tcW w:w="1720" w:type="dxa"/>
            <w:tcBorders>
              <w:top w:val="nil"/>
              <w:left w:val="nil"/>
              <w:bottom w:val="nil"/>
              <w:right w:val="nil"/>
            </w:tcBorders>
            <w:shd w:val="clear" w:color="auto" w:fill="auto"/>
            <w:noWrap/>
            <w:vAlign w:val="bottom"/>
            <w:hideMark/>
          </w:tcPr>
          <w:p w14:paraId="10CB629F" w14:textId="77777777" w:rsidR="00E46867" w:rsidRPr="00E46867" w:rsidRDefault="00E46867" w:rsidP="00E46867">
            <w:pPr>
              <w:spacing w:after="0" w:line="240" w:lineRule="auto"/>
              <w:rPr>
                <w:rFonts w:ascii="Times New Roman" w:eastAsia="Times New Roman" w:hAnsi="Times New Roman" w:cs="Times New Roman"/>
                <w:sz w:val="24"/>
                <w:szCs w:val="24"/>
              </w:rPr>
            </w:pPr>
          </w:p>
        </w:tc>
        <w:tc>
          <w:tcPr>
            <w:tcW w:w="1540" w:type="dxa"/>
            <w:tcBorders>
              <w:top w:val="nil"/>
              <w:left w:val="nil"/>
              <w:bottom w:val="nil"/>
              <w:right w:val="nil"/>
            </w:tcBorders>
            <w:shd w:val="clear" w:color="auto" w:fill="auto"/>
            <w:noWrap/>
            <w:vAlign w:val="bottom"/>
            <w:hideMark/>
          </w:tcPr>
          <w:p w14:paraId="65933158"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4840" w:type="dxa"/>
            <w:gridSpan w:val="3"/>
            <w:tcBorders>
              <w:top w:val="nil"/>
              <w:left w:val="nil"/>
              <w:bottom w:val="single" w:sz="4" w:space="0" w:color="auto"/>
              <w:right w:val="nil"/>
            </w:tcBorders>
            <w:shd w:val="clear" w:color="auto" w:fill="auto"/>
            <w:noWrap/>
            <w:vAlign w:val="bottom"/>
            <w:hideMark/>
          </w:tcPr>
          <w:p w14:paraId="5AD8F707"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50899D4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4940" w:type="dxa"/>
            <w:gridSpan w:val="4"/>
            <w:tcBorders>
              <w:top w:val="nil"/>
              <w:left w:val="nil"/>
              <w:bottom w:val="single" w:sz="4" w:space="0" w:color="auto"/>
              <w:right w:val="nil"/>
            </w:tcBorders>
            <w:shd w:val="clear" w:color="auto" w:fill="auto"/>
            <w:noWrap/>
            <w:vAlign w:val="bottom"/>
            <w:hideMark/>
          </w:tcPr>
          <w:p w14:paraId="4A62E56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Disease Specific Mortality</w:t>
            </w:r>
          </w:p>
        </w:tc>
      </w:tr>
      <w:tr w:rsidR="00E46867" w:rsidRPr="00E46867" w14:paraId="5ACE060B" w14:textId="77777777" w:rsidTr="00B709BA">
        <w:trPr>
          <w:trHeight w:val="20"/>
        </w:trPr>
        <w:tc>
          <w:tcPr>
            <w:tcW w:w="1720" w:type="dxa"/>
            <w:tcBorders>
              <w:top w:val="nil"/>
              <w:left w:val="nil"/>
              <w:bottom w:val="nil"/>
              <w:right w:val="nil"/>
            </w:tcBorders>
            <w:shd w:val="clear" w:color="auto" w:fill="auto"/>
            <w:noWrap/>
            <w:vAlign w:val="bottom"/>
            <w:hideMark/>
          </w:tcPr>
          <w:p w14:paraId="5552B75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6151386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Follow-Up Time, Weeks Median (IQR)</w:t>
            </w:r>
          </w:p>
        </w:tc>
        <w:tc>
          <w:tcPr>
            <w:tcW w:w="1110" w:type="dxa"/>
            <w:tcBorders>
              <w:top w:val="nil"/>
              <w:left w:val="nil"/>
              <w:bottom w:val="nil"/>
              <w:right w:val="nil"/>
            </w:tcBorders>
            <w:shd w:val="clear" w:color="auto" w:fill="auto"/>
            <w:noWrap/>
            <w:vAlign w:val="bottom"/>
            <w:hideMark/>
          </w:tcPr>
          <w:p w14:paraId="03EDF4E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41" w:type="dxa"/>
            <w:tcBorders>
              <w:top w:val="nil"/>
              <w:left w:val="nil"/>
              <w:bottom w:val="nil"/>
              <w:right w:val="nil"/>
            </w:tcBorders>
            <w:shd w:val="clear" w:color="auto" w:fill="auto"/>
            <w:vAlign w:val="bottom"/>
            <w:hideMark/>
          </w:tcPr>
          <w:p w14:paraId="5AD8225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889" w:type="dxa"/>
            <w:tcBorders>
              <w:top w:val="nil"/>
              <w:left w:val="nil"/>
              <w:bottom w:val="nil"/>
              <w:right w:val="nil"/>
            </w:tcBorders>
            <w:shd w:val="clear" w:color="auto" w:fill="auto"/>
            <w:vAlign w:val="bottom"/>
            <w:hideMark/>
          </w:tcPr>
          <w:p w14:paraId="30A981AD" w14:textId="368749D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71E0942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210" w:type="dxa"/>
            <w:tcBorders>
              <w:top w:val="nil"/>
              <w:left w:val="nil"/>
              <w:bottom w:val="nil"/>
              <w:right w:val="nil"/>
            </w:tcBorders>
            <w:shd w:val="clear" w:color="auto" w:fill="auto"/>
            <w:noWrap/>
            <w:vAlign w:val="bottom"/>
            <w:hideMark/>
          </w:tcPr>
          <w:p w14:paraId="4FA1636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30" w:type="dxa"/>
            <w:gridSpan w:val="2"/>
            <w:tcBorders>
              <w:top w:val="nil"/>
              <w:left w:val="nil"/>
              <w:bottom w:val="nil"/>
              <w:right w:val="nil"/>
            </w:tcBorders>
            <w:shd w:val="clear" w:color="auto" w:fill="auto"/>
            <w:vAlign w:val="bottom"/>
            <w:hideMark/>
          </w:tcPr>
          <w:p w14:paraId="7D6E62C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900" w:type="dxa"/>
            <w:tcBorders>
              <w:top w:val="nil"/>
              <w:left w:val="nil"/>
              <w:bottom w:val="nil"/>
              <w:right w:val="nil"/>
            </w:tcBorders>
            <w:shd w:val="clear" w:color="auto" w:fill="auto"/>
            <w:vAlign w:val="bottom"/>
            <w:hideMark/>
          </w:tcPr>
          <w:p w14:paraId="0ECFF3F0" w14:textId="659ADF9E"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3</w:t>
            </w:r>
          </w:p>
        </w:tc>
      </w:tr>
      <w:tr w:rsidR="00E46867" w:rsidRPr="00E46867" w14:paraId="40FE593C"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2CCAB541"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77984F9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2932FB1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23D6D4D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03B09DF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9A7EBD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210" w:type="dxa"/>
            <w:tcBorders>
              <w:top w:val="nil"/>
              <w:left w:val="nil"/>
              <w:bottom w:val="single" w:sz="4" w:space="0" w:color="auto"/>
              <w:right w:val="nil"/>
            </w:tcBorders>
            <w:shd w:val="clear" w:color="auto" w:fill="auto"/>
            <w:noWrap/>
            <w:vAlign w:val="bottom"/>
            <w:hideMark/>
          </w:tcPr>
          <w:p w14:paraId="2A10317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30" w:type="dxa"/>
            <w:gridSpan w:val="2"/>
            <w:tcBorders>
              <w:top w:val="nil"/>
              <w:left w:val="nil"/>
              <w:bottom w:val="single" w:sz="4" w:space="0" w:color="auto"/>
              <w:right w:val="nil"/>
            </w:tcBorders>
            <w:shd w:val="clear" w:color="auto" w:fill="auto"/>
            <w:noWrap/>
            <w:vAlign w:val="bottom"/>
            <w:hideMark/>
          </w:tcPr>
          <w:p w14:paraId="4A45595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618185F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BC0804" w14:textId="77777777" w:rsidTr="00B709BA">
        <w:trPr>
          <w:trHeight w:val="20"/>
        </w:trPr>
        <w:tc>
          <w:tcPr>
            <w:tcW w:w="1720" w:type="dxa"/>
            <w:tcBorders>
              <w:top w:val="nil"/>
              <w:left w:val="nil"/>
              <w:bottom w:val="nil"/>
              <w:right w:val="nil"/>
            </w:tcBorders>
            <w:shd w:val="clear" w:color="auto" w:fill="auto"/>
            <w:noWrap/>
            <w:vAlign w:val="bottom"/>
            <w:hideMark/>
          </w:tcPr>
          <w:p w14:paraId="78B22537"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54AA7B0"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295 (161 - 504)</w:t>
            </w:r>
          </w:p>
        </w:tc>
        <w:tc>
          <w:tcPr>
            <w:tcW w:w="1110" w:type="dxa"/>
            <w:tcBorders>
              <w:top w:val="nil"/>
              <w:left w:val="nil"/>
              <w:bottom w:val="nil"/>
              <w:right w:val="nil"/>
            </w:tcBorders>
            <w:shd w:val="clear" w:color="auto" w:fill="auto"/>
            <w:noWrap/>
            <w:vAlign w:val="bottom"/>
            <w:hideMark/>
          </w:tcPr>
          <w:p w14:paraId="7C0FFCC0" w14:textId="696F86ED"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8737 (23.5)</w:t>
            </w:r>
          </w:p>
        </w:tc>
        <w:tc>
          <w:tcPr>
            <w:tcW w:w="1841" w:type="dxa"/>
            <w:tcBorders>
              <w:top w:val="nil"/>
              <w:left w:val="nil"/>
              <w:bottom w:val="nil"/>
              <w:right w:val="nil"/>
            </w:tcBorders>
            <w:shd w:val="clear" w:color="auto" w:fill="auto"/>
            <w:noWrap/>
            <w:vAlign w:val="bottom"/>
            <w:hideMark/>
          </w:tcPr>
          <w:p w14:paraId="0C604E9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0.748 (0.686 - 0.815)</w:t>
            </w:r>
          </w:p>
        </w:tc>
        <w:tc>
          <w:tcPr>
            <w:tcW w:w="1889" w:type="dxa"/>
            <w:tcBorders>
              <w:top w:val="nil"/>
              <w:left w:val="nil"/>
              <w:bottom w:val="nil"/>
              <w:right w:val="nil"/>
            </w:tcBorders>
            <w:shd w:val="clear" w:color="auto" w:fill="auto"/>
            <w:noWrap/>
            <w:vAlign w:val="bottom"/>
            <w:hideMark/>
          </w:tcPr>
          <w:p w14:paraId="65B3754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1.182 (1.091 - 1.280)</w:t>
            </w:r>
          </w:p>
        </w:tc>
        <w:tc>
          <w:tcPr>
            <w:tcW w:w="500" w:type="dxa"/>
            <w:tcBorders>
              <w:top w:val="nil"/>
              <w:left w:val="nil"/>
              <w:bottom w:val="nil"/>
              <w:right w:val="nil"/>
            </w:tcBorders>
            <w:shd w:val="clear" w:color="auto" w:fill="auto"/>
            <w:noWrap/>
            <w:vAlign w:val="bottom"/>
            <w:hideMark/>
          </w:tcPr>
          <w:p w14:paraId="30A72C1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8543006" w14:textId="21367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2882 (8.</w:t>
            </w:r>
            <w:r w:rsidR="009C13F4">
              <w:rPr>
                <w:rFonts w:ascii="Times New Roman" w:eastAsia="Times New Roman" w:hAnsi="Times New Roman" w:cs="Times New Roman"/>
                <w:color w:val="000000"/>
                <w:sz w:val="16"/>
                <w:szCs w:val="16"/>
              </w:rPr>
              <w:t>4</w:t>
            </w:r>
            <w:r w:rsidRPr="00E46867">
              <w:rPr>
                <w:rFonts w:ascii="Times New Roman" w:eastAsia="Times New Roman" w:hAnsi="Times New Roman" w:cs="Times New Roman"/>
                <w:color w:val="000000"/>
                <w:sz w:val="16"/>
                <w:szCs w:val="16"/>
              </w:rPr>
              <w:t>)</w:t>
            </w:r>
          </w:p>
        </w:tc>
        <w:tc>
          <w:tcPr>
            <w:tcW w:w="1830" w:type="dxa"/>
            <w:gridSpan w:val="2"/>
            <w:tcBorders>
              <w:top w:val="nil"/>
              <w:left w:val="nil"/>
              <w:bottom w:val="nil"/>
              <w:right w:val="nil"/>
            </w:tcBorders>
            <w:shd w:val="clear" w:color="auto" w:fill="auto"/>
            <w:noWrap/>
            <w:vAlign w:val="bottom"/>
            <w:hideMark/>
          </w:tcPr>
          <w:p w14:paraId="70C327B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0.750 (0.669 - 0.840)</w:t>
            </w:r>
          </w:p>
        </w:tc>
        <w:tc>
          <w:tcPr>
            <w:tcW w:w="1900" w:type="dxa"/>
            <w:tcBorders>
              <w:top w:val="nil"/>
              <w:left w:val="nil"/>
              <w:bottom w:val="nil"/>
              <w:right w:val="nil"/>
            </w:tcBorders>
            <w:shd w:val="clear" w:color="auto" w:fill="auto"/>
            <w:noWrap/>
            <w:vAlign w:val="bottom"/>
            <w:hideMark/>
          </w:tcPr>
          <w:p w14:paraId="09D6EFD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1.180 (1.045 - 1.331)</w:t>
            </w:r>
          </w:p>
        </w:tc>
      </w:tr>
      <w:tr w:rsidR="00E46867" w:rsidRPr="00E46867" w14:paraId="38949EF8" w14:textId="77777777" w:rsidTr="00B709BA">
        <w:trPr>
          <w:trHeight w:val="20"/>
        </w:trPr>
        <w:tc>
          <w:tcPr>
            <w:tcW w:w="1720" w:type="dxa"/>
            <w:tcBorders>
              <w:top w:val="nil"/>
              <w:left w:val="nil"/>
              <w:bottom w:val="nil"/>
              <w:right w:val="nil"/>
            </w:tcBorders>
            <w:shd w:val="clear" w:color="auto" w:fill="auto"/>
            <w:vAlign w:val="bottom"/>
            <w:hideMark/>
          </w:tcPr>
          <w:p w14:paraId="698C2D0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1A98DB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313 (165 - 539)</w:t>
            </w:r>
          </w:p>
        </w:tc>
        <w:tc>
          <w:tcPr>
            <w:tcW w:w="1110" w:type="dxa"/>
            <w:tcBorders>
              <w:top w:val="nil"/>
              <w:left w:val="nil"/>
              <w:bottom w:val="nil"/>
              <w:right w:val="nil"/>
            </w:tcBorders>
            <w:shd w:val="clear" w:color="auto" w:fill="auto"/>
            <w:noWrap/>
            <w:vAlign w:val="bottom"/>
            <w:hideMark/>
          </w:tcPr>
          <w:p w14:paraId="20AE6339" w14:textId="6363097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15979 (27.6)</w:t>
            </w:r>
          </w:p>
        </w:tc>
        <w:tc>
          <w:tcPr>
            <w:tcW w:w="1841" w:type="dxa"/>
            <w:tcBorders>
              <w:top w:val="nil"/>
              <w:left w:val="nil"/>
              <w:bottom w:val="nil"/>
              <w:right w:val="nil"/>
            </w:tcBorders>
            <w:shd w:val="clear" w:color="auto" w:fill="auto"/>
            <w:noWrap/>
            <w:vAlign w:val="bottom"/>
            <w:hideMark/>
          </w:tcPr>
          <w:p w14:paraId="5D214EF5"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0.646 (0.600 - 0.694)</w:t>
            </w:r>
          </w:p>
        </w:tc>
        <w:tc>
          <w:tcPr>
            <w:tcW w:w="1889" w:type="dxa"/>
            <w:tcBorders>
              <w:top w:val="nil"/>
              <w:left w:val="nil"/>
              <w:bottom w:val="nil"/>
              <w:right w:val="nil"/>
            </w:tcBorders>
            <w:shd w:val="clear" w:color="auto" w:fill="auto"/>
            <w:noWrap/>
            <w:vAlign w:val="bottom"/>
            <w:hideMark/>
          </w:tcPr>
          <w:p w14:paraId="61DEF14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1.133 (1.066 - 1.205)</w:t>
            </w:r>
          </w:p>
        </w:tc>
        <w:tc>
          <w:tcPr>
            <w:tcW w:w="500" w:type="dxa"/>
            <w:tcBorders>
              <w:top w:val="nil"/>
              <w:left w:val="nil"/>
              <w:bottom w:val="nil"/>
              <w:right w:val="nil"/>
            </w:tcBorders>
            <w:shd w:val="clear" w:color="auto" w:fill="auto"/>
            <w:noWrap/>
            <w:vAlign w:val="bottom"/>
            <w:hideMark/>
          </w:tcPr>
          <w:p w14:paraId="40DA4C2A"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1A8C346" w14:textId="31C00C44"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(8.9)</w:t>
            </w:r>
          </w:p>
        </w:tc>
        <w:tc>
          <w:tcPr>
            <w:tcW w:w="1830" w:type="dxa"/>
            <w:gridSpan w:val="2"/>
            <w:tcBorders>
              <w:top w:val="nil"/>
              <w:left w:val="nil"/>
              <w:bottom w:val="nil"/>
              <w:right w:val="nil"/>
            </w:tcBorders>
            <w:shd w:val="clear" w:color="auto" w:fill="auto"/>
            <w:noWrap/>
            <w:vAlign w:val="bottom"/>
            <w:hideMark/>
          </w:tcPr>
          <w:p w14:paraId="12580A0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0.602 (0.542 - 0.668)</w:t>
            </w:r>
          </w:p>
        </w:tc>
        <w:tc>
          <w:tcPr>
            <w:tcW w:w="1900" w:type="dxa"/>
            <w:tcBorders>
              <w:top w:val="nil"/>
              <w:left w:val="nil"/>
              <w:bottom w:val="nil"/>
              <w:right w:val="nil"/>
            </w:tcBorders>
            <w:shd w:val="clear" w:color="auto" w:fill="auto"/>
            <w:noWrap/>
            <w:vAlign w:val="bottom"/>
            <w:hideMark/>
          </w:tcPr>
          <w:p w14:paraId="56849D5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1.080 (0.968 - 1.206)</w:t>
            </w:r>
          </w:p>
        </w:tc>
      </w:tr>
      <w:tr w:rsidR="00E46867" w:rsidRPr="00E46867" w14:paraId="7DDE2A4A"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38A368C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noWrap/>
            <w:vAlign w:val="bottom"/>
            <w:hideMark/>
          </w:tcPr>
          <w:p w14:paraId="6FF8A96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326 (178 - 561)</w:t>
            </w:r>
          </w:p>
        </w:tc>
        <w:tc>
          <w:tcPr>
            <w:tcW w:w="1110" w:type="dxa"/>
            <w:tcBorders>
              <w:top w:val="nil"/>
              <w:left w:val="nil"/>
              <w:bottom w:val="single" w:sz="4" w:space="0" w:color="auto"/>
              <w:right w:val="nil"/>
            </w:tcBorders>
            <w:shd w:val="clear" w:color="auto" w:fill="auto"/>
            <w:noWrap/>
            <w:vAlign w:val="bottom"/>
            <w:hideMark/>
          </w:tcPr>
          <w:p w14:paraId="3188F82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28340 (19.4)</w:t>
            </w:r>
          </w:p>
        </w:tc>
        <w:tc>
          <w:tcPr>
            <w:tcW w:w="1841" w:type="dxa"/>
            <w:tcBorders>
              <w:top w:val="nil"/>
              <w:left w:val="nil"/>
              <w:bottom w:val="single" w:sz="4" w:space="0" w:color="auto"/>
              <w:right w:val="nil"/>
            </w:tcBorders>
            <w:shd w:val="clear" w:color="auto" w:fill="auto"/>
            <w:noWrap/>
            <w:vAlign w:val="bottom"/>
            <w:hideMark/>
          </w:tcPr>
          <w:p w14:paraId="6EA55260"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0.705 (0.667 - 0.746)</w:t>
            </w:r>
          </w:p>
        </w:tc>
        <w:tc>
          <w:tcPr>
            <w:tcW w:w="1889" w:type="dxa"/>
            <w:tcBorders>
              <w:top w:val="nil"/>
              <w:left w:val="nil"/>
              <w:bottom w:val="single" w:sz="4" w:space="0" w:color="auto"/>
              <w:right w:val="nil"/>
            </w:tcBorders>
            <w:shd w:val="clear" w:color="auto" w:fill="auto"/>
            <w:noWrap/>
            <w:vAlign w:val="bottom"/>
            <w:hideMark/>
          </w:tcPr>
          <w:p w14:paraId="5756150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1.232 (1.172 - 1.296)</w:t>
            </w:r>
          </w:p>
        </w:tc>
        <w:tc>
          <w:tcPr>
            <w:tcW w:w="500" w:type="dxa"/>
            <w:tcBorders>
              <w:top w:val="nil"/>
              <w:left w:val="nil"/>
              <w:bottom w:val="single" w:sz="4" w:space="0" w:color="auto"/>
              <w:right w:val="nil"/>
            </w:tcBorders>
            <w:shd w:val="clear" w:color="auto" w:fill="auto"/>
            <w:noWrap/>
            <w:vAlign w:val="bottom"/>
            <w:hideMark/>
          </w:tcPr>
          <w:p w14:paraId="1C71739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noWrap/>
            <w:vAlign w:val="bottom"/>
            <w:hideMark/>
          </w:tcPr>
          <w:p w14:paraId="476CAE6A" w14:textId="02C0992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10028 (7.3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2F6BFFA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0.695 (0.643 - 0.752)</w:t>
            </w:r>
          </w:p>
        </w:tc>
        <w:tc>
          <w:tcPr>
            <w:tcW w:w="1900" w:type="dxa"/>
            <w:tcBorders>
              <w:top w:val="nil"/>
              <w:left w:val="nil"/>
              <w:bottom w:val="single" w:sz="4" w:space="0" w:color="auto"/>
              <w:right w:val="nil"/>
            </w:tcBorders>
            <w:shd w:val="clear" w:color="auto" w:fill="auto"/>
            <w:noWrap/>
            <w:vAlign w:val="bottom"/>
            <w:hideMark/>
          </w:tcPr>
          <w:p w14:paraId="5D3CBAFB"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1.265 (1.162 - 1.378)</w:t>
            </w:r>
          </w:p>
        </w:tc>
      </w:tr>
      <w:tr w:rsidR="00E46867" w:rsidRPr="00E46867" w14:paraId="12A0BA7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F09436E"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2000-2010 Waves</w:t>
            </w:r>
          </w:p>
        </w:tc>
        <w:tc>
          <w:tcPr>
            <w:tcW w:w="1540" w:type="dxa"/>
            <w:tcBorders>
              <w:top w:val="nil"/>
              <w:left w:val="nil"/>
              <w:bottom w:val="single" w:sz="4" w:space="0" w:color="auto"/>
              <w:right w:val="nil"/>
            </w:tcBorders>
            <w:shd w:val="clear" w:color="auto" w:fill="auto"/>
            <w:noWrap/>
            <w:vAlign w:val="bottom"/>
            <w:hideMark/>
          </w:tcPr>
          <w:p w14:paraId="316CB83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32E2F27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477D723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3293626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5B33BD2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6AEC349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02A98FBF"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3DFC499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2F491B1C" w14:textId="77777777" w:rsidTr="00B709BA">
        <w:trPr>
          <w:trHeight w:val="20"/>
        </w:trPr>
        <w:tc>
          <w:tcPr>
            <w:tcW w:w="1720" w:type="dxa"/>
            <w:tcBorders>
              <w:top w:val="nil"/>
              <w:left w:val="nil"/>
              <w:bottom w:val="nil"/>
              <w:right w:val="nil"/>
            </w:tcBorders>
            <w:shd w:val="clear" w:color="auto" w:fill="auto"/>
            <w:noWrap/>
            <w:vAlign w:val="bottom"/>
            <w:hideMark/>
          </w:tcPr>
          <w:p w14:paraId="3B1F55E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C30635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456 (321 - 613)</w:t>
            </w:r>
          </w:p>
        </w:tc>
        <w:tc>
          <w:tcPr>
            <w:tcW w:w="1110" w:type="dxa"/>
            <w:tcBorders>
              <w:top w:val="nil"/>
              <w:left w:val="nil"/>
              <w:bottom w:val="nil"/>
              <w:right w:val="nil"/>
            </w:tcBorders>
            <w:shd w:val="clear" w:color="auto" w:fill="auto"/>
            <w:noWrap/>
            <w:vAlign w:val="bottom"/>
            <w:hideMark/>
          </w:tcPr>
          <w:p w14:paraId="276050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7650 (31.9)</w:t>
            </w:r>
          </w:p>
        </w:tc>
        <w:tc>
          <w:tcPr>
            <w:tcW w:w="1841" w:type="dxa"/>
            <w:tcBorders>
              <w:top w:val="nil"/>
              <w:left w:val="nil"/>
              <w:bottom w:val="nil"/>
              <w:right w:val="nil"/>
            </w:tcBorders>
            <w:shd w:val="clear" w:color="auto" w:fill="auto"/>
            <w:noWrap/>
            <w:vAlign w:val="bottom"/>
            <w:hideMark/>
          </w:tcPr>
          <w:p w14:paraId="34EA2E2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0.799 (0.240 - 0.862)</w:t>
            </w:r>
          </w:p>
        </w:tc>
        <w:tc>
          <w:tcPr>
            <w:tcW w:w="1889" w:type="dxa"/>
            <w:tcBorders>
              <w:top w:val="nil"/>
              <w:left w:val="nil"/>
              <w:bottom w:val="nil"/>
              <w:right w:val="nil"/>
            </w:tcBorders>
            <w:shd w:val="clear" w:color="auto" w:fill="auto"/>
            <w:noWrap/>
            <w:vAlign w:val="bottom"/>
            <w:hideMark/>
          </w:tcPr>
          <w:p w14:paraId="16FA38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1.225 (1.125 - 1.334)</w:t>
            </w:r>
          </w:p>
        </w:tc>
        <w:tc>
          <w:tcPr>
            <w:tcW w:w="500" w:type="dxa"/>
            <w:tcBorders>
              <w:top w:val="nil"/>
              <w:left w:val="nil"/>
              <w:bottom w:val="nil"/>
              <w:right w:val="nil"/>
            </w:tcBorders>
            <w:shd w:val="clear" w:color="auto" w:fill="auto"/>
            <w:noWrap/>
            <w:vAlign w:val="bottom"/>
            <w:hideMark/>
          </w:tcPr>
          <w:p w14:paraId="18631DF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2D817DB9" w14:textId="5A7EAE0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2258 (10.3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5BC0F8B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0.765 (0.676 - 0.867)</w:t>
            </w:r>
          </w:p>
        </w:tc>
        <w:tc>
          <w:tcPr>
            <w:tcW w:w="1900" w:type="dxa"/>
            <w:tcBorders>
              <w:top w:val="nil"/>
              <w:left w:val="nil"/>
              <w:bottom w:val="nil"/>
              <w:right w:val="nil"/>
            </w:tcBorders>
            <w:shd w:val="clear" w:color="auto" w:fill="auto"/>
            <w:noWrap/>
            <w:vAlign w:val="bottom"/>
            <w:hideMark/>
          </w:tcPr>
          <w:p w14:paraId="1513AFB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1.210 (1.061 - 1.380)</w:t>
            </w:r>
          </w:p>
        </w:tc>
      </w:tr>
      <w:tr w:rsidR="00E46867" w:rsidRPr="00E46867" w14:paraId="48FEC9C5" w14:textId="77777777" w:rsidTr="00B709BA">
        <w:trPr>
          <w:trHeight w:val="20"/>
        </w:trPr>
        <w:tc>
          <w:tcPr>
            <w:tcW w:w="1720" w:type="dxa"/>
            <w:tcBorders>
              <w:top w:val="nil"/>
              <w:left w:val="nil"/>
              <w:bottom w:val="nil"/>
              <w:right w:val="nil"/>
            </w:tcBorders>
            <w:shd w:val="clear" w:color="auto" w:fill="auto"/>
            <w:vAlign w:val="bottom"/>
            <w:hideMark/>
          </w:tcPr>
          <w:p w14:paraId="22A1BE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225E44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478 (322 - 635)</w:t>
            </w:r>
          </w:p>
        </w:tc>
        <w:tc>
          <w:tcPr>
            <w:tcW w:w="1110" w:type="dxa"/>
            <w:tcBorders>
              <w:top w:val="nil"/>
              <w:left w:val="nil"/>
              <w:bottom w:val="nil"/>
              <w:right w:val="nil"/>
            </w:tcBorders>
            <w:shd w:val="clear" w:color="auto" w:fill="auto"/>
            <w:noWrap/>
            <w:vAlign w:val="bottom"/>
            <w:hideMark/>
          </w:tcPr>
          <w:p w14:paraId="72B29C3A"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14146 (35.4)</w:t>
            </w:r>
          </w:p>
        </w:tc>
        <w:tc>
          <w:tcPr>
            <w:tcW w:w="1841" w:type="dxa"/>
            <w:tcBorders>
              <w:top w:val="nil"/>
              <w:left w:val="nil"/>
              <w:bottom w:val="nil"/>
              <w:right w:val="nil"/>
            </w:tcBorders>
            <w:shd w:val="clear" w:color="auto" w:fill="auto"/>
            <w:noWrap/>
            <w:vAlign w:val="bottom"/>
            <w:hideMark/>
          </w:tcPr>
          <w:p w14:paraId="49205E9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(0.664 - 0.750)</w:t>
            </w:r>
          </w:p>
        </w:tc>
        <w:tc>
          <w:tcPr>
            <w:tcW w:w="1889" w:type="dxa"/>
            <w:tcBorders>
              <w:top w:val="nil"/>
              <w:left w:val="nil"/>
              <w:bottom w:val="nil"/>
              <w:right w:val="nil"/>
            </w:tcBorders>
            <w:shd w:val="clear" w:color="auto" w:fill="auto"/>
            <w:noWrap/>
            <w:vAlign w:val="bottom"/>
            <w:hideMark/>
          </w:tcPr>
          <w:p w14:paraId="79DAD5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1.151 (1.079 - 1.228)</w:t>
            </w:r>
          </w:p>
        </w:tc>
        <w:tc>
          <w:tcPr>
            <w:tcW w:w="500" w:type="dxa"/>
            <w:tcBorders>
              <w:top w:val="nil"/>
              <w:left w:val="nil"/>
              <w:bottom w:val="nil"/>
              <w:right w:val="nil"/>
            </w:tcBorders>
            <w:shd w:val="clear" w:color="auto" w:fill="auto"/>
            <w:noWrap/>
            <w:vAlign w:val="bottom"/>
            <w:hideMark/>
          </w:tcPr>
          <w:p w14:paraId="5B4AC8B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F03CB82" w14:textId="61A9A420"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(12.0)</w:t>
            </w:r>
          </w:p>
        </w:tc>
        <w:tc>
          <w:tcPr>
            <w:tcW w:w="1720" w:type="dxa"/>
            <w:tcBorders>
              <w:top w:val="nil"/>
              <w:left w:val="nil"/>
              <w:bottom w:val="nil"/>
              <w:right w:val="nil"/>
            </w:tcBorders>
            <w:shd w:val="clear" w:color="auto" w:fill="auto"/>
            <w:noWrap/>
            <w:vAlign w:val="bottom"/>
            <w:hideMark/>
          </w:tcPr>
          <w:p w14:paraId="2FA313B1"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0.631 (0.656 - 0.704)</w:t>
            </w:r>
          </w:p>
        </w:tc>
        <w:tc>
          <w:tcPr>
            <w:tcW w:w="1900" w:type="dxa"/>
            <w:tcBorders>
              <w:top w:val="nil"/>
              <w:left w:val="nil"/>
              <w:bottom w:val="nil"/>
              <w:right w:val="nil"/>
            </w:tcBorders>
            <w:shd w:val="clear" w:color="auto" w:fill="auto"/>
            <w:noWrap/>
            <w:vAlign w:val="bottom"/>
            <w:hideMark/>
          </w:tcPr>
          <w:p w14:paraId="1E37427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1.125 (1.003 - 1.262)</w:t>
            </w:r>
          </w:p>
        </w:tc>
      </w:tr>
      <w:tr w:rsidR="00E46867" w:rsidRPr="00E46867" w14:paraId="6ACBAFBA" w14:textId="77777777" w:rsidTr="00B709BA">
        <w:trPr>
          <w:trHeight w:val="20"/>
        </w:trPr>
        <w:tc>
          <w:tcPr>
            <w:tcW w:w="1720" w:type="dxa"/>
            <w:tcBorders>
              <w:top w:val="nil"/>
              <w:left w:val="nil"/>
              <w:bottom w:val="nil"/>
              <w:right w:val="nil"/>
            </w:tcBorders>
            <w:shd w:val="clear" w:color="auto" w:fill="auto"/>
            <w:vAlign w:val="bottom"/>
            <w:hideMark/>
          </w:tcPr>
          <w:p w14:paraId="718F56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230652B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500 (339 - 648)</w:t>
            </w:r>
          </w:p>
        </w:tc>
        <w:tc>
          <w:tcPr>
            <w:tcW w:w="1110" w:type="dxa"/>
            <w:tcBorders>
              <w:top w:val="nil"/>
              <w:left w:val="nil"/>
              <w:bottom w:val="nil"/>
              <w:right w:val="nil"/>
            </w:tcBorders>
            <w:shd w:val="clear" w:color="auto" w:fill="auto"/>
            <w:noWrap/>
            <w:vAlign w:val="bottom"/>
            <w:hideMark/>
          </w:tcPr>
          <w:p w14:paraId="44A0B65C" w14:textId="57221D73"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25180 (25.</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6480CCD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0.774 (0.737 - 0.813)</w:t>
            </w:r>
          </w:p>
        </w:tc>
        <w:tc>
          <w:tcPr>
            <w:tcW w:w="1889" w:type="dxa"/>
            <w:tcBorders>
              <w:top w:val="nil"/>
              <w:left w:val="nil"/>
              <w:bottom w:val="nil"/>
              <w:right w:val="nil"/>
            </w:tcBorders>
            <w:shd w:val="clear" w:color="auto" w:fill="auto"/>
            <w:noWrap/>
            <w:vAlign w:val="bottom"/>
            <w:hideMark/>
          </w:tcPr>
          <w:p w14:paraId="3C4084F7"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1.244 (1.180 - 1.310)</w:t>
            </w:r>
          </w:p>
        </w:tc>
        <w:tc>
          <w:tcPr>
            <w:tcW w:w="500" w:type="dxa"/>
            <w:tcBorders>
              <w:top w:val="nil"/>
              <w:left w:val="nil"/>
              <w:bottom w:val="nil"/>
              <w:right w:val="nil"/>
            </w:tcBorders>
            <w:shd w:val="clear" w:color="auto" w:fill="auto"/>
            <w:noWrap/>
            <w:vAlign w:val="bottom"/>
            <w:hideMark/>
          </w:tcPr>
          <w:p w14:paraId="1239DE8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11AE956" w14:textId="02646CA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9143 (9.</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1076719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0.724 (0.667 - 0.786)</w:t>
            </w:r>
          </w:p>
        </w:tc>
        <w:tc>
          <w:tcPr>
            <w:tcW w:w="1900" w:type="dxa"/>
            <w:tcBorders>
              <w:top w:val="nil"/>
              <w:left w:val="nil"/>
              <w:bottom w:val="nil"/>
              <w:right w:val="nil"/>
            </w:tcBorders>
            <w:shd w:val="clear" w:color="auto" w:fill="auto"/>
            <w:noWrap/>
            <w:vAlign w:val="bottom"/>
            <w:hideMark/>
          </w:tcPr>
          <w:p w14:paraId="2AF0968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1.309 (1.197 - 1.432)</w:t>
            </w:r>
          </w:p>
        </w:tc>
      </w:tr>
      <w:tr w:rsidR="00E46867" w:rsidRPr="00E46867" w14:paraId="3754D0B2" w14:textId="77777777" w:rsidTr="00B709BA">
        <w:trPr>
          <w:trHeight w:val="20"/>
        </w:trPr>
        <w:tc>
          <w:tcPr>
            <w:tcW w:w="1720" w:type="dxa"/>
            <w:tcBorders>
              <w:top w:val="nil"/>
              <w:left w:val="nil"/>
              <w:bottom w:val="nil"/>
              <w:right w:val="nil"/>
            </w:tcBorders>
            <w:shd w:val="clear" w:color="auto" w:fill="auto"/>
            <w:vAlign w:val="bottom"/>
            <w:hideMark/>
          </w:tcPr>
          <w:p w14:paraId="232167F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540" w:type="dxa"/>
            <w:tcBorders>
              <w:top w:val="nil"/>
              <w:left w:val="nil"/>
              <w:bottom w:val="nil"/>
              <w:right w:val="nil"/>
            </w:tcBorders>
            <w:shd w:val="clear" w:color="auto" w:fill="auto"/>
            <w:noWrap/>
            <w:vAlign w:val="bottom"/>
            <w:hideMark/>
          </w:tcPr>
          <w:p w14:paraId="539EFA4C"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14F527F4"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14:paraId="1C0A762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5863D76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500" w:type="dxa"/>
            <w:tcBorders>
              <w:top w:val="nil"/>
              <w:left w:val="nil"/>
              <w:bottom w:val="nil"/>
              <w:right w:val="nil"/>
            </w:tcBorders>
            <w:shd w:val="clear" w:color="auto" w:fill="auto"/>
            <w:noWrap/>
            <w:vAlign w:val="bottom"/>
            <w:hideMark/>
          </w:tcPr>
          <w:p w14:paraId="094BD328"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3CF04A3F"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5D2CE0"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vAlign w:val="bottom"/>
            <w:hideMark/>
          </w:tcPr>
          <w:p w14:paraId="368F6CFC"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r>
      <w:tr w:rsidR="00E46867" w:rsidRPr="00E46867" w14:paraId="309968E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BD70BA3"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2011 - 2014 Waves</w:t>
            </w:r>
          </w:p>
        </w:tc>
        <w:tc>
          <w:tcPr>
            <w:tcW w:w="1540" w:type="dxa"/>
            <w:tcBorders>
              <w:top w:val="nil"/>
              <w:left w:val="nil"/>
              <w:bottom w:val="single" w:sz="4" w:space="0" w:color="auto"/>
              <w:right w:val="nil"/>
            </w:tcBorders>
            <w:shd w:val="clear" w:color="auto" w:fill="auto"/>
            <w:noWrap/>
            <w:vAlign w:val="bottom"/>
            <w:hideMark/>
          </w:tcPr>
          <w:p w14:paraId="13E6574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06AF7B0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150F06B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7C81988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12C4A10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1C6134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5828C3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2ECE04C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21AAC5" w14:textId="77777777" w:rsidTr="00B709BA">
        <w:trPr>
          <w:trHeight w:val="20"/>
        </w:trPr>
        <w:tc>
          <w:tcPr>
            <w:tcW w:w="1720" w:type="dxa"/>
            <w:tcBorders>
              <w:top w:val="nil"/>
              <w:left w:val="nil"/>
              <w:bottom w:val="nil"/>
              <w:right w:val="nil"/>
            </w:tcBorders>
            <w:shd w:val="clear" w:color="auto" w:fill="auto"/>
            <w:noWrap/>
            <w:vAlign w:val="bottom"/>
            <w:hideMark/>
          </w:tcPr>
          <w:p w14:paraId="085B663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56D8AE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152 (100 - 204)</w:t>
            </w:r>
          </w:p>
        </w:tc>
        <w:tc>
          <w:tcPr>
            <w:tcW w:w="1110" w:type="dxa"/>
            <w:tcBorders>
              <w:top w:val="nil"/>
              <w:left w:val="nil"/>
              <w:bottom w:val="nil"/>
              <w:right w:val="nil"/>
            </w:tcBorders>
            <w:shd w:val="clear" w:color="auto" w:fill="auto"/>
            <w:noWrap/>
            <w:vAlign w:val="bottom"/>
            <w:hideMark/>
          </w:tcPr>
          <w:p w14:paraId="46766C80" w14:textId="52D09A7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1092 (8.2)</w:t>
            </w:r>
          </w:p>
        </w:tc>
        <w:tc>
          <w:tcPr>
            <w:tcW w:w="1841" w:type="dxa"/>
            <w:tcBorders>
              <w:top w:val="nil"/>
              <w:left w:val="nil"/>
              <w:bottom w:val="nil"/>
              <w:right w:val="nil"/>
            </w:tcBorders>
            <w:shd w:val="clear" w:color="auto" w:fill="auto"/>
            <w:noWrap/>
            <w:vAlign w:val="bottom"/>
            <w:hideMark/>
          </w:tcPr>
          <w:p w14:paraId="482D474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0.610 (0.505 - 0.737)</w:t>
            </w:r>
          </w:p>
        </w:tc>
        <w:tc>
          <w:tcPr>
            <w:tcW w:w="1889" w:type="dxa"/>
            <w:tcBorders>
              <w:top w:val="nil"/>
              <w:left w:val="nil"/>
              <w:bottom w:val="nil"/>
              <w:right w:val="nil"/>
            </w:tcBorders>
            <w:shd w:val="clear" w:color="auto" w:fill="auto"/>
            <w:noWrap/>
            <w:vAlign w:val="bottom"/>
            <w:hideMark/>
          </w:tcPr>
          <w:p w14:paraId="0C13AA3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1.000 (0.818 - 1.225)</w:t>
            </w:r>
          </w:p>
        </w:tc>
        <w:tc>
          <w:tcPr>
            <w:tcW w:w="500" w:type="dxa"/>
            <w:tcBorders>
              <w:top w:val="nil"/>
              <w:left w:val="nil"/>
              <w:bottom w:val="nil"/>
              <w:right w:val="nil"/>
            </w:tcBorders>
            <w:shd w:val="clear" w:color="auto" w:fill="auto"/>
            <w:noWrap/>
            <w:vAlign w:val="bottom"/>
            <w:hideMark/>
          </w:tcPr>
          <w:p w14:paraId="697691E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4C8C136" w14:textId="7F67F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324 (2.6)</w:t>
            </w:r>
          </w:p>
        </w:tc>
        <w:tc>
          <w:tcPr>
            <w:tcW w:w="1720" w:type="dxa"/>
            <w:tcBorders>
              <w:top w:val="nil"/>
              <w:left w:val="nil"/>
              <w:bottom w:val="nil"/>
              <w:right w:val="nil"/>
            </w:tcBorders>
            <w:shd w:val="clear" w:color="auto" w:fill="auto"/>
            <w:noWrap/>
            <w:vAlign w:val="bottom"/>
            <w:hideMark/>
          </w:tcPr>
          <w:p w14:paraId="24A8EA1E"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(0.521 - 0.958)</w:t>
            </w:r>
          </w:p>
        </w:tc>
        <w:tc>
          <w:tcPr>
            <w:tcW w:w="1900" w:type="dxa"/>
            <w:tcBorders>
              <w:top w:val="nil"/>
              <w:left w:val="nil"/>
              <w:bottom w:val="nil"/>
              <w:right w:val="nil"/>
            </w:tcBorders>
            <w:shd w:val="clear" w:color="auto" w:fill="auto"/>
            <w:noWrap/>
            <w:vAlign w:val="bottom"/>
            <w:hideMark/>
          </w:tcPr>
          <w:p w14:paraId="7F2A4EE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1.103 (0.795 - 1.532)</w:t>
            </w:r>
          </w:p>
        </w:tc>
      </w:tr>
      <w:tr w:rsidR="00E46867" w:rsidRPr="00E46867" w14:paraId="74547789" w14:textId="77777777" w:rsidTr="00B709BA">
        <w:trPr>
          <w:trHeight w:val="20"/>
        </w:trPr>
        <w:tc>
          <w:tcPr>
            <w:tcW w:w="1720" w:type="dxa"/>
            <w:tcBorders>
              <w:top w:val="nil"/>
              <w:left w:val="nil"/>
              <w:bottom w:val="nil"/>
              <w:right w:val="nil"/>
            </w:tcBorders>
            <w:shd w:val="clear" w:color="auto" w:fill="auto"/>
            <w:vAlign w:val="bottom"/>
            <w:hideMark/>
          </w:tcPr>
          <w:p w14:paraId="47A0F98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5922942"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(100 - 208)</w:t>
            </w:r>
          </w:p>
        </w:tc>
        <w:tc>
          <w:tcPr>
            <w:tcW w:w="1110" w:type="dxa"/>
            <w:tcBorders>
              <w:top w:val="nil"/>
              <w:left w:val="nil"/>
              <w:bottom w:val="nil"/>
              <w:right w:val="nil"/>
            </w:tcBorders>
            <w:shd w:val="clear" w:color="auto" w:fill="auto"/>
            <w:noWrap/>
            <w:vAlign w:val="bottom"/>
            <w:hideMark/>
          </w:tcPr>
          <w:p w14:paraId="534581B2" w14:textId="5F008988"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1833 (10.</w:t>
            </w:r>
            <w:r w:rsidR="009C13F4">
              <w:rPr>
                <w:rFonts w:ascii="Times New Roman" w:eastAsia="Times New Roman" w:hAnsi="Times New Roman" w:cs="Times New Roman"/>
                <w:color w:val="000000"/>
                <w:sz w:val="16"/>
                <w:szCs w:val="16"/>
              </w:rPr>
              <w:t>2</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2C8D76C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0.554 (0.473 - 0.647)</w:t>
            </w:r>
          </w:p>
        </w:tc>
        <w:tc>
          <w:tcPr>
            <w:tcW w:w="1889" w:type="dxa"/>
            <w:tcBorders>
              <w:top w:val="nil"/>
              <w:left w:val="nil"/>
              <w:bottom w:val="nil"/>
              <w:right w:val="nil"/>
            </w:tcBorders>
            <w:shd w:val="clear" w:color="auto" w:fill="auto"/>
            <w:noWrap/>
            <w:vAlign w:val="bottom"/>
            <w:hideMark/>
          </w:tcPr>
          <w:p w14:paraId="4A11DC4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1.031 (0.877 - 1.211)</w:t>
            </w:r>
          </w:p>
        </w:tc>
        <w:tc>
          <w:tcPr>
            <w:tcW w:w="500" w:type="dxa"/>
            <w:tcBorders>
              <w:top w:val="nil"/>
              <w:left w:val="nil"/>
              <w:bottom w:val="nil"/>
              <w:right w:val="nil"/>
            </w:tcBorders>
            <w:shd w:val="clear" w:color="auto" w:fill="auto"/>
            <w:noWrap/>
            <w:vAlign w:val="bottom"/>
            <w:hideMark/>
          </w:tcPr>
          <w:p w14:paraId="2A3D381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99C793C" w14:textId="217ACF1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380 (2.3)</w:t>
            </w:r>
          </w:p>
        </w:tc>
        <w:tc>
          <w:tcPr>
            <w:tcW w:w="1720" w:type="dxa"/>
            <w:tcBorders>
              <w:top w:val="nil"/>
              <w:left w:val="nil"/>
              <w:bottom w:val="nil"/>
              <w:right w:val="nil"/>
            </w:tcBorders>
            <w:shd w:val="clear" w:color="auto" w:fill="auto"/>
            <w:noWrap/>
            <w:vAlign w:val="bottom"/>
            <w:hideMark/>
          </w:tcPr>
          <w:p w14:paraId="52E3A7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0.494 (0.359 - 0.679)</w:t>
            </w:r>
          </w:p>
        </w:tc>
        <w:tc>
          <w:tcPr>
            <w:tcW w:w="1900" w:type="dxa"/>
            <w:tcBorders>
              <w:top w:val="nil"/>
              <w:left w:val="nil"/>
              <w:bottom w:val="nil"/>
              <w:right w:val="nil"/>
            </w:tcBorders>
            <w:shd w:val="clear" w:color="auto" w:fill="auto"/>
            <w:noWrap/>
            <w:vAlign w:val="bottom"/>
            <w:hideMark/>
          </w:tcPr>
          <w:p w14:paraId="02AAFA6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0.993 (0.701 - 1.406)</w:t>
            </w:r>
          </w:p>
        </w:tc>
      </w:tr>
      <w:tr w:rsidR="00E46867" w:rsidRPr="00E46867" w14:paraId="51E984BB"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677ABF3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6B06F99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(104 - 208)</w:t>
            </w:r>
          </w:p>
        </w:tc>
        <w:tc>
          <w:tcPr>
            <w:tcW w:w="1110" w:type="dxa"/>
            <w:tcBorders>
              <w:top w:val="nil"/>
              <w:left w:val="nil"/>
              <w:bottom w:val="single" w:sz="4" w:space="0" w:color="auto"/>
              <w:right w:val="nil"/>
            </w:tcBorders>
            <w:shd w:val="clear" w:color="auto" w:fill="auto"/>
            <w:noWrap/>
            <w:vAlign w:val="bottom"/>
            <w:hideMark/>
          </w:tcPr>
          <w:p w14:paraId="05A24125" w14:textId="21B39D2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3043 (6.</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single" w:sz="4" w:space="0" w:color="auto"/>
              <w:right w:val="nil"/>
            </w:tcBorders>
            <w:shd w:val="clear" w:color="auto" w:fill="auto"/>
            <w:noWrap/>
            <w:vAlign w:val="bottom"/>
            <w:hideMark/>
          </w:tcPr>
          <w:p w14:paraId="3CA9E4E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0.584 (0.511 - 0.670)</w:t>
            </w:r>
          </w:p>
        </w:tc>
        <w:tc>
          <w:tcPr>
            <w:tcW w:w="1889" w:type="dxa"/>
            <w:tcBorders>
              <w:top w:val="nil"/>
              <w:left w:val="nil"/>
              <w:bottom w:val="single" w:sz="4" w:space="0" w:color="auto"/>
              <w:right w:val="nil"/>
            </w:tcBorders>
            <w:shd w:val="clear" w:color="auto" w:fill="auto"/>
            <w:noWrap/>
            <w:vAlign w:val="bottom"/>
            <w:hideMark/>
          </w:tcPr>
          <w:p w14:paraId="5CBF88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1.061 (0.927 - 1.214)</w:t>
            </w:r>
          </w:p>
        </w:tc>
        <w:tc>
          <w:tcPr>
            <w:tcW w:w="500" w:type="dxa"/>
            <w:tcBorders>
              <w:top w:val="nil"/>
              <w:left w:val="nil"/>
              <w:bottom w:val="single" w:sz="4" w:space="0" w:color="auto"/>
              <w:right w:val="nil"/>
            </w:tcBorders>
            <w:shd w:val="clear" w:color="auto" w:fill="auto"/>
            <w:noWrap/>
            <w:vAlign w:val="bottom"/>
            <w:hideMark/>
          </w:tcPr>
          <w:p w14:paraId="3AE55A44"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vAlign w:val="bottom"/>
            <w:hideMark/>
          </w:tcPr>
          <w:p w14:paraId="0BC4B787" w14:textId="52E7CB9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885 (</w:t>
            </w:r>
            <w:r w:rsidR="009C13F4">
              <w:rPr>
                <w:rFonts w:ascii="Times New Roman" w:eastAsia="Times New Roman" w:hAnsi="Times New Roman" w:cs="Times New Roman"/>
                <w:color w:val="000000"/>
                <w:sz w:val="16"/>
                <w:szCs w:val="16"/>
              </w:rPr>
              <w:t>2.0</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14C15A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0.569 (0.457 - 0.709)</w:t>
            </w:r>
          </w:p>
        </w:tc>
        <w:tc>
          <w:tcPr>
            <w:tcW w:w="1900" w:type="dxa"/>
            <w:tcBorders>
              <w:top w:val="nil"/>
              <w:left w:val="nil"/>
              <w:bottom w:val="single" w:sz="4" w:space="0" w:color="auto"/>
              <w:right w:val="nil"/>
            </w:tcBorders>
            <w:shd w:val="clear" w:color="auto" w:fill="auto"/>
            <w:noWrap/>
            <w:vAlign w:val="bottom"/>
            <w:hideMark/>
          </w:tcPr>
          <w:p w14:paraId="58C67E5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1.096 (0.864 - 1.390)</w:t>
            </w:r>
          </w:p>
        </w:tc>
      </w:tr>
    </w:tbl>
    <w:p w14:paraId="1F4FBFCE" w14:textId="6DDC2B01" w:rsidR="00FA0AE3" w:rsidRDefault="003814E8" w:rsidP="003814E8">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326AA520" w14:textId="77777777" w:rsidR="00FA0AE3" w:rsidRDefault="00FA0AE3">
      <w:pPr>
        <w:rPr>
          <w:rFonts w:ascii="Times New Roman" w:hAnsi="Times New Roman" w:cs="Times New Roman"/>
          <w:sz w:val="16"/>
          <w:szCs w:val="16"/>
        </w:rPr>
      </w:pPr>
      <w:r>
        <w:rPr>
          <w:rFonts w:ascii="Times New Roman" w:hAnsi="Times New Roman" w:cs="Times New Roman"/>
          <w:sz w:val="16"/>
          <w:szCs w:val="16"/>
        </w:rPr>
        <w:br w:type="page"/>
      </w:r>
    </w:p>
    <w:p w14:paraId="78C3853B" w14:textId="4BD45EF9" w:rsidR="00FA0AE3" w:rsidRDefault="00FA0AE3" w:rsidP="00FA0AE3">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8</w:t>
      </w:r>
      <w:r w:rsidRPr="002D401E">
        <w:rPr>
          <w:rFonts w:ascii="Times New Roman" w:hAnsi="Times New Roman" w:cs="Times New Roman"/>
          <w:b/>
          <w:bCs/>
          <w:sz w:val="24"/>
          <w:szCs w:val="24"/>
        </w:rPr>
        <w:t>.</w:t>
      </w:r>
      <w:r>
        <w:rPr>
          <w:rFonts w:ascii="Times New Roman" w:hAnsi="Times New Roman" w:cs="Times New Roman"/>
          <w:sz w:val="24"/>
          <w:szCs w:val="24"/>
        </w:rPr>
        <w:t xml:space="preserve"> Association of CRN and all-cause and disease-specific mortality among National Health Interview Survey (2000- 2014) participants with diabetes, cardiovascular disease, and/or hypertension after adjusting for</w:t>
      </w:r>
      <w:r w:rsidR="00812947">
        <w:rPr>
          <w:rFonts w:ascii="Times New Roman" w:hAnsi="Times New Roman" w:cs="Times New Roman"/>
          <w:sz w:val="24"/>
          <w:szCs w:val="24"/>
        </w:rPr>
        <w:t xml:space="preserve"> age using natural splines at age 75.</w:t>
      </w:r>
    </w:p>
    <w:tbl>
      <w:tblPr>
        <w:tblW w:w="13050" w:type="dxa"/>
        <w:tblLook w:val="04A0" w:firstRow="1" w:lastRow="0" w:firstColumn="1" w:lastColumn="0" w:noHBand="0" w:noVBand="1"/>
      </w:tblPr>
      <w:tblGrid>
        <w:gridCol w:w="2317"/>
        <w:gridCol w:w="1243"/>
        <w:gridCol w:w="987"/>
        <w:gridCol w:w="1717"/>
        <w:gridCol w:w="1708"/>
        <w:gridCol w:w="414"/>
        <w:gridCol w:w="1113"/>
        <w:gridCol w:w="1698"/>
        <w:gridCol w:w="143"/>
        <w:gridCol w:w="1620"/>
        <w:gridCol w:w="90"/>
      </w:tblGrid>
      <w:tr w:rsidR="001B7D46" w:rsidRPr="001B7D46" w14:paraId="5702C349"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90AA7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243" w:type="dxa"/>
            <w:tcBorders>
              <w:top w:val="nil"/>
              <w:left w:val="nil"/>
              <w:bottom w:val="nil"/>
              <w:right w:val="nil"/>
            </w:tcBorders>
            <w:shd w:val="clear" w:color="auto" w:fill="auto"/>
            <w:noWrap/>
            <w:vAlign w:val="bottom"/>
            <w:hideMark/>
          </w:tcPr>
          <w:p w14:paraId="38B5FAA1"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4412" w:type="dxa"/>
            <w:gridSpan w:val="3"/>
            <w:tcBorders>
              <w:top w:val="nil"/>
              <w:left w:val="nil"/>
              <w:bottom w:val="single" w:sz="4" w:space="0" w:color="auto"/>
              <w:right w:val="nil"/>
            </w:tcBorders>
            <w:shd w:val="clear" w:color="auto" w:fill="auto"/>
            <w:noWrap/>
            <w:vAlign w:val="bottom"/>
            <w:hideMark/>
          </w:tcPr>
          <w:p w14:paraId="385CB27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All-Cause Mortality</w:t>
            </w:r>
          </w:p>
        </w:tc>
        <w:tc>
          <w:tcPr>
            <w:tcW w:w="414" w:type="dxa"/>
            <w:tcBorders>
              <w:top w:val="nil"/>
              <w:left w:val="nil"/>
              <w:bottom w:val="nil"/>
              <w:right w:val="nil"/>
            </w:tcBorders>
            <w:shd w:val="clear" w:color="auto" w:fill="auto"/>
            <w:noWrap/>
            <w:vAlign w:val="bottom"/>
            <w:hideMark/>
          </w:tcPr>
          <w:p w14:paraId="5737D0C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4574" w:type="dxa"/>
            <w:gridSpan w:val="4"/>
            <w:tcBorders>
              <w:top w:val="nil"/>
              <w:left w:val="nil"/>
              <w:bottom w:val="single" w:sz="4" w:space="0" w:color="auto"/>
              <w:right w:val="nil"/>
            </w:tcBorders>
            <w:shd w:val="clear" w:color="auto" w:fill="auto"/>
            <w:noWrap/>
            <w:vAlign w:val="bottom"/>
            <w:hideMark/>
          </w:tcPr>
          <w:p w14:paraId="13524A8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Disease-Specific Mortality</w:t>
            </w:r>
          </w:p>
        </w:tc>
      </w:tr>
      <w:tr w:rsidR="001B7D46" w:rsidRPr="001B7D46" w14:paraId="49268C49" w14:textId="77777777" w:rsidTr="00B709BA">
        <w:trPr>
          <w:trHeight w:val="20"/>
        </w:trPr>
        <w:tc>
          <w:tcPr>
            <w:tcW w:w="2317" w:type="dxa"/>
            <w:tcBorders>
              <w:top w:val="nil"/>
              <w:left w:val="nil"/>
              <w:bottom w:val="nil"/>
              <w:right w:val="nil"/>
            </w:tcBorders>
            <w:shd w:val="clear" w:color="auto" w:fill="auto"/>
            <w:noWrap/>
            <w:vAlign w:val="bottom"/>
            <w:hideMark/>
          </w:tcPr>
          <w:p w14:paraId="200AAC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243" w:type="dxa"/>
            <w:tcBorders>
              <w:top w:val="nil"/>
              <w:left w:val="nil"/>
              <w:bottom w:val="nil"/>
              <w:right w:val="nil"/>
            </w:tcBorders>
            <w:shd w:val="clear" w:color="auto" w:fill="auto"/>
            <w:vAlign w:val="bottom"/>
            <w:hideMark/>
          </w:tcPr>
          <w:p w14:paraId="549AA40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Follow-Up Time, Weeks Median (IQR)</w:t>
            </w:r>
          </w:p>
        </w:tc>
        <w:tc>
          <w:tcPr>
            <w:tcW w:w="987" w:type="dxa"/>
            <w:tcBorders>
              <w:top w:val="nil"/>
              <w:left w:val="nil"/>
              <w:bottom w:val="nil"/>
              <w:right w:val="nil"/>
            </w:tcBorders>
            <w:shd w:val="clear" w:color="auto" w:fill="auto"/>
            <w:noWrap/>
            <w:vAlign w:val="bottom"/>
            <w:hideMark/>
          </w:tcPr>
          <w:p w14:paraId="4B94472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Died: N(%)</w:t>
            </w:r>
          </w:p>
        </w:tc>
        <w:tc>
          <w:tcPr>
            <w:tcW w:w="1717" w:type="dxa"/>
            <w:tcBorders>
              <w:top w:val="nil"/>
              <w:left w:val="nil"/>
              <w:bottom w:val="nil"/>
              <w:right w:val="nil"/>
            </w:tcBorders>
            <w:shd w:val="clear" w:color="auto" w:fill="auto"/>
            <w:vAlign w:val="bottom"/>
            <w:hideMark/>
          </w:tcPr>
          <w:p w14:paraId="127AD1D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08" w:type="dxa"/>
            <w:tcBorders>
              <w:top w:val="nil"/>
              <w:left w:val="nil"/>
              <w:bottom w:val="nil"/>
              <w:right w:val="nil"/>
            </w:tcBorders>
            <w:shd w:val="clear" w:color="auto" w:fill="auto"/>
            <w:vAlign w:val="bottom"/>
            <w:hideMark/>
          </w:tcPr>
          <w:p w14:paraId="0CD0750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c>
          <w:tcPr>
            <w:tcW w:w="414" w:type="dxa"/>
            <w:tcBorders>
              <w:top w:val="nil"/>
              <w:left w:val="nil"/>
              <w:bottom w:val="nil"/>
              <w:right w:val="nil"/>
            </w:tcBorders>
            <w:shd w:val="clear" w:color="auto" w:fill="auto"/>
            <w:vAlign w:val="bottom"/>
            <w:hideMark/>
          </w:tcPr>
          <w:p w14:paraId="342569A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vAlign w:val="bottom"/>
            <w:hideMark/>
          </w:tcPr>
          <w:p w14:paraId="1A53E22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Died: N(%)</w:t>
            </w:r>
          </w:p>
        </w:tc>
        <w:tc>
          <w:tcPr>
            <w:tcW w:w="1841" w:type="dxa"/>
            <w:gridSpan w:val="2"/>
            <w:tcBorders>
              <w:top w:val="nil"/>
              <w:left w:val="nil"/>
              <w:bottom w:val="nil"/>
              <w:right w:val="nil"/>
            </w:tcBorders>
            <w:shd w:val="clear" w:color="auto" w:fill="auto"/>
            <w:vAlign w:val="bottom"/>
            <w:hideMark/>
          </w:tcPr>
          <w:p w14:paraId="1F18810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10" w:type="dxa"/>
            <w:gridSpan w:val="2"/>
            <w:tcBorders>
              <w:top w:val="nil"/>
              <w:left w:val="nil"/>
              <w:bottom w:val="nil"/>
              <w:right w:val="nil"/>
            </w:tcBorders>
            <w:shd w:val="clear" w:color="auto" w:fill="auto"/>
            <w:noWrap/>
            <w:vAlign w:val="bottom"/>
            <w:hideMark/>
          </w:tcPr>
          <w:p w14:paraId="0A1B01F3"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r>
      <w:tr w:rsidR="001B7D46" w:rsidRPr="001B7D46" w14:paraId="15C482A4"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66E0B185"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Full Sample</w:t>
            </w:r>
          </w:p>
        </w:tc>
        <w:tc>
          <w:tcPr>
            <w:tcW w:w="1243" w:type="dxa"/>
            <w:tcBorders>
              <w:top w:val="nil"/>
              <w:left w:val="nil"/>
              <w:bottom w:val="single" w:sz="4" w:space="0" w:color="auto"/>
              <w:right w:val="nil"/>
            </w:tcBorders>
            <w:shd w:val="clear" w:color="auto" w:fill="auto"/>
            <w:noWrap/>
            <w:vAlign w:val="bottom"/>
            <w:hideMark/>
          </w:tcPr>
          <w:p w14:paraId="550735D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0A8B8D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3C7099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75C87DC9"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278E793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1FCDDE5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7D6BC5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44052E0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6EDEE0E7" w14:textId="77777777" w:rsidTr="00B709BA">
        <w:trPr>
          <w:trHeight w:val="20"/>
        </w:trPr>
        <w:tc>
          <w:tcPr>
            <w:tcW w:w="2317" w:type="dxa"/>
            <w:tcBorders>
              <w:top w:val="nil"/>
              <w:left w:val="nil"/>
              <w:bottom w:val="nil"/>
              <w:right w:val="nil"/>
            </w:tcBorders>
            <w:shd w:val="clear" w:color="auto" w:fill="auto"/>
            <w:noWrap/>
            <w:vAlign w:val="bottom"/>
            <w:hideMark/>
          </w:tcPr>
          <w:p w14:paraId="2ED47FD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2939C9D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291 (156 - 504)</w:t>
            </w:r>
          </w:p>
        </w:tc>
        <w:tc>
          <w:tcPr>
            <w:tcW w:w="987" w:type="dxa"/>
            <w:tcBorders>
              <w:top w:val="nil"/>
              <w:left w:val="nil"/>
              <w:bottom w:val="nil"/>
              <w:right w:val="nil"/>
            </w:tcBorders>
            <w:shd w:val="clear" w:color="auto" w:fill="auto"/>
            <w:noWrap/>
            <w:vAlign w:val="bottom"/>
            <w:hideMark/>
          </w:tcPr>
          <w:p w14:paraId="2900989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8909 (23.6)</w:t>
            </w:r>
          </w:p>
        </w:tc>
        <w:tc>
          <w:tcPr>
            <w:tcW w:w="1717" w:type="dxa"/>
            <w:tcBorders>
              <w:top w:val="nil"/>
              <w:left w:val="nil"/>
              <w:bottom w:val="nil"/>
              <w:right w:val="nil"/>
            </w:tcBorders>
            <w:shd w:val="clear" w:color="auto" w:fill="auto"/>
            <w:noWrap/>
            <w:vAlign w:val="bottom"/>
            <w:hideMark/>
          </w:tcPr>
          <w:p w14:paraId="16EBADA2"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0.752 (0.694 - 0.815)</w:t>
            </w:r>
          </w:p>
        </w:tc>
        <w:tc>
          <w:tcPr>
            <w:tcW w:w="1708" w:type="dxa"/>
            <w:tcBorders>
              <w:top w:val="nil"/>
              <w:left w:val="nil"/>
              <w:bottom w:val="nil"/>
              <w:right w:val="nil"/>
            </w:tcBorders>
            <w:shd w:val="clear" w:color="auto" w:fill="auto"/>
            <w:noWrap/>
            <w:vAlign w:val="bottom"/>
            <w:hideMark/>
          </w:tcPr>
          <w:p w14:paraId="6A70D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1.158 (1.063 - 1.261)</w:t>
            </w:r>
          </w:p>
        </w:tc>
        <w:tc>
          <w:tcPr>
            <w:tcW w:w="414" w:type="dxa"/>
            <w:tcBorders>
              <w:top w:val="nil"/>
              <w:left w:val="nil"/>
              <w:bottom w:val="nil"/>
              <w:right w:val="nil"/>
            </w:tcBorders>
            <w:shd w:val="clear" w:color="auto" w:fill="auto"/>
            <w:noWrap/>
            <w:vAlign w:val="bottom"/>
            <w:hideMark/>
          </w:tcPr>
          <w:p w14:paraId="05FD88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6A690024" w14:textId="4A977063"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3045 (8.7)</w:t>
            </w:r>
          </w:p>
        </w:tc>
        <w:tc>
          <w:tcPr>
            <w:tcW w:w="1841" w:type="dxa"/>
            <w:gridSpan w:val="2"/>
            <w:tcBorders>
              <w:top w:val="nil"/>
              <w:left w:val="nil"/>
              <w:bottom w:val="nil"/>
              <w:right w:val="nil"/>
            </w:tcBorders>
            <w:shd w:val="clear" w:color="auto" w:fill="auto"/>
            <w:noWrap/>
            <w:vAlign w:val="bottom"/>
            <w:hideMark/>
          </w:tcPr>
          <w:p w14:paraId="593746C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0.766 (0.674 - 0.870)</w:t>
            </w:r>
          </w:p>
        </w:tc>
        <w:tc>
          <w:tcPr>
            <w:tcW w:w="1710" w:type="dxa"/>
            <w:gridSpan w:val="2"/>
            <w:tcBorders>
              <w:top w:val="nil"/>
              <w:left w:val="nil"/>
              <w:bottom w:val="nil"/>
              <w:right w:val="nil"/>
            </w:tcBorders>
            <w:shd w:val="clear" w:color="auto" w:fill="auto"/>
            <w:noWrap/>
            <w:vAlign w:val="bottom"/>
            <w:hideMark/>
          </w:tcPr>
          <w:p w14:paraId="38A361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1.228 (1.076 - 1.402)</w:t>
            </w:r>
          </w:p>
        </w:tc>
      </w:tr>
      <w:tr w:rsidR="00B709BA" w:rsidRPr="001B7D46" w14:paraId="0B60F907" w14:textId="77777777" w:rsidTr="00B709BA">
        <w:trPr>
          <w:trHeight w:val="20"/>
        </w:trPr>
        <w:tc>
          <w:tcPr>
            <w:tcW w:w="2317" w:type="dxa"/>
            <w:tcBorders>
              <w:top w:val="nil"/>
              <w:left w:val="nil"/>
              <w:bottom w:val="nil"/>
              <w:right w:val="nil"/>
            </w:tcBorders>
            <w:shd w:val="clear" w:color="auto" w:fill="auto"/>
            <w:vAlign w:val="bottom"/>
            <w:hideMark/>
          </w:tcPr>
          <w:p w14:paraId="7766F37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3978F5F"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 (160 - 534)</w:t>
            </w:r>
          </w:p>
        </w:tc>
        <w:tc>
          <w:tcPr>
            <w:tcW w:w="987" w:type="dxa"/>
            <w:tcBorders>
              <w:top w:val="nil"/>
              <w:left w:val="nil"/>
              <w:bottom w:val="nil"/>
              <w:right w:val="nil"/>
            </w:tcBorders>
            <w:shd w:val="clear" w:color="auto" w:fill="auto"/>
            <w:noWrap/>
            <w:vAlign w:val="bottom"/>
            <w:hideMark/>
          </w:tcPr>
          <w:p w14:paraId="286419B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16345 (27.8)</w:t>
            </w:r>
          </w:p>
        </w:tc>
        <w:tc>
          <w:tcPr>
            <w:tcW w:w="1717" w:type="dxa"/>
            <w:tcBorders>
              <w:top w:val="nil"/>
              <w:left w:val="nil"/>
              <w:bottom w:val="nil"/>
              <w:right w:val="nil"/>
            </w:tcBorders>
            <w:shd w:val="clear" w:color="auto" w:fill="auto"/>
            <w:noWrap/>
            <w:vAlign w:val="bottom"/>
            <w:hideMark/>
          </w:tcPr>
          <w:p w14:paraId="233A37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0.702 (0.658 - 0.750)</w:t>
            </w:r>
          </w:p>
        </w:tc>
        <w:tc>
          <w:tcPr>
            <w:tcW w:w="1708" w:type="dxa"/>
            <w:tcBorders>
              <w:top w:val="nil"/>
              <w:left w:val="nil"/>
              <w:bottom w:val="nil"/>
              <w:right w:val="nil"/>
            </w:tcBorders>
            <w:shd w:val="clear" w:color="auto" w:fill="auto"/>
            <w:noWrap/>
            <w:vAlign w:val="bottom"/>
            <w:hideMark/>
          </w:tcPr>
          <w:p w14:paraId="0B6382B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1.147 (1.072 - 1.228)</w:t>
            </w:r>
          </w:p>
        </w:tc>
        <w:tc>
          <w:tcPr>
            <w:tcW w:w="414" w:type="dxa"/>
            <w:tcBorders>
              <w:top w:val="nil"/>
              <w:left w:val="nil"/>
              <w:bottom w:val="nil"/>
              <w:right w:val="nil"/>
            </w:tcBorders>
            <w:shd w:val="clear" w:color="auto" w:fill="auto"/>
            <w:noWrap/>
            <w:vAlign w:val="bottom"/>
            <w:hideMark/>
          </w:tcPr>
          <w:p w14:paraId="039A069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6FA8D9E" w14:textId="78BB757F"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4845 (9.1)</w:t>
            </w:r>
          </w:p>
        </w:tc>
        <w:tc>
          <w:tcPr>
            <w:tcW w:w="1841" w:type="dxa"/>
            <w:gridSpan w:val="2"/>
            <w:tcBorders>
              <w:top w:val="nil"/>
              <w:left w:val="nil"/>
              <w:bottom w:val="nil"/>
              <w:right w:val="nil"/>
            </w:tcBorders>
            <w:shd w:val="clear" w:color="auto" w:fill="auto"/>
            <w:noWrap/>
            <w:vAlign w:val="bottom"/>
            <w:hideMark/>
          </w:tcPr>
          <w:p w14:paraId="1517AEE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0.618 (0.548 - 0.696)</w:t>
            </w:r>
          </w:p>
        </w:tc>
        <w:tc>
          <w:tcPr>
            <w:tcW w:w="1710" w:type="dxa"/>
            <w:gridSpan w:val="2"/>
            <w:tcBorders>
              <w:top w:val="nil"/>
              <w:left w:val="nil"/>
              <w:bottom w:val="nil"/>
              <w:right w:val="nil"/>
            </w:tcBorders>
            <w:shd w:val="clear" w:color="auto" w:fill="auto"/>
            <w:noWrap/>
            <w:vAlign w:val="bottom"/>
            <w:hideMark/>
          </w:tcPr>
          <w:p w14:paraId="489EB3B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1.119 (0.989 - 1.267)</w:t>
            </w:r>
          </w:p>
        </w:tc>
      </w:tr>
      <w:tr w:rsidR="00B709BA" w:rsidRPr="001B7D46" w14:paraId="2C9B8AEE" w14:textId="77777777" w:rsidTr="00B709BA">
        <w:trPr>
          <w:trHeight w:val="20"/>
        </w:trPr>
        <w:tc>
          <w:tcPr>
            <w:tcW w:w="2317" w:type="dxa"/>
            <w:tcBorders>
              <w:top w:val="nil"/>
              <w:left w:val="nil"/>
              <w:bottom w:val="nil"/>
              <w:right w:val="nil"/>
            </w:tcBorders>
            <w:shd w:val="clear" w:color="auto" w:fill="auto"/>
            <w:vAlign w:val="bottom"/>
            <w:hideMark/>
          </w:tcPr>
          <w:p w14:paraId="223E45F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A0E754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322 (169 - 552)</w:t>
            </w:r>
          </w:p>
        </w:tc>
        <w:tc>
          <w:tcPr>
            <w:tcW w:w="987" w:type="dxa"/>
            <w:tcBorders>
              <w:top w:val="nil"/>
              <w:left w:val="nil"/>
              <w:bottom w:val="nil"/>
              <w:right w:val="nil"/>
            </w:tcBorders>
            <w:shd w:val="clear" w:color="auto" w:fill="auto"/>
            <w:noWrap/>
            <w:vAlign w:val="bottom"/>
            <w:hideMark/>
          </w:tcPr>
          <w:p w14:paraId="27B55A17"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28755 (19.5)</w:t>
            </w:r>
          </w:p>
        </w:tc>
        <w:tc>
          <w:tcPr>
            <w:tcW w:w="1717" w:type="dxa"/>
            <w:tcBorders>
              <w:top w:val="nil"/>
              <w:left w:val="nil"/>
              <w:bottom w:val="nil"/>
              <w:right w:val="nil"/>
            </w:tcBorders>
            <w:shd w:val="clear" w:color="auto" w:fill="auto"/>
            <w:noWrap/>
            <w:vAlign w:val="bottom"/>
            <w:hideMark/>
          </w:tcPr>
          <w:p w14:paraId="734DFA8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0.771 (0.732 - 0.813)</w:t>
            </w:r>
          </w:p>
        </w:tc>
        <w:tc>
          <w:tcPr>
            <w:tcW w:w="1708" w:type="dxa"/>
            <w:tcBorders>
              <w:top w:val="nil"/>
              <w:left w:val="nil"/>
              <w:bottom w:val="nil"/>
              <w:right w:val="nil"/>
            </w:tcBorders>
            <w:shd w:val="clear" w:color="auto" w:fill="auto"/>
            <w:noWrap/>
            <w:vAlign w:val="bottom"/>
            <w:hideMark/>
          </w:tcPr>
          <w:p w14:paraId="1190BC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1.229 (1.162 - 1.300)</w:t>
            </w:r>
          </w:p>
        </w:tc>
        <w:tc>
          <w:tcPr>
            <w:tcW w:w="414" w:type="dxa"/>
            <w:tcBorders>
              <w:top w:val="nil"/>
              <w:left w:val="nil"/>
              <w:bottom w:val="nil"/>
              <w:right w:val="nil"/>
            </w:tcBorders>
            <w:shd w:val="clear" w:color="auto" w:fill="auto"/>
            <w:noWrap/>
            <w:vAlign w:val="bottom"/>
            <w:hideMark/>
          </w:tcPr>
          <w:p w14:paraId="788FC79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3EE7C883" w14:textId="3A520CA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10321 (7.4)</w:t>
            </w:r>
          </w:p>
        </w:tc>
        <w:tc>
          <w:tcPr>
            <w:tcW w:w="1841" w:type="dxa"/>
            <w:gridSpan w:val="2"/>
            <w:tcBorders>
              <w:top w:val="nil"/>
              <w:left w:val="nil"/>
              <w:bottom w:val="nil"/>
              <w:right w:val="nil"/>
            </w:tcBorders>
            <w:shd w:val="clear" w:color="auto" w:fill="auto"/>
            <w:noWrap/>
            <w:vAlign w:val="bottom"/>
            <w:hideMark/>
          </w:tcPr>
          <w:p w14:paraId="5D04245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0.728 (0.669 - 0.792)</w:t>
            </w:r>
          </w:p>
        </w:tc>
        <w:tc>
          <w:tcPr>
            <w:tcW w:w="1710" w:type="dxa"/>
            <w:gridSpan w:val="2"/>
            <w:tcBorders>
              <w:top w:val="nil"/>
              <w:left w:val="nil"/>
              <w:bottom w:val="nil"/>
              <w:right w:val="nil"/>
            </w:tcBorders>
            <w:shd w:val="clear" w:color="auto" w:fill="auto"/>
            <w:noWrap/>
            <w:vAlign w:val="bottom"/>
            <w:hideMark/>
          </w:tcPr>
          <w:p w14:paraId="02F2831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1.300 (1.183 - 1.421)</w:t>
            </w:r>
          </w:p>
        </w:tc>
      </w:tr>
      <w:tr w:rsidR="00B709BA" w:rsidRPr="001B7D46" w14:paraId="5D86F61A" w14:textId="77777777" w:rsidTr="00B709BA">
        <w:trPr>
          <w:trHeight w:val="20"/>
        </w:trPr>
        <w:tc>
          <w:tcPr>
            <w:tcW w:w="2317" w:type="dxa"/>
            <w:tcBorders>
              <w:top w:val="nil"/>
              <w:left w:val="nil"/>
              <w:bottom w:val="nil"/>
              <w:right w:val="nil"/>
            </w:tcBorders>
            <w:shd w:val="clear" w:color="auto" w:fill="auto"/>
            <w:vAlign w:val="bottom"/>
            <w:hideMark/>
          </w:tcPr>
          <w:p w14:paraId="662D9F2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7F40ACEE"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6F3725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193DC5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107930B4"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44E323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16E97D77"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167F000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13085B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1B7D46" w:rsidRPr="001B7D46" w14:paraId="25E5023E"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1D9C32DE"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2000-2010 Waves</w:t>
            </w:r>
          </w:p>
        </w:tc>
        <w:tc>
          <w:tcPr>
            <w:tcW w:w="1243" w:type="dxa"/>
            <w:tcBorders>
              <w:top w:val="nil"/>
              <w:left w:val="nil"/>
              <w:bottom w:val="single" w:sz="4" w:space="0" w:color="auto"/>
              <w:right w:val="nil"/>
            </w:tcBorders>
            <w:shd w:val="clear" w:color="auto" w:fill="auto"/>
            <w:noWrap/>
            <w:vAlign w:val="bottom"/>
            <w:hideMark/>
          </w:tcPr>
          <w:p w14:paraId="0C5825F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2CB490B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2620106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3722E09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500DF2A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422260D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BEAA54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33D24D1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FB054D7" w14:textId="77777777" w:rsidTr="00B709BA">
        <w:trPr>
          <w:trHeight w:val="20"/>
        </w:trPr>
        <w:tc>
          <w:tcPr>
            <w:tcW w:w="2317" w:type="dxa"/>
            <w:tcBorders>
              <w:top w:val="nil"/>
              <w:left w:val="nil"/>
              <w:bottom w:val="nil"/>
              <w:right w:val="nil"/>
            </w:tcBorders>
            <w:shd w:val="clear" w:color="auto" w:fill="auto"/>
            <w:noWrap/>
            <w:vAlign w:val="bottom"/>
            <w:hideMark/>
          </w:tcPr>
          <w:p w14:paraId="5D93BA8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768654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465 (360 - 652)</w:t>
            </w:r>
          </w:p>
        </w:tc>
        <w:tc>
          <w:tcPr>
            <w:tcW w:w="987" w:type="dxa"/>
            <w:tcBorders>
              <w:top w:val="nil"/>
              <w:left w:val="nil"/>
              <w:bottom w:val="nil"/>
              <w:right w:val="nil"/>
            </w:tcBorders>
            <w:shd w:val="clear" w:color="auto" w:fill="auto"/>
            <w:noWrap/>
            <w:vAlign w:val="bottom"/>
            <w:hideMark/>
          </w:tcPr>
          <w:p w14:paraId="4B02152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7379 (34.1)</w:t>
            </w:r>
          </w:p>
        </w:tc>
        <w:tc>
          <w:tcPr>
            <w:tcW w:w="1717" w:type="dxa"/>
            <w:tcBorders>
              <w:top w:val="nil"/>
              <w:left w:val="nil"/>
              <w:bottom w:val="nil"/>
              <w:right w:val="nil"/>
            </w:tcBorders>
            <w:shd w:val="clear" w:color="auto" w:fill="auto"/>
            <w:noWrap/>
            <w:vAlign w:val="bottom"/>
            <w:hideMark/>
          </w:tcPr>
          <w:p w14:paraId="29F27A7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0.799 (0.731 - 0.875)</w:t>
            </w:r>
          </w:p>
        </w:tc>
        <w:tc>
          <w:tcPr>
            <w:tcW w:w="1708" w:type="dxa"/>
            <w:tcBorders>
              <w:top w:val="nil"/>
              <w:left w:val="nil"/>
              <w:bottom w:val="nil"/>
              <w:right w:val="nil"/>
            </w:tcBorders>
            <w:shd w:val="clear" w:color="auto" w:fill="auto"/>
            <w:noWrap/>
            <w:vAlign w:val="bottom"/>
            <w:hideMark/>
          </w:tcPr>
          <w:p w14:paraId="5652213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1.220 (1.109 - 1.343)</w:t>
            </w:r>
          </w:p>
        </w:tc>
        <w:tc>
          <w:tcPr>
            <w:tcW w:w="414" w:type="dxa"/>
            <w:tcBorders>
              <w:top w:val="nil"/>
              <w:left w:val="nil"/>
              <w:bottom w:val="nil"/>
              <w:right w:val="nil"/>
            </w:tcBorders>
            <w:shd w:val="clear" w:color="auto" w:fill="auto"/>
            <w:noWrap/>
            <w:vAlign w:val="bottom"/>
            <w:hideMark/>
          </w:tcPr>
          <w:p w14:paraId="27D22FD3"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581857F"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2563 (13.0)</w:t>
            </w:r>
          </w:p>
        </w:tc>
        <w:tc>
          <w:tcPr>
            <w:tcW w:w="1841" w:type="dxa"/>
            <w:gridSpan w:val="2"/>
            <w:tcBorders>
              <w:top w:val="nil"/>
              <w:left w:val="nil"/>
              <w:bottom w:val="nil"/>
              <w:right w:val="nil"/>
            </w:tcBorders>
            <w:shd w:val="clear" w:color="auto" w:fill="auto"/>
            <w:noWrap/>
            <w:vAlign w:val="bottom"/>
            <w:hideMark/>
          </w:tcPr>
          <w:p w14:paraId="14EB3CC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0.809 (0.700 - 0.934)</w:t>
            </w:r>
          </w:p>
        </w:tc>
        <w:tc>
          <w:tcPr>
            <w:tcW w:w="1710" w:type="dxa"/>
            <w:gridSpan w:val="2"/>
            <w:tcBorders>
              <w:top w:val="nil"/>
              <w:left w:val="nil"/>
              <w:bottom w:val="nil"/>
              <w:right w:val="nil"/>
            </w:tcBorders>
            <w:shd w:val="clear" w:color="auto" w:fill="auto"/>
            <w:noWrap/>
            <w:vAlign w:val="bottom"/>
            <w:hideMark/>
          </w:tcPr>
          <w:p w14:paraId="1F88018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1.288 (1.111 - 1.496)</w:t>
            </w:r>
          </w:p>
        </w:tc>
      </w:tr>
      <w:tr w:rsidR="00B709BA" w:rsidRPr="001B7D46" w14:paraId="669F3127" w14:textId="77777777" w:rsidTr="00B709BA">
        <w:trPr>
          <w:trHeight w:val="20"/>
        </w:trPr>
        <w:tc>
          <w:tcPr>
            <w:tcW w:w="2317" w:type="dxa"/>
            <w:tcBorders>
              <w:top w:val="nil"/>
              <w:left w:val="nil"/>
              <w:bottom w:val="nil"/>
              <w:right w:val="nil"/>
            </w:tcBorders>
            <w:shd w:val="clear" w:color="auto" w:fill="auto"/>
            <w:vAlign w:val="bottom"/>
            <w:hideMark/>
          </w:tcPr>
          <w:p w14:paraId="6AB3950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0669B82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474 (330 - 630)</w:t>
            </w:r>
          </w:p>
        </w:tc>
        <w:tc>
          <w:tcPr>
            <w:tcW w:w="987" w:type="dxa"/>
            <w:tcBorders>
              <w:top w:val="nil"/>
              <w:left w:val="nil"/>
              <w:bottom w:val="nil"/>
              <w:right w:val="nil"/>
            </w:tcBorders>
            <w:shd w:val="clear" w:color="auto" w:fill="auto"/>
            <w:noWrap/>
            <w:vAlign w:val="bottom"/>
            <w:hideMark/>
          </w:tcPr>
          <w:p w14:paraId="20C9FB32"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13771 (37.4)</w:t>
            </w:r>
          </w:p>
        </w:tc>
        <w:tc>
          <w:tcPr>
            <w:tcW w:w="1717" w:type="dxa"/>
            <w:tcBorders>
              <w:top w:val="nil"/>
              <w:left w:val="nil"/>
              <w:bottom w:val="nil"/>
              <w:right w:val="nil"/>
            </w:tcBorders>
            <w:shd w:val="clear" w:color="auto" w:fill="auto"/>
            <w:noWrap/>
            <w:vAlign w:val="bottom"/>
            <w:hideMark/>
          </w:tcPr>
          <w:p w14:paraId="7FB676E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0.734 (0.685 - 0.786)</w:t>
            </w:r>
          </w:p>
        </w:tc>
        <w:tc>
          <w:tcPr>
            <w:tcW w:w="1708" w:type="dxa"/>
            <w:tcBorders>
              <w:top w:val="nil"/>
              <w:left w:val="nil"/>
              <w:bottom w:val="nil"/>
              <w:right w:val="nil"/>
            </w:tcBorders>
            <w:shd w:val="clear" w:color="auto" w:fill="auto"/>
            <w:noWrap/>
            <w:vAlign w:val="bottom"/>
            <w:hideMark/>
          </w:tcPr>
          <w:p w14:paraId="15FBFED8"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1.180 (1.095 - 1.271)</w:t>
            </w:r>
          </w:p>
        </w:tc>
        <w:tc>
          <w:tcPr>
            <w:tcW w:w="414" w:type="dxa"/>
            <w:tcBorders>
              <w:top w:val="nil"/>
              <w:left w:val="nil"/>
              <w:bottom w:val="nil"/>
              <w:right w:val="nil"/>
            </w:tcBorders>
            <w:shd w:val="clear" w:color="auto" w:fill="auto"/>
            <w:noWrap/>
            <w:vAlign w:val="bottom"/>
            <w:hideMark/>
          </w:tcPr>
          <w:p w14:paraId="7F6C5B3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AF52AE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4282 (12.9)</w:t>
            </w:r>
          </w:p>
        </w:tc>
        <w:tc>
          <w:tcPr>
            <w:tcW w:w="1841" w:type="dxa"/>
            <w:gridSpan w:val="2"/>
            <w:tcBorders>
              <w:top w:val="nil"/>
              <w:left w:val="nil"/>
              <w:bottom w:val="nil"/>
              <w:right w:val="nil"/>
            </w:tcBorders>
            <w:shd w:val="clear" w:color="auto" w:fill="auto"/>
            <w:noWrap/>
            <w:vAlign w:val="bottom"/>
            <w:hideMark/>
          </w:tcPr>
          <w:p w14:paraId="2A7B7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0.659 (0.582 - 0.747)</w:t>
            </w:r>
          </w:p>
        </w:tc>
        <w:tc>
          <w:tcPr>
            <w:tcW w:w="1710" w:type="dxa"/>
            <w:gridSpan w:val="2"/>
            <w:tcBorders>
              <w:top w:val="nil"/>
              <w:left w:val="nil"/>
              <w:bottom w:val="nil"/>
              <w:right w:val="nil"/>
            </w:tcBorders>
            <w:shd w:val="clear" w:color="auto" w:fill="auto"/>
            <w:noWrap/>
            <w:vAlign w:val="bottom"/>
            <w:hideMark/>
          </w:tcPr>
          <w:p w14:paraId="5D998C1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1.170 (1.025 - 1.335)</w:t>
            </w:r>
          </w:p>
        </w:tc>
      </w:tr>
      <w:tr w:rsidR="00B709BA" w:rsidRPr="001B7D46" w14:paraId="4AAA75E8" w14:textId="77777777" w:rsidTr="00B709BA">
        <w:trPr>
          <w:trHeight w:val="20"/>
        </w:trPr>
        <w:tc>
          <w:tcPr>
            <w:tcW w:w="2317" w:type="dxa"/>
            <w:tcBorders>
              <w:top w:val="nil"/>
              <w:left w:val="nil"/>
              <w:bottom w:val="nil"/>
              <w:right w:val="nil"/>
            </w:tcBorders>
            <w:shd w:val="clear" w:color="auto" w:fill="auto"/>
            <w:vAlign w:val="bottom"/>
            <w:hideMark/>
          </w:tcPr>
          <w:p w14:paraId="042DA23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65B5449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508 (360 - 652)</w:t>
            </w:r>
          </w:p>
        </w:tc>
        <w:tc>
          <w:tcPr>
            <w:tcW w:w="987" w:type="dxa"/>
            <w:tcBorders>
              <w:top w:val="nil"/>
              <w:left w:val="nil"/>
              <w:bottom w:val="nil"/>
              <w:right w:val="nil"/>
            </w:tcBorders>
            <w:shd w:val="clear" w:color="auto" w:fill="auto"/>
            <w:noWrap/>
            <w:vAlign w:val="bottom"/>
            <w:hideMark/>
          </w:tcPr>
          <w:p w14:paraId="7616280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24440 (27.1)</w:t>
            </w:r>
          </w:p>
        </w:tc>
        <w:tc>
          <w:tcPr>
            <w:tcW w:w="1717" w:type="dxa"/>
            <w:tcBorders>
              <w:top w:val="nil"/>
              <w:left w:val="nil"/>
              <w:bottom w:val="nil"/>
              <w:right w:val="nil"/>
            </w:tcBorders>
            <w:shd w:val="clear" w:color="auto" w:fill="auto"/>
            <w:noWrap/>
            <w:vAlign w:val="bottom"/>
            <w:hideMark/>
          </w:tcPr>
          <w:p w14:paraId="4B0B85F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0.805 (0.760 - 0.852)</w:t>
            </w:r>
          </w:p>
        </w:tc>
        <w:tc>
          <w:tcPr>
            <w:tcW w:w="1708" w:type="dxa"/>
            <w:tcBorders>
              <w:top w:val="nil"/>
              <w:left w:val="nil"/>
              <w:bottom w:val="nil"/>
              <w:right w:val="nil"/>
            </w:tcBorders>
            <w:shd w:val="clear" w:color="auto" w:fill="auto"/>
            <w:noWrap/>
            <w:vAlign w:val="bottom"/>
            <w:hideMark/>
          </w:tcPr>
          <w:p w14:paraId="141E34E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1.264 (1.188 - 1.344)</w:t>
            </w:r>
          </w:p>
        </w:tc>
        <w:tc>
          <w:tcPr>
            <w:tcW w:w="414" w:type="dxa"/>
            <w:tcBorders>
              <w:top w:val="nil"/>
              <w:left w:val="nil"/>
              <w:bottom w:val="nil"/>
              <w:right w:val="nil"/>
            </w:tcBorders>
            <w:shd w:val="clear" w:color="auto" w:fill="auto"/>
            <w:noWrap/>
            <w:vAlign w:val="bottom"/>
            <w:hideMark/>
          </w:tcPr>
          <w:p w14:paraId="65E0979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425ABD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9023 (10.7)</w:t>
            </w:r>
          </w:p>
        </w:tc>
        <w:tc>
          <w:tcPr>
            <w:tcW w:w="1841" w:type="dxa"/>
            <w:gridSpan w:val="2"/>
            <w:tcBorders>
              <w:top w:val="nil"/>
              <w:left w:val="nil"/>
              <w:bottom w:val="nil"/>
              <w:right w:val="nil"/>
            </w:tcBorders>
            <w:shd w:val="clear" w:color="auto" w:fill="auto"/>
            <w:noWrap/>
            <w:vAlign w:val="bottom"/>
            <w:hideMark/>
          </w:tcPr>
          <w:p w14:paraId="643D50D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0.758 (0.691 - 0.833)</w:t>
            </w:r>
          </w:p>
        </w:tc>
        <w:tc>
          <w:tcPr>
            <w:tcW w:w="1710" w:type="dxa"/>
            <w:gridSpan w:val="2"/>
            <w:tcBorders>
              <w:top w:val="nil"/>
              <w:left w:val="nil"/>
              <w:bottom w:val="nil"/>
              <w:right w:val="nil"/>
            </w:tcBorders>
            <w:shd w:val="clear" w:color="auto" w:fill="auto"/>
            <w:noWrap/>
            <w:vAlign w:val="bottom"/>
            <w:hideMark/>
          </w:tcPr>
          <w:p w14:paraId="1F52E86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1.322 (1.194 - 1.464)</w:t>
            </w:r>
          </w:p>
        </w:tc>
      </w:tr>
      <w:tr w:rsidR="00B709BA" w:rsidRPr="001B7D46" w14:paraId="2BE59A1A" w14:textId="77777777" w:rsidTr="00B709BA">
        <w:trPr>
          <w:trHeight w:val="20"/>
        </w:trPr>
        <w:tc>
          <w:tcPr>
            <w:tcW w:w="2317" w:type="dxa"/>
            <w:tcBorders>
              <w:top w:val="nil"/>
              <w:left w:val="nil"/>
              <w:bottom w:val="nil"/>
              <w:right w:val="nil"/>
            </w:tcBorders>
            <w:shd w:val="clear" w:color="auto" w:fill="auto"/>
            <w:vAlign w:val="bottom"/>
            <w:hideMark/>
          </w:tcPr>
          <w:p w14:paraId="087A31D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52D7599A"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2A9547E2"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BF361E6"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02FF8242"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F34DF51"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4A67E8E4"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0F5E41B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E0C60AD"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B709BA" w:rsidRPr="001B7D46" w14:paraId="69DB4FFD"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22559557"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2011 - 2014 Waves</w:t>
            </w:r>
          </w:p>
        </w:tc>
        <w:tc>
          <w:tcPr>
            <w:tcW w:w="1243" w:type="dxa"/>
            <w:tcBorders>
              <w:top w:val="nil"/>
              <w:left w:val="nil"/>
              <w:bottom w:val="single" w:sz="4" w:space="0" w:color="auto"/>
              <w:right w:val="nil"/>
            </w:tcBorders>
            <w:shd w:val="clear" w:color="auto" w:fill="auto"/>
            <w:noWrap/>
            <w:vAlign w:val="bottom"/>
            <w:hideMark/>
          </w:tcPr>
          <w:p w14:paraId="484EDF6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4DE5A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154DE6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1FE49DA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nil"/>
              <w:right w:val="nil"/>
            </w:tcBorders>
            <w:shd w:val="clear" w:color="auto" w:fill="auto"/>
            <w:noWrap/>
            <w:vAlign w:val="bottom"/>
            <w:hideMark/>
          </w:tcPr>
          <w:p w14:paraId="2081357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single" w:sz="4" w:space="0" w:color="auto"/>
              <w:right w:val="nil"/>
            </w:tcBorders>
            <w:shd w:val="clear" w:color="auto" w:fill="auto"/>
            <w:noWrap/>
            <w:vAlign w:val="bottom"/>
            <w:hideMark/>
          </w:tcPr>
          <w:p w14:paraId="17EDAEC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14564B1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vAlign w:val="bottom"/>
            <w:hideMark/>
          </w:tcPr>
          <w:p w14:paraId="4D8B08B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E21C854" w14:textId="77777777" w:rsidTr="00B709BA">
        <w:trPr>
          <w:trHeight w:val="20"/>
        </w:trPr>
        <w:tc>
          <w:tcPr>
            <w:tcW w:w="2317" w:type="dxa"/>
            <w:tcBorders>
              <w:top w:val="nil"/>
              <w:left w:val="nil"/>
              <w:bottom w:val="nil"/>
              <w:right w:val="nil"/>
            </w:tcBorders>
            <w:shd w:val="clear" w:color="auto" w:fill="auto"/>
            <w:noWrap/>
            <w:vAlign w:val="bottom"/>
            <w:hideMark/>
          </w:tcPr>
          <w:p w14:paraId="1D989D7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2DE9290"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(104 - 230)</w:t>
            </w:r>
          </w:p>
        </w:tc>
        <w:tc>
          <w:tcPr>
            <w:tcW w:w="987" w:type="dxa"/>
            <w:tcBorders>
              <w:top w:val="nil"/>
              <w:left w:val="nil"/>
              <w:bottom w:val="nil"/>
              <w:right w:val="nil"/>
            </w:tcBorders>
            <w:shd w:val="clear" w:color="auto" w:fill="auto"/>
            <w:noWrap/>
            <w:vAlign w:val="bottom"/>
            <w:hideMark/>
          </w:tcPr>
          <w:p w14:paraId="2FA96319" w14:textId="6C56FC6B"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1530 (9.5)</w:t>
            </w:r>
          </w:p>
        </w:tc>
        <w:tc>
          <w:tcPr>
            <w:tcW w:w="1717" w:type="dxa"/>
            <w:tcBorders>
              <w:top w:val="nil"/>
              <w:left w:val="nil"/>
              <w:bottom w:val="nil"/>
              <w:right w:val="nil"/>
            </w:tcBorders>
            <w:shd w:val="clear" w:color="auto" w:fill="auto"/>
            <w:noWrap/>
            <w:vAlign w:val="bottom"/>
            <w:hideMark/>
          </w:tcPr>
          <w:p w14:paraId="104B863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0.681 (0.605 - 0.767)</w:t>
            </w:r>
          </w:p>
        </w:tc>
        <w:tc>
          <w:tcPr>
            <w:tcW w:w="1708" w:type="dxa"/>
            <w:tcBorders>
              <w:top w:val="nil"/>
              <w:left w:val="nil"/>
              <w:bottom w:val="nil"/>
              <w:right w:val="nil"/>
            </w:tcBorders>
            <w:shd w:val="clear" w:color="auto" w:fill="auto"/>
            <w:noWrap/>
            <w:vAlign w:val="bottom"/>
            <w:hideMark/>
          </w:tcPr>
          <w:p w14:paraId="3C678A3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0.960 (0.790 - 1.166)</w:t>
            </w:r>
          </w:p>
        </w:tc>
        <w:tc>
          <w:tcPr>
            <w:tcW w:w="414" w:type="dxa"/>
            <w:tcBorders>
              <w:top w:val="nil"/>
              <w:left w:val="nil"/>
              <w:bottom w:val="nil"/>
              <w:right w:val="nil"/>
            </w:tcBorders>
            <w:shd w:val="clear" w:color="auto" w:fill="auto"/>
            <w:noWrap/>
            <w:vAlign w:val="bottom"/>
            <w:hideMark/>
          </w:tcPr>
          <w:p w14:paraId="6B2E7BA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714BAD48" w14:textId="689F1769"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482 (3.2)</w:t>
            </w:r>
          </w:p>
        </w:tc>
        <w:tc>
          <w:tcPr>
            <w:tcW w:w="1841" w:type="dxa"/>
            <w:gridSpan w:val="2"/>
            <w:tcBorders>
              <w:top w:val="nil"/>
              <w:left w:val="nil"/>
              <w:bottom w:val="nil"/>
              <w:right w:val="nil"/>
            </w:tcBorders>
            <w:shd w:val="clear" w:color="auto" w:fill="auto"/>
            <w:noWrap/>
            <w:vAlign w:val="bottom"/>
            <w:hideMark/>
          </w:tcPr>
          <w:p w14:paraId="7F4392B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0.779 (0.639 - 0.950)</w:t>
            </w:r>
          </w:p>
        </w:tc>
        <w:tc>
          <w:tcPr>
            <w:tcW w:w="1710" w:type="dxa"/>
            <w:gridSpan w:val="2"/>
            <w:tcBorders>
              <w:top w:val="nil"/>
              <w:left w:val="nil"/>
              <w:bottom w:val="nil"/>
              <w:right w:val="nil"/>
            </w:tcBorders>
            <w:shd w:val="clear" w:color="auto" w:fill="auto"/>
            <w:noWrap/>
            <w:vAlign w:val="bottom"/>
            <w:hideMark/>
          </w:tcPr>
          <w:p w14:paraId="5E60AEE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1.055 (0.777 - 1.434)</w:t>
            </w:r>
          </w:p>
        </w:tc>
      </w:tr>
      <w:tr w:rsidR="00B709BA" w:rsidRPr="001B7D46" w14:paraId="32F1D40F" w14:textId="77777777" w:rsidTr="00B709BA">
        <w:trPr>
          <w:trHeight w:val="20"/>
        </w:trPr>
        <w:tc>
          <w:tcPr>
            <w:tcW w:w="2317" w:type="dxa"/>
            <w:tcBorders>
              <w:top w:val="nil"/>
              <w:left w:val="nil"/>
              <w:bottom w:val="nil"/>
              <w:right w:val="nil"/>
            </w:tcBorders>
            <w:shd w:val="clear" w:color="auto" w:fill="auto"/>
            <w:vAlign w:val="bottom"/>
            <w:hideMark/>
          </w:tcPr>
          <w:p w14:paraId="310F0925"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28DEA6F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161 (100 - 230)</w:t>
            </w:r>
          </w:p>
        </w:tc>
        <w:tc>
          <w:tcPr>
            <w:tcW w:w="987" w:type="dxa"/>
            <w:tcBorders>
              <w:top w:val="nil"/>
              <w:left w:val="nil"/>
              <w:bottom w:val="nil"/>
              <w:right w:val="nil"/>
            </w:tcBorders>
            <w:shd w:val="clear" w:color="auto" w:fill="auto"/>
            <w:noWrap/>
            <w:vAlign w:val="bottom"/>
            <w:hideMark/>
          </w:tcPr>
          <w:p w14:paraId="00B8E386" w14:textId="7A6E1636"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2574 (11.</w:t>
            </w:r>
            <w:r w:rsidR="00737C4C">
              <w:rPr>
                <w:rFonts w:ascii="Times New Roman" w:eastAsia="Times New Roman" w:hAnsi="Times New Roman" w:cs="Times New Roman"/>
                <w:color w:val="000000"/>
                <w:sz w:val="16"/>
                <w:szCs w:val="16"/>
              </w:rPr>
              <w:t>8</w:t>
            </w:r>
            <w:r w:rsidRPr="001B7D46">
              <w:rPr>
                <w:rFonts w:ascii="Times New Roman" w:eastAsia="Times New Roman" w:hAnsi="Times New Roman" w:cs="Times New Roman"/>
                <w:color w:val="000000"/>
                <w:sz w:val="16"/>
                <w:szCs w:val="16"/>
              </w:rPr>
              <w:t>)</w:t>
            </w:r>
          </w:p>
        </w:tc>
        <w:tc>
          <w:tcPr>
            <w:tcW w:w="1717" w:type="dxa"/>
            <w:tcBorders>
              <w:top w:val="nil"/>
              <w:left w:val="nil"/>
              <w:bottom w:val="nil"/>
              <w:right w:val="nil"/>
            </w:tcBorders>
            <w:shd w:val="clear" w:color="auto" w:fill="auto"/>
            <w:noWrap/>
            <w:vAlign w:val="bottom"/>
            <w:hideMark/>
          </w:tcPr>
          <w:p w14:paraId="4FFD343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0.620 (0.562 - 0.684)</w:t>
            </w:r>
          </w:p>
        </w:tc>
        <w:tc>
          <w:tcPr>
            <w:tcW w:w="1708" w:type="dxa"/>
            <w:tcBorders>
              <w:top w:val="nil"/>
              <w:left w:val="nil"/>
              <w:bottom w:val="nil"/>
              <w:right w:val="nil"/>
            </w:tcBorders>
            <w:shd w:val="clear" w:color="auto" w:fill="auto"/>
            <w:noWrap/>
            <w:vAlign w:val="bottom"/>
            <w:hideMark/>
          </w:tcPr>
          <w:p w14:paraId="3FC9061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1.007 (0.856 - 1.183)</w:t>
            </w:r>
          </w:p>
        </w:tc>
        <w:tc>
          <w:tcPr>
            <w:tcW w:w="414" w:type="dxa"/>
            <w:tcBorders>
              <w:top w:val="nil"/>
              <w:left w:val="nil"/>
              <w:bottom w:val="nil"/>
              <w:right w:val="nil"/>
            </w:tcBorders>
            <w:shd w:val="clear" w:color="auto" w:fill="auto"/>
            <w:noWrap/>
            <w:vAlign w:val="bottom"/>
            <w:hideMark/>
          </w:tcPr>
          <w:p w14:paraId="1DFB52B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4DA0C5FD" w14:textId="17BDD4F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563 (2.8)</w:t>
            </w:r>
          </w:p>
        </w:tc>
        <w:tc>
          <w:tcPr>
            <w:tcW w:w="1841" w:type="dxa"/>
            <w:gridSpan w:val="2"/>
            <w:tcBorders>
              <w:top w:val="nil"/>
              <w:left w:val="nil"/>
              <w:bottom w:val="nil"/>
              <w:right w:val="nil"/>
            </w:tcBorders>
            <w:shd w:val="clear" w:color="auto" w:fill="auto"/>
            <w:noWrap/>
            <w:vAlign w:val="bottom"/>
            <w:hideMark/>
          </w:tcPr>
          <w:p w14:paraId="2BD86BC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0.768 (0.633 - 0.931)</w:t>
            </w:r>
          </w:p>
        </w:tc>
        <w:tc>
          <w:tcPr>
            <w:tcW w:w="1710" w:type="dxa"/>
            <w:gridSpan w:val="2"/>
            <w:tcBorders>
              <w:top w:val="nil"/>
              <w:left w:val="nil"/>
              <w:bottom w:val="nil"/>
              <w:right w:val="nil"/>
            </w:tcBorders>
            <w:shd w:val="clear" w:color="auto" w:fill="auto"/>
            <w:noWrap/>
            <w:vAlign w:val="bottom"/>
            <w:hideMark/>
          </w:tcPr>
          <w:p w14:paraId="28AA93B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1.042 (0.747 - 1.453)</w:t>
            </w:r>
          </w:p>
        </w:tc>
      </w:tr>
      <w:tr w:rsidR="001B7D46" w:rsidRPr="001B7D46" w14:paraId="3EC90A54" w14:textId="77777777" w:rsidTr="00B709BA">
        <w:trPr>
          <w:trHeight w:val="20"/>
        </w:trPr>
        <w:tc>
          <w:tcPr>
            <w:tcW w:w="2317" w:type="dxa"/>
            <w:tcBorders>
              <w:top w:val="nil"/>
              <w:left w:val="nil"/>
              <w:bottom w:val="single" w:sz="4" w:space="0" w:color="auto"/>
              <w:right w:val="nil"/>
            </w:tcBorders>
            <w:shd w:val="clear" w:color="auto" w:fill="auto"/>
            <w:vAlign w:val="bottom"/>
            <w:hideMark/>
          </w:tcPr>
          <w:p w14:paraId="0261119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single" w:sz="4" w:space="0" w:color="auto"/>
              <w:right w:val="nil"/>
            </w:tcBorders>
            <w:shd w:val="clear" w:color="auto" w:fill="auto"/>
            <w:vAlign w:val="bottom"/>
            <w:hideMark/>
          </w:tcPr>
          <w:p w14:paraId="60ED05B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(104 - 234)</w:t>
            </w:r>
          </w:p>
        </w:tc>
        <w:tc>
          <w:tcPr>
            <w:tcW w:w="987" w:type="dxa"/>
            <w:tcBorders>
              <w:top w:val="nil"/>
              <w:left w:val="nil"/>
              <w:bottom w:val="single" w:sz="4" w:space="0" w:color="auto"/>
              <w:right w:val="nil"/>
            </w:tcBorders>
            <w:shd w:val="clear" w:color="auto" w:fill="auto"/>
            <w:noWrap/>
            <w:vAlign w:val="bottom"/>
            <w:hideMark/>
          </w:tcPr>
          <w:p w14:paraId="0001A70A" w14:textId="55B6DE2E"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4315 (7.5)</w:t>
            </w:r>
          </w:p>
        </w:tc>
        <w:tc>
          <w:tcPr>
            <w:tcW w:w="1717" w:type="dxa"/>
            <w:tcBorders>
              <w:top w:val="nil"/>
              <w:left w:val="nil"/>
              <w:bottom w:val="single" w:sz="4" w:space="0" w:color="auto"/>
              <w:right w:val="nil"/>
            </w:tcBorders>
            <w:shd w:val="clear" w:color="auto" w:fill="auto"/>
            <w:noWrap/>
            <w:vAlign w:val="bottom"/>
            <w:hideMark/>
          </w:tcPr>
          <w:p w14:paraId="5A71D56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0.695 (0.643 - 0.752)</w:t>
            </w:r>
          </w:p>
        </w:tc>
        <w:tc>
          <w:tcPr>
            <w:tcW w:w="1708" w:type="dxa"/>
            <w:tcBorders>
              <w:top w:val="nil"/>
              <w:left w:val="nil"/>
              <w:bottom w:val="single" w:sz="4" w:space="0" w:color="auto"/>
              <w:right w:val="nil"/>
            </w:tcBorders>
            <w:shd w:val="clear" w:color="auto" w:fill="auto"/>
            <w:noWrap/>
            <w:vAlign w:val="bottom"/>
            <w:hideMark/>
          </w:tcPr>
          <w:p w14:paraId="5C1538D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1.076 (0.932 - 1.241)</w:t>
            </w:r>
          </w:p>
        </w:tc>
        <w:tc>
          <w:tcPr>
            <w:tcW w:w="414" w:type="dxa"/>
            <w:tcBorders>
              <w:top w:val="nil"/>
              <w:left w:val="nil"/>
              <w:bottom w:val="single" w:sz="4" w:space="0" w:color="auto"/>
              <w:right w:val="nil"/>
            </w:tcBorders>
            <w:shd w:val="clear" w:color="auto" w:fill="auto"/>
            <w:noWrap/>
            <w:vAlign w:val="bottom"/>
            <w:hideMark/>
          </w:tcPr>
          <w:p w14:paraId="3532AF6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vAlign w:val="bottom"/>
            <w:hideMark/>
          </w:tcPr>
          <w:p w14:paraId="747FE2B3" w14:textId="72F763D5"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1298 (2.</w:t>
            </w:r>
            <w:r w:rsidR="00737C4C">
              <w:rPr>
                <w:rFonts w:ascii="Times New Roman" w:eastAsia="Times New Roman" w:hAnsi="Times New Roman" w:cs="Times New Roman"/>
                <w:color w:val="000000"/>
                <w:sz w:val="16"/>
                <w:szCs w:val="16"/>
              </w:rPr>
              <w:t>4</w:t>
            </w:r>
            <w:r w:rsidRPr="001B7D46">
              <w:rPr>
                <w:rFonts w:ascii="Times New Roman" w:eastAsia="Times New Roman" w:hAnsi="Times New Roman" w:cs="Times New Roman"/>
                <w:color w:val="000000"/>
                <w:sz w:val="16"/>
                <w:szCs w:val="16"/>
              </w:rPr>
              <w:t>)</w:t>
            </w:r>
          </w:p>
        </w:tc>
        <w:tc>
          <w:tcPr>
            <w:tcW w:w="1841" w:type="dxa"/>
            <w:gridSpan w:val="2"/>
            <w:tcBorders>
              <w:top w:val="nil"/>
              <w:left w:val="nil"/>
              <w:bottom w:val="single" w:sz="4" w:space="0" w:color="auto"/>
              <w:right w:val="nil"/>
            </w:tcBorders>
            <w:shd w:val="clear" w:color="auto" w:fill="auto"/>
            <w:noWrap/>
            <w:vAlign w:val="bottom"/>
            <w:hideMark/>
          </w:tcPr>
          <w:p w14:paraId="6928D68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0.802 (0.700 - 0.918)</w:t>
            </w:r>
          </w:p>
        </w:tc>
        <w:tc>
          <w:tcPr>
            <w:tcW w:w="1710" w:type="dxa"/>
            <w:gridSpan w:val="2"/>
            <w:tcBorders>
              <w:top w:val="nil"/>
              <w:left w:val="nil"/>
              <w:bottom w:val="single" w:sz="4" w:space="0" w:color="auto"/>
              <w:right w:val="nil"/>
            </w:tcBorders>
            <w:shd w:val="clear" w:color="auto" w:fill="auto"/>
            <w:noWrap/>
            <w:vAlign w:val="bottom"/>
            <w:hideMark/>
          </w:tcPr>
          <w:p w14:paraId="5EBAC94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1.201 (1.042 - 1.623)</w:t>
            </w:r>
          </w:p>
        </w:tc>
      </w:tr>
      <w:tr w:rsidR="001B7D46" w:rsidRPr="001B7D46" w14:paraId="1F4F4B7B"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19E085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66B1D00F"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4E87B7F9"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47A9B43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54732C8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6180C1C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23972E70"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698" w:type="dxa"/>
            <w:tcBorders>
              <w:top w:val="nil"/>
              <w:left w:val="nil"/>
              <w:bottom w:val="nil"/>
              <w:right w:val="nil"/>
            </w:tcBorders>
            <w:shd w:val="clear" w:color="auto" w:fill="auto"/>
            <w:vAlign w:val="bottom"/>
            <w:hideMark/>
          </w:tcPr>
          <w:p w14:paraId="79DD402C"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63" w:type="dxa"/>
            <w:gridSpan w:val="2"/>
            <w:tcBorders>
              <w:top w:val="nil"/>
              <w:left w:val="nil"/>
              <w:bottom w:val="nil"/>
              <w:right w:val="nil"/>
            </w:tcBorders>
            <w:shd w:val="clear" w:color="auto" w:fill="auto"/>
            <w:noWrap/>
            <w:vAlign w:val="bottom"/>
            <w:hideMark/>
          </w:tcPr>
          <w:p w14:paraId="37F3CEBF" w14:textId="77777777" w:rsidR="001B7D46" w:rsidRPr="001B7D46" w:rsidRDefault="001B7D46" w:rsidP="001B7D46">
            <w:pPr>
              <w:spacing w:after="0" w:line="240" w:lineRule="auto"/>
              <w:rPr>
                <w:rFonts w:ascii="Times New Roman" w:eastAsia="Times New Roman" w:hAnsi="Times New Roman" w:cs="Times New Roman"/>
                <w:sz w:val="16"/>
                <w:szCs w:val="16"/>
              </w:rPr>
            </w:pPr>
          </w:p>
        </w:tc>
      </w:tr>
    </w:tbl>
    <w:p w14:paraId="3133DE62" w14:textId="77777777" w:rsidR="00B709BA" w:rsidRDefault="00B709BA" w:rsidP="00B709BA">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0030DEB3" w14:textId="77777777" w:rsidR="003814E8" w:rsidRDefault="003814E8" w:rsidP="003814E8">
      <w:pPr>
        <w:spacing w:line="240" w:lineRule="auto"/>
        <w:rPr>
          <w:rFonts w:ascii="Times New Roman" w:hAnsi="Times New Roman" w:cs="Times New Roman"/>
          <w:sz w:val="16"/>
          <w:szCs w:val="16"/>
        </w:rPr>
      </w:pPr>
    </w:p>
    <w:p w14:paraId="07018D96" w14:textId="46FD0EC9" w:rsidR="00667593" w:rsidRDefault="00667593">
      <w:pPr>
        <w:rPr>
          <w:rFonts w:ascii="Times New Roman" w:hAnsi="Times New Roman" w:cs="Times New Roman"/>
          <w:sz w:val="24"/>
          <w:szCs w:val="24"/>
        </w:rPr>
      </w:pPr>
      <w:r>
        <w:rPr>
          <w:rFonts w:ascii="Times New Roman" w:hAnsi="Times New Roman" w:cs="Times New Roman"/>
          <w:sz w:val="24"/>
          <w:szCs w:val="24"/>
        </w:rPr>
        <w:br w:type="page"/>
      </w:r>
    </w:p>
    <w:p w14:paraId="350A926F" w14:textId="77777777" w:rsidR="0062544E" w:rsidRDefault="0062544E" w:rsidP="00474F31">
      <w:pPr>
        <w:spacing w:line="240" w:lineRule="auto"/>
        <w:rPr>
          <w:rFonts w:ascii="Times New Roman" w:hAnsi="Times New Roman" w:cs="Times New Roman"/>
          <w:b/>
          <w:bCs/>
          <w:sz w:val="24"/>
          <w:szCs w:val="24"/>
        </w:rPr>
        <w:sectPr w:rsidR="0062544E" w:rsidSect="00B51C59">
          <w:pgSz w:w="15840" w:h="12240" w:orient="landscape"/>
          <w:pgMar w:top="1440" w:right="1440" w:bottom="1440" w:left="1440" w:header="720" w:footer="720" w:gutter="0"/>
          <w:cols w:space="720"/>
          <w:docGrid w:linePitch="360"/>
        </w:sectPr>
      </w:pPr>
    </w:p>
    <w:p w14:paraId="752D2256" w14:textId="2F8E43A7" w:rsidR="00515DB2" w:rsidRDefault="009D7FAF" w:rsidP="00474F3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F8B7B3E" wp14:editId="529D8294">
            <wp:simplePos x="0" y="0"/>
            <wp:positionH relativeFrom="margin">
              <wp:align>right</wp:align>
            </wp:positionH>
            <wp:positionV relativeFrom="paragraph">
              <wp:posOffset>617220</wp:posOffset>
            </wp:positionV>
            <wp:extent cx="5362575" cy="5016500"/>
            <wp:effectExtent l="0" t="0" r="9525" b="0"/>
            <wp:wrapTopAndBottom/>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cause_dag.jpeg"/>
                    <pic:cNvPicPr/>
                  </pic:nvPicPr>
                  <pic:blipFill rotWithShape="1">
                    <a:blip r:embed="rId13" cstate="print">
                      <a:extLst>
                        <a:ext uri="{28A0092B-C50C-407E-A947-70E740481C1C}">
                          <a14:useLocalDpi xmlns:a14="http://schemas.microsoft.com/office/drawing/2010/main" val="0"/>
                        </a:ext>
                      </a:extLst>
                    </a:blip>
                    <a:srcRect t="1400"/>
                    <a:stretch/>
                  </pic:blipFill>
                  <pic:spPr bwMode="auto">
                    <a:xfrm>
                      <a:off x="0" y="0"/>
                      <a:ext cx="5362575" cy="501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EDA">
        <w:rPr>
          <w:rFonts w:ascii="Times New Roman" w:hAnsi="Times New Roman" w:cs="Times New Roman"/>
          <w:b/>
          <w:bCs/>
          <w:sz w:val="24"/>
          <w:szCs w:val="24"/>
        </w:rPr>
        <w:t>Supplementary Figure 1.</w:t>
      </w:r>
      <w:r w:rsidR="005256BE">
        <w:rPr>
          <w:rFonts w:ascii="Times New Roman" w:hAnsi="Times New Roman" w:cs="Times New Roman"/>
          <w:b/>
          <w:bCs/>
          <w:sz w:val="24"/>
          <w:szCs w:val="24"/>
        </w:rPr>
        <w:t xml:space="preserve"> </w:t>
      </w:r>
      <w:r w:rsidR="005256BE">
        <w:rPr>
          <w:rFonts w:ascii="Times New Roman" w:hAnsi="Times New Roman" w:cs="Times New Roman"/>
          <w:sz w:val="24"/>
          <w:szCs w:val="24"/>
        </w:rPr>
        <w:t>Directed acyclic graph depicting hypothesize</w:t>
      </w:r>
      <w:r w:rsidR="004933EF">
        <w:rPr>
          <w:rFonts w:ascii="Times New Roman" w:hAnsi="Times New Roman" w:cs="Times New Roman"/>
          <w:sz w:val="24"/>
          <w:szCs w:val="24"/>
        </w:rPr>
        <w:t>d</w:t>
      </w:r>
      <w:r w:rsidR="005256BE">
        <w:rPr>
          <w:rFonts w:ascii="Times New Roman" w:hAnsi="Times New Roman" w:cs="Times New Roman"/>
          <w:sz w:val="24"/>
          <w:szCs w:val="24"/>
        </w:rPr>
        <w:t xml:space="preserve"> causal interrelations between CRN, sociodemographic characteristics, and </w:t>
      </w:r>
      <w:r w:rsidR="00474F31">
        <w:rPr>
          <w:rFonts w:ascii="Times New Roman" w:hAnsi="Times New Roman" w:cs="Times New Roman"/>
          <w:sz w:val="24"/>
          <w:szCs w:val="24"/>
        </w:rPr>
        <w:t>all-cause</w:t>
      </w:r>
      <w:r w:rsidR="005256BE">
        <w:rPr>
          <w:rFonts w:ascii="Times New Roman" w:hAnsi="Times New Roman" w:cs="Times New Roman"/>
          <w:sz w:val="24"/>
          <w:szCs w:val="24"/>
        </w:rPr>
        <w:t xml:space="preserve"> mortality.</w:t>
      </w:r>
    </w:p>
    <w:p w14:paraId="40F5E1A1" w14:textId="7FA75994" w:rsidR="009D7FAF" w:rsidRDefault="009D7FAF">
      <w:pPr>
        <w:rPr>
          <w:rFonts w:ascii="Times New Roman" w:hAnsi="Times New Roman" w:cs="Times New Roman"/>
          <w:sz w:val="24"/>
          <w:szCs w:val="24"/>
        </w:rPr>
      </w:pPr>
      <w:r>
        <w:rPr>
          <w:rFonts w:ascii="Times New Roman" w:hAnsi="Times New Roman" w:cs="Times New Roman"/>
          <w:sz w:val="24"/>
          <w:szCs w:val="24"/>
        </w:rPr>
        <w:br w:type="page"/>
      </w:r>
    </w:p>
    <w:p w14:paraId="75DD9C40" w14:textId="4237500D" w:rsidR="009D7FAF" w:rsidRDefault="009D7FAF" w:rsidP="009D7FAF">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Supplementary Figure 2. </w:t>
      </w:r>
      <w:r>
        <w:rPr>
          <w:rFonts w:ascii="Times New Roman" w:hAnsi="Times New Roman" w:cs="Times New Roman"/>
          <w:sz w:val="24"/>
          <w:szCs w:val="24"/>
        </w:rPr>
        <w:t>Directed acyclic graph depicting hypothesized causal interrelations between CRN, sociodemographic characteristics, and disease-specific mortality.</w:t>
      </w:r>
    </w:p>
    <w:p w14:paraId="52247F98" w14:textId="5F06DCDC" w:rsidR="00474F31" w:rsidRDefault="00474F31" w:rsidP="009D7FAF">
      <w:pPr>
        <w:spacing w:line="240" w:lineRule="auto"/>
        <w:rPr>
          <w:rFonts w:ascii="Times New Roman" w:hAnsi="Times New Roman" w:cs="Times New Roman"/>
          <w:sz w:val="24"/>
          <w:szCs w:val="24"/>
        </w:rPr>
      </w:pPr>
    </w:p>
    <w:p w14:paraId="2553D178" w14:textId="47D528BA" w:rsidR="009D7FAF" w:rsidRPr="005256BE" w:rsidRDefault="002749D5" w:rsidP="009D7FAF">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78845D4" wp14:editId="623EB0ED">
            <wp:simplePos x="0" y="0"/>
            <wp:positionH relativeFrom="margin">
              <wp:align>right</wp:align>
            </wp:positionH>
            <wp:positionV relativeFrom="paragraph">
              <wp:posOffset>173545</wp:posOffset>
            </wp:positionV>
            <wp:extent cx="5429292" cy="49935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zSpec_dag.jpeg"/>
                    <pic:cNvPicPr/>
                  </pic:nvPicPr>
                  <pic:blipFill rotWithShape="1">
                    <a:blip r:embed="rId14">
                      <a:extLst>
                        <a:ext uri="{28A0092B-C50C-407E-A947-70E740481C1C}">
                          <a14:useLocalDpi xmlns:a14="http://schemas.microsoft.com/office/drawing/2010/main" val="0"/>
                        </a:ext>
                      </a:extLst>
                    </a:blip>
                    <a:srcRect t="3054"/>
                    <a:stretch/>
                  </pic:blipFill>
                  <pic:spPr bwMode="auto">
                    <a:xfrm>
                      <a:off x="0" y="0"/>
                      <a:ext cx="5429292" cy="4993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D7FAF" w:rsidRPr="005256BE" w:rsidSect="006254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ine K Harris" w:date="2020-02-24T17:27:00Z" w:initials="JKH">
    <w:p w14:paraId="2BDA07FB" w14:textId="149AB898" w:rsidR="00FE2E89" w:rsidRDefault="00FE2E89">
      <w:pPr>
        <w:pStyle w:val="CommentText"/>
      </w:pPr>
      <w:r>
        <w:rPr>
          <w:rStyle w:val="CommentReference"/>
        </w:rPr>
        <w:annotationRef/>
      </w:r>
      <w:r>
        <w:t xml:space="preserve">Is there anything else you can say here related to the first competency? </w:t>
      </w:r>
      <w:r w:rsidR="004C7992">
        <w:t>Does race or sex influence medication adherence and is this due to financial constraints or other factors?</w:t>
      </w:r>
    </w:p>
  </w:comment>
  <w:comment w:id="1" w:author="Jenine K Harris" w:date="2020-02-24T17:18:00Z" w:initials="JKH">
    <w:p w14:paraId="3C7D8282" w14:textId="6FE3AA4D" w:rsidR="00FE2E89" w:rsidRDefault="00FE2E89">
      <w:pPr>
        <w:pStyle w:val="CommentText"/>
      </w:pPr>
      <w:r>
        <w:rPr>
          <w:rStyle w:val="CommentReference"/>
        </w:rPr>
        <w:annotationRef/>
      </w:r>
      <w:r>
        <w:t>“the” or “my”</w:t>
      </w:r>
    </w:p>
  </w:comment>
  <w:comment w:id="2" w:author="Jenine K Harris" w:date="2020-02-24T17:18:00Z" w:initials="JKH">
    <w:p w14:paraId="0C094429" w14:textId="23040CA3" w:rsidR="00FE2E89" w:rsidRDefault="00FE2E89">
      <w:pPr>
        <w:pStyle w:val="CommentText"/>
      </w:pPr>
      <w:r>
        <w:rPr>
          <w:rStyle w:val="CommentReference"/>
        </w:rPr>
        <w:annotationRef/>
      </w:r>
      <w:r>
        <w:t>The or my</w:t>
      </w:r>
    </w:p>
  </w:comment>
  <w:comment w:id="3" w:author="Jenine K Harris" w:date="2020-02-24T17:19:00Z" w:initials="JKH">
    <w:p w14:paraId="77FAC6E6" w14:textId="39CA81A7" w:rsidR="00FE2E89" w:rsidRDefault="00FE2E89">
      <w:pPr>
        <w:pStyle w:val="CommentText"/>
      </w:pPr>
      <w:r>
        <w:rPr>
          <w:rStyle w:val="CommentReference"/>
        </w:rPr>
        <w:annotationRef/>
      </w:r>
      <w:r>
        <w:t>the</w:t>
      </w:r>
    </w:p>
  </w:comment>
  <w:comment w:id="5" w:author="Jenine K Harris" w:date="2020-02-24T17:19:00Z" w:initials="JKH">
    <w:p w14:paraId="28DCC41A" w14:textId="0065DE21" w:rsidR="00FE2E89" w:rsidRDefault="00FE2E89">
      <w:pPr>
        <w:pStyle w:val="CommentText"/>
      </w:pPr>
      <w:r>
        <w:rPr>
          <w:rStyle w:val="CommentReference"/>
        </w:rPr>
        <w:annotationRef/>
      </w:r>
      <w:r>
        <w:t>Nice</w:t>
      </w:r>
    </w:p>
  </w:comment>
  <w:comment w:id="27" w:author="Jenine K Harris" w:date="2020-02-24T17:34:00Z" w:initials="JKH">
    <w:p w14:paraId="0EA863DB" w14:textId="4D073911" w:rsidR="004C7992" w:rsidRDefault="004C7992">
      <w:pPr>
        <w:pStyle w:val="CommentText"/>
      </w:pPr>
      <w:r>
        <w:rPr>
          <w:rStyle w:val="CommentReference"/>
        </w:rPr>
        <w:annotationRef/>
      </w:r>
      <w:r>
        <w:t>Add a statement/paragraph about where this is somewhere in the document and include the location of the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DA07FB" w15:done="0"/>
  <w15:commentEx w15:paraId="3C7D8282" w15:done="0"/>
  <w15:commentEx w15:paraId="0C094429" w15:done="0"/>
  <w15:commentEx w15:paraId="77FAC6E6" w15:done="0"/>
  <w15:commentEx w15:paraId="28DCC41A" w15:done="0"/>
  <w15:commentEx w15:paraId="0EA863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DA07FB" w16cid:durableId="21FE85F8"/>
  <w16cid:commentId w16cid:paraId="3C7D8282" w16cid:durableId="21FE83CA"/>
  <w16cid:commentId w16cid:paraId="0C094429" w16cid:durableId="21FE83E4"/>
  <w16cid:commentId w16cid:paraId="77FAC6E6" w16cid:durableId="21FE840F"/>
  <w16cid:commentId w16cid:paraId="28DCC41A" w16cid:durableId="21FE842A"/>
  <w16cid:commentId w16cid:paraId="0EA863DB" w16cid:durableId="21FE87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8D365" w14:textId="77777777" w:rsidR="00235AD6" w:rsidRDefault="00235AD6" w:rsidP="00857007">
      <w:pPr>
        <w:spacing w:after="0" w:line="240" w:lineRule="auto"/>
      </w:pPr>
      <w:r>
        <w:separator/>
      </w:r>
    </w:p>
  </w:endnote>
  <w:endnote w:type="continuationSeparator" w:id="0">
    <w:p w14:paraId="5FFA10E0" w14:textId="77777777" w:rsidR="00235AD6" w:rsidRDefault="00235AD6"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4F7AD" w14:textId="77777777" w:rsidR="00235AD6" w:rsidRDefault="00235AD6" w:rsidP="00857007">
      <w:pPr>
        <w:spacing w:after="0" w:line="240" w:lineRule="auto"/>
      </w:pPr>
      <w:r>
        <w:separator/>
      </w:r>
    </w:p>
  </w:footnote>
  <w:footnote w:type="continuationSeparator" w:id="0">
    <w:p w14:paraId="0463436F" w14:textId="77777777" w:rsidR="00235AD6" w:rsidRDefault="00235AD6"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BDBD3FE" w:rsidR="00FE2E89" w:rsidRDefault="00FE2E89" w:rsidP="008B6A9B">
        <w:pPr>
          <w:pStyle w:val="Header"/>
          <w:ind w:left="3960" w:firstLine="3960"/>
        </w:pPr>
        <w:r>
          <w:t xml:space="preserve"> </w:t>
        </w:r>
        <w:r>
          <w:rPr>
            <w:rFonts w:ascii="Times New Roman" w:hAnsi="Times New Roman" w:cs="Times New Roman"/>
            <w:sz w:val="24"/>
            <w:szCs w:val="24"/>
          </w:rPr>
          <w:t xml:space="preserve">Van Alsten </w:t>
        </w: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FE2E89" w:rsidRDefault="00FE2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ine K Harris">
    <w15:presenceInfo w15:providerId="AD" w15:userId="S::harrisj@wustl.edu::3d93e090-f132-455d-988e-543a3f11ab16"/>
  </w15:person>
  <w15:person w15:author="Sarah Van Alsten">
    <w15:presenceInfo w15:providerId="Windows Live" w15:userId="f8d6885615144605"/>
  </w15:person>
  <w15:person w15:author="Van Alsten, Sarah">
    <w15:presenceInfo w15:providerId="AD" w15:userId="S::sarah.vanalsten@wustl.edu::8f8c7a8f-a709-44e4-ba32-6ac81c33e7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491"/>
    <w:rsid w:val="0000154B"/>
    <w:rsid w:val="000018D4"/>
    <w:rsid w:val="00001CA3"/>
    <w:rsid w:val="00001DAB"/>
    <w:rsid w:val="000020CC"/>
    <w:rsid w:val="00002A70"/>
    <w:rsid w:val="000037AD"/>
    <w:rsid w:val="00003B3D"/>
    <w:rsid w:val="00003EAE"/>
    <w:rsid w:val="0000426F"/>
    <w:rsid w:val="00004B2B"/>
    <w:rsid w:val="00004BD4"/>
    <w:rsid w:val="00005D8E"/>
    <w:rsid w:val="00005EE7"/>
    <w:rsid w:val="000079BB"/>
    <w:rsid w:val="00010C1D"/>
    <w:rsid w:val="00010ECA"/>
    <w:rsid w:val="00011336"/>
    <w:rsid w:val="0001153A"/>
    <w:rsid w:val="00013E91"/>
    <w:rsid w:val="00015170"/>
    <w:rsid w:val="0001590E"/>
    <w:rsid w:val="00015F45"/>
    <w:rsid w:val="0002036D"/>
    <w:rsid w:val="00020461"/>
    <w:rsid w:val="00021042"/>
    <w:rsid w:val="00021062"/>
    <w:rsid w:val="000216B7"/>
    <w:rsid w:val="00021A21"/>
    <w:rsid w:val="00021B95"/>
    <w:rsid w:val="000221C3"/>
    <w:rsid w:val="000221F7"/>
    <w:rsid w:val="00022F7B"/>
    <w:rsid w:val="000237FC"/>
    <w:rsid w:val="00023981"/>
    <w:rsid w:val="00023CE4"/>
    <w:rsid w:val="0002400E"/>
    <w:rsid w:val="00024069"/>
    <w:rsid w:val="00024C1B"/>
    <w:rsid w:val="00025220"/>
    <w:rsid w:val="00025315"/>
    <w:rsid w:val="0002551D"/>
    <w:rsid w:val="000260B5"/>
    <w:rsid w:val="00026B4B"/>
    <w:rsid w:val="00027ACE"/>
    <w:rsid w:val="000305B6"/>
    <w:rsid w:val="000306C9"/>
    <w:rsid w:val="00031565"/>
    <w:rsid w:val="000316AB"/>
    <w:rsid w:val="00031FF1"/>
    <w:rsid w:val="000333F9"/>
    <w:rsid w:val="00034072"/>
    <w:rsid w:val="000352D7"/>
    <w:rsid w:val="00035628"/>
    <w:rsid w:val="00035DED"/>
    <w:rsid w:val="00035E56"/>
    <w:rsid w:val="00036065"/>
    <w:rsid w:val="0003790D"/>
    <w:rsid w:val="000379E7"/>
    <w:rsid w:val="00037FD9"/>
    <w:rsid w:val="000406DA"/>
    <w:rsid w:val="0004282C"/>
    <w:rsid w:val="00042E95"/>
    <w:rsid w:val="00043131"/>
    <w:rsid w:val="00043632"/>
    <w:rsid w:val="000443F4"/>
    <w:rsid w:val="00044745"/>
    <w:rsid w:val="0004537B"/>
    <w:rsid w:val="000466C3"/>
    <w:rsid w:val="00046768"/>
    <w:rsid w:val="00046AD7"/>
    <w:rsid w:val="00047414"/>
    <w:rsid w:val="00047C5E"/>
    <w:rsid w:val="00047D84"/>
    <w:rsid w:val="0005007A"/>
    <w:rsid w:val="00050502"/>
    <w:rsid w:val="00050910"/>
    <w:rsid w:val="00052BA0"/>
    <w:rsid w:val="0005333E"/>
    <w:rsid w:val="000537AA"/>
    <w:rsid w:val="000539F9"/>
    <w:rsid w:val="0005474B"/>
    <w:rsid w:val="0005487A"/>
    <w:rsid w:val="0005534D"/>
    <w:rsid w:val="000554C7"/>
    <w:rsid w:val="00055665"/>
    <w:rsid w:val="00055B69"/>
    <w:rsid w:val="00055FDE"/>
    <w:rsid w:val="000563ED"/>
    <w:rsid w:val="00056B98"/>
    <w:rsid w:val="00056DB1"/>
    <w:rsid w:val="00056DD4"/>
    <w:rsid w:val="00057769"/>
    <w:rsid w:val="000605E9"/>
    <w:rsid w:val="00060640"/>
    <w:rsid w:val="00062638"/>
    <w:rsid w:val="000635FE"/>
    <w:rsid w:val="0006399C"/>
    <w:rsid w:val="00063F41"/>
    <w:rsid w:val="00064410"/>
    <w:rsid w:val="00064485"/>
    <w:rsid w:val="00064513"/>
    <w:rsid w:val="00065945"/>
    <w:rsid w:val="00066B44"/>
    <w:rsid w:val="00066D48"/>
    <w:rsid w:val="00066F7C"/>
    <w:rsid w:val="00067A44"/>
    <w:rsid w:val="00067B61"/>
    <w:rsid w:val="00067C29"/>
    <w:rsid w:val="000701EA"/>
    <w:rsid w:val="0007027B"/>
    <w:rsid w:val="00070F35"/>
    <w:rsid w:val="000711C3"/>
    <w:rsid w:val="00071762"/>
    <w:rsid w:val="00071C04"/>
    <w:rsid w:val="0007249F"/>
    <w:rsid w:val="0007251E"/>
    <w:rsid w:val="000737B1"/>
    <w:rsid w:val="00073AF3"/>
    <w:rsid w:val="00075BD5"/>
    <w:rsid w:val="00076181"/>
    <w:rsid w:val="00076996"/>
    <w:rsid w:val="00077790"/>
    <w:rsid w:val="00077B1E"/>
    <w:rsid w:val="00077BDC"/>
    <w:rsid w:val="00077F1A"/>
    <w:rsid w:val="00080667"/>
    <w:rsid w:val="000822D9"/>
    <w:rsid w:val="00082507"/>
    <w:rsid w:val="000825C0"/>
    <w:rsid w:val="000846E3"/>
    <w:rsid w:val="00084B75"/>
    <w:rsid w:val="00084C1B"/>
    <w:rsid w:val="0008518B"/>
    <w:rsid w:val="00085EC7"/>
    <w:rsid w:val="00086AB7"/>
    <w:rsid w:val="0008764E"/>
    <w:rsid w:val="00087ACC"/>
    <w:rsid w:val="00087ECB"/>
    <w:rsid w:val="00091370"/>
    <w:rsid w:val="00092BB8"/>
    <w:rsid w:val="00093686"/>
    <w:rsid w:val="00093AA7"/>
    <w:rsid w:val="000940A3"/>
    <w:rsid w:val="0009419B"/>
    <w:rsid w:val="00094783"/>
    <w:rsid w:val="00095275"/>
    <w:rsid w:val="0009553E"/>
    <w:rsid w:val="0009678C"/>
    <w:rsid w:val="00097AA5"/>
    <w:rsid w:val="000A0617"/>
    <w:rsid w:val="000A07E1"/>
    <w:rsid w:val="000A0CE7"/>
    <w:rsid w:val="000A0F51"/>
    <w:rsid w:val="000A18FB"/>
    <w:rsid w:val="000A4710"/>
    <w:rsid w:val="000A47E3"/>
    <w:rsid w:val="000A4D4F"/>
    <w:rsid w:val="000A4DFA"/>
    <w:rsid w:val="000A575B"/>
    <w:rsid w:val="000A5BFC"/>
    <w:rsid w:val="000A7455"/>
    <w:rsid w:val="000A7F4A"/>
    <w:rsid w:val="000B009C"/>
    <w:rsid w:val="000B1143"/>
    <w:rsid w:val="000B14E6"/>
    <w:rsid w:val="000B1FDB"/>
    <w:rsid w:val="000B240D"/>
    <w:rsid w:val="000B2641"/>
    <w:rsid w:val="000B2A14"/>
    <w:rsid w:val="000B4610"/>
    <w:rsid w:val="000B47E5"/>
    <w:rsid w:val="000B4A4F"/>
    <w:rsid w:val="000B5474"/>
    <w:rsid w:val="000B5F6F"/>
    <w:rsid w:val="000B67CF"/>
    <w:rsid w:val="000B6FC4"/>
    <w:rsid w:val="000B79CD"/>
    <w:rsid w:val="000B7E8A"/>
    <w:rsid w:val="000B7F8C"/>
    <w:rsid w:val="000C3225"/>
    <w:rsid w:val="000C345F"/>
    <w:rsid w:val="000C38A3"/>
    <w:rsid w:val="000C3B1D"/>
    <w:rsid w:val="000C3CDB"/>
    <w:rsid w:val="000C5CA4"/>
    <w:rsid w:val="000C6150"/>
    <w:rsid w:val="000C73B5"/>
    <w:rsid w:val="000C7C3F"/>
    <w:rsid w:val="000D0AFD"/>
    <w:rsid w:val="000D13A3"/>
    <w:rsid w:val="000D149D"/>
    <w:rsid w:val="000D2901"/>
    <w:rsid w:val="000D32E8"/>
    <w:rsid w:val="000D35A4"/>
    <w:rsid w:val="000D3D75"/>
    <w:rsid w:val="000D429F"/>
    <w:rsid w:val="000D43B7"/>
    <w:rsid w:val="000D5E2C"/>
    <w:rsid w:val="000D5FFA"/>
    <w:rsid w:val="000D616F"/>
    <w:rsid w:val="000D65EA"/>
    <w:rsid w:val="000D68D1"/>
    <w:rsid w:val="000D6E0D"/>
    <w:rsid w:val="000D7BBE"/>
    <w:rsid w:val="000E0A76"/>
    <w:rsid w:val="000E0B8C"/>
    <w:rsid w:val="000E0CA0"/>
    <w:rsid w:val="000E0FE2"/>
    <w:rsid w:val="000E1827"/>
    <w:rsid w:val="000E217F"/>
    <w:rsid w:val="000E31AD"/>
    <w:rsid w:val="000E3526"/>
    <w:rsid w:val="000E3B74"/>
    <w:rsid w:val="000E4BFC"/>
    <w:rsid w:val="000E55BE"/>
    <w:rsid w:val="000E5A7F"/>
    <w:rsid w:val="000E5DB7"/>
    <w:rsid w:val="000F061D"/>
    <w:rsid w:val="000F0A14"/>
    <w:rsid w:val="000F0BB7"/>
    <w:rsid w:val="000F1647"/>
    <w:rsid w:val="000F2F35"/>
    <w:rsid w:val="000F31D7"/>
    <w:rsid w:val="000F3564"/>
    <w:rsid w:val="000F3BF4"/>
    <w:rsid w:val="000F4848"/>
    <w:rsid w:val="000F538B"/>
    <w:rsid w:val="000F63E1"/>
    <w:rsid w:val="000F6DB8"/>
    <w:rsid w:val="000F73D6"/>
    <w:rsid w:val="00101C61"/>
    <w:rsid w:val="001021D0"/>
    <w:rsid w:val="001029DC"/>
    <w:rsid w:val="0010310E"/>
    <w:rsid w:val="001041F5"/>
    <w:rsid w:val="00104297"/>
    <w:rsid w:val="001053B4"/>
    <w:rsid w:val="001059B5"/>
    <w:rsid w:val="0010642D"/>
    <w:rsid w:val="00107395"/>
    <w:rsid w:val="00107959"/>
    <w:rsid w:val="00107B98"/>
    <w:rsid w:val="00107CA6"/>
    <w:rsid w:val="00107F5B"/>
    <w:rsid w:val="001105FB"/>
    <w:rsid w:val="001119B7"/>
    <w:rsid w:val="0011275E"/>
    <w:rsid w:val="001128D3"/>
    <w:rsid w:val="001129A3"/>
    <w:rsid w:val="00113A9C"/>
    <w:rsid w:val="00113EED"/>
    <w:rsid w:val="00114332"/>
    <w:rsid w:val="00114622"/>
    <w:rsid w:val="00114F01"/>
    <w:rsid w:val="00115199"/>
    <w:rsid w:val="0011571A"/>
    <w:rsid w:val="0011711D"/>
    <w:rsid w:val="001200BC"/>
    <w:rsid w:val="001210AF"/>
    <w:rsid w:val="00121138"/>
    <w:rsid w:val="00121F04"/>
    <w:rsid w:val="001222D0"/>
    <w:rsid w:val="00122C9A"/>
    <w:rsid w:val="0012314F"/>
    <w:rsid w:val="00123568"/>
    <w:rsid w:val="00123A1D"/>
    <w:rsid w:val="001241D8"/>
    <w:rsid w:val="00124A08"/>
    <w:rsid w:val="00124D70"/>
    <w:rsid w:val="00124E07"/>
    <w:rsid w:val="00125E6B"/>
    <w:rsid w:val="001269BD"/>
    <w:rsid w:val="0012719C"/>
    <w:rsid w:val="0012730F"/>
    <w:rsid w:val="00127500"/>
    <w:rsid w:val="0012779E"/>
    <w:rsid w:val="00127942"/>
    <w:rsid w:val="00127E63"/>
    <w:rsid w:val="001300AD"/>
    <w:rsid w:val="0013021A"/>
    <w:rsid w:val="00130C5B"/>
    <w:rsid w:val="00130EBF"/>
    <w:rsid w:val="0013149E"/>
    <w:rsid w:val="00131F4F"/>
    <w:rsid w:val="00132AD0"/>
    <w:rsid w:val="001340CD"/>
    <w:rsid w:val="00136093"/>
    <w:rsid w:val="00136154"/>
    <w:rsid w:val="0013692D"/>
    <w:rsid w:val="00137043"/>
    <w:rsid w:val="001405DE"/>
    <w:rsid w:val="00141E81"/>
    <w:rsid w:val="00142BEB"/>
    <w:rsid w:val="001438C0"/>
    <w:rsid w:val="00143F54"/>
    <w:rsid w:val="00144208"/>
    <w:rsid w:val="00144A3B"/>
    <w:rsid w:val="00144E7A"/>
    <w:rsid w:val="0014564E"/>
    <w:rsid w:val="00145C27"/>
    <w:rsid w:val="0014651B"/>
    <w:rsid w:val="00146F04"/>
    <w:rsid w:val="001474D5"/>
    <w:rsid w:val="00147862"/>
    <w:rsid w:val="00150D01"/>
    <w:rsid w:val="00152457"/>
    <w:rsid w:val="001524F4"/>
    <w:rsid w:val="00152910"/>
    <w:rsid w:val="00152EF1"/>
    <w:rsid w:val="00154169"/>
    <w:rsid w:val="00154A90"/>
    <w:rsid w:val="001550B5"/>
    <w:rsid w:val="001554BE"/>
    <w:rsid w:val="00155A3F"/>
    <w:rsid w:val="00156500"/>
    <w:rsid w:val="0016087E"/>
    <w:rsid w:val="00160EFA"/>
    <w:rsid w:val="00161991"/>
    <w:rsid w:val="00162054"/>
    <w:rsid w:val="00163726"/>
    <w:rsid w:val="001643B3"/>
    <w:rsid w:val="00164855"/>
    <w:rsid w:val="00164BCB"/>
    <w:rsid w:val="00164DDD"/>
    <w:rsid w:val="00165AA1"/>
    <w:rsid w:val="001660EA"/>
    <w:rsid w:val="0016623A"/>
    <w:rsid w:val="001675CF"/>
    <w:rsid w:val="001678F8"/>
    <w:rsid w:val="00167B3B"/>
    <w:rsid w:val="001700BA"/>
    <w:rsid w:val="001703C4"/>
    <w:rsid w:val="00170A1E"/>
    <w:rsid w:val="00171154"/>
    <w:rsid w:val="00171F2D"/>
    <w:rsid w:val="00172146"/>
    <w:rsid w:val="001724F1"/>
    <w:rsid w:val="00172A90"/>
    <w:rsid w:val="0017323C"/>
    <w:rsid w:val="00173612"/>
    <w:rsid w:val="00175AEF"/>
    <w:rsid w:val="00175DD1"/>
    <w:rsid w:val="0017732E"/>
    <w:rsid w:val="00177C30"/>
    <w:rsid w:val="00180779"/>
    <w:rsid w:val="00180CF3"/>
    <w:rsid w:val="00181489"/>
    <w:rsid w:val="00181560"/>
    <w:rsid w:val="0018173E"/>
    <w:rsid w:val="001817CF"/>
    <w:rsid w:val="0018191F"/>
    <w:rsid w:val="001820D5"/>
    <w:rsid w:val="00182725"/>
    <w:rsid w:val="00183D40"/>
    <w:rsid w:val="00183FB9"/>
    <w:rsid w:val="00184023"/>
    <w:rsid w:val="0018445C"/>
    <w:rsid w:val="00184D26"/>
    <w:rsid w:val="00185482"/>
    <w:rsid w:val="00186715"/>
    <w:rsid w:val="00187BE6"/>
    <w:rsid w:val="001905AA"/>
    <w:rsid w:val="0019062D"/>
    <w:rsid w:val="00191146"/>
    <w:rsid w:val="0019124F"/>
    <w:rsid w:val="001912D4"/>
    <w:rsid w:val="001913F0"/>
    <w:rsid w:val="0019175B"/>
    <w:rsid w:val="001929A2"/>
    <w:rsid w:val="001934D3"/>
    <w:rsid w:val="00194974"/>
    <w:rsid w:val="0019524C"/>
    <w:rsid w:val="00195374"/>
    <w:rsid w:val="00196914"/>
    <w:rsid w:val="001969BF"/>
    <w:rsid w:val="0019759D"/>
    <w:rsid w:val="00197DF9"/>
    <w:rsid w:val="001A10B7"/>
    <w:rsid w:val="001A1999"/>
    <w:rsid w:val="001A48E3"/>
    <w:rsid w:val="001A4BA7"/>
    <w:rsid w:val="001A4EF8"/>
    <w:rsid w:val="001A5091"/>
    <w:rsid w:val="001A5C14"/>
    <w:rsid w:val="001A5C40"/>
    <w:rsid w:val="001A6577"/>
    <w:rsid w:val="001A669E"/>
    <w:rsid w:val="001A6E5D"/>
    <w:rsid w:val="001A7793"/>
    <w:rsid w:val="001B08AE"/>
    <w:rsid w:val="001B0CE5"/>
    <w:rsid w:val="001B0D1B"/>
    <w:rsid w:val="001B0DE4"/>
    <w:rsid w:val="001B106B"/>
    <w:rsid w:val="001B115A"/>
    <w:rsid w:val="001B1752"/>
    <w:rsid w:val="001B2C6E"/>
    <w:rsid w:val="001B2E52"/>
    <w:rsid w:val="001B337C"/>
    <w:rsid w:val="001B3738"/>
    <w:rsid w:val="001B41D8"/>
    <w:rsid w:val="001B497C"/>
    <w:rsid w:val="001B6640"/>
    <w:rsid w:val="001B6A70"/>
    <w:rsid w:val="001B6F85"/>
    <w:rsid w:val="001B77BA"/>
    <w:rsid w:val="001B7D46"/>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573E"/>
    <w:rsid w:val="001C65DA"/>
    <w:rsid w:val="001C6721"/>
    <w:rsid w:val="001C7A48"/>
    <w:rsid w:val="001C7F36"/>
    <w:rsid w:val="001D1DDE"/>
    <w:rsid w:val="001D2845"/>
    <w:rsid w:val="001D3BF1"/>
    <w:rsid w:val="001D5C29"/>
    <w:rsid w:val="001D6732"/>
    <w:rsid w:val="001D6775"/>
    <w:rsid w:val="001D6ABA"/>
    <w:rsid w:val="001D6E35"/>
    <w:rsid w:val="001D6EFD"/>
    <w:rsid w:val="001D7102"/>
    <w:rsid w:val="001D715A"/>
    <w:rsid w:val="001D73AF"/>
    <w:rsid w:val="001E066B"/>
    <w:rsid w:val="001E07CD"/>
    <w:rsid w:val="001E100C"/>
    <w:rsid w:val="001E1631"/>
    <w:rsid w:val="001E1B8B"/>
    <w:rsid w:val="001E1FBC"/>
    <w:rsid w:val="001E22C7"/>
    <w:rsid w:val="001E2EDA"/>
    <w:rsid w:val="001E32E6"/>
    <w:rsid w:val="001E4A1B"/>
    <w:rsid w:val="001E5FC5"/>
    <w:rsid w:val="001E64C8"/>
    <w:rsid w:val="001E65D6"/>
    <w:rsid w:val="001E6F91"/>
    <w:rsid w:val="001E7497"/>
    <w:rsid w:val="001E7756"/>
    <w:rsid w:val="001E7814"/>
    <w:rsid w:val="001E7883"/>
    <w:rsid w:val="001F0AB2"/>
    <w:rsid w:val="001F103F"/>
    <w:rsid w:val="001F1846"/>
    <w:rsid w:val="001F1C0D"/>
    <w:rsid w:val="001F2762"/>
    <w:rsid w:val="001F2818"/>
    <w:rsid w:val="001F34A9"/>
    <w:rsid w:val="001F383C"/>
    <w:rsid w:val="001F3C2B"/>
    <w:rsid w:val="001F4A0B"/>
    <w:rsid w:val="001F5516"/>
    <w:rsid w:val="001F5532"/>
    <w:rsid w:val="001F5BC7"/>
    <w:rsid w:val="001F5D97"/>
    <w:rsid w:val="001F6E23"/>
    <w:rsid w:val="001F7CA8"/>
    <w:rsid w:val="00200FF1"/>
    <w:rsid w:val="00201A7E"/>
    <w:rsid w:val="00201F2D"/>
    <w:rsid w:val="00202BC6"/>
    <w:rsid w:val="00202DFD"/>
    <w:rsid w:val="00203187"/>
    <w:rsid w:val="00203638"/>
    <w:rsid w:val="002039C5"/>
    <w:rsid w:val="00204954"/>
    <w:rsid w:val="002050D3"/>
    <w:rsid w:val="002057F5"/>
    <w:rsid w:val="002067A6"/>
    <w:rsid w:val="00206D06"/>
    <w:rsid w:val="002073A0"/>
    <w:rsid w:val="0021051D"/>
    <w:rsid w:val="00210A91"/>
    <w:rsid w:val="00211E24"/>
    <w:rsid w:val="00213025"/>
    <w:rsid w:val="0021330C"/>
    <w:rsid w:val="0021352A"/>
    <w:rsid w:val="00213CC1"/>
    <w:rsid w:val="0021461B"/>
    <w:rsid w:val="002149E1"/>
    <w:rsid w:val="00215255"/>
    <w:rsid w:val="00216035"/>
    <w:rsid w:val="002175AB"/>
    <w:rsid w:val="00217C57"/>
    <w:rsid w:val="00217C8D"/>
    <w:rsid w:val="002200E4"/>
    <w:rsid w:val="00220EB0"/>
    <w:rsid w:val="002219F0"/>
    <w:rsid w:val="00221D09"/>
    <w:rsid w:val="00222307"/>
    <w:rsid w:val="00222E0C"/>
    <w:rsid w:val="00223037"/>
    <w:rsid w:val="00223EF3"/>
    <w:rsid w:val="00224B89"/>
    <w:rsid w:val="0022518D"/>
    <w:rsid w:val="00225FEE"/>
    <w:rsid w:val="00226AE2"/>
    <w:rsid w:val="0022709C"/>
    <w:rsid w:val="00227D42"/>
    <w:rsid w:val="00230367"/>
    <w:rsid w:val="00230389"/>
    <w:rsid w:val="00230788"/>
    <w:rsid w:val="00231721"/>
    <w:rsid w:val="00231FB8"/>
    <w:rsid w:val="0023221D"/>
    <w:rsid w:val="00232462"/>
    <w:rsid w:val="002330AD"/>
    <w:rsid w:val="00233984"/>
    <w:rsid w:val="0023554A"/>
    <w:rsid w:val="0023596D"/>
    <w:rsid w:val="00235AD6"/>
    <w:rsid w:val="00236BEF"/>
    <w:rsid w:val="00236E2F"/>
    <w:rsid w:val="00236F5B"/>
    <w:rsid w:val="002371E9"/>
    <w:rsid w:val="00240341"/>
    <w:rsid w:val="0024034C"/>
    <w:rsid w:val="002403BD"/>
    <w:rsid w:val="0024042B"/>
    <w:rsid w:val="00240758"/>
    <w:rsid w:val="00241E27"/>
    <w:rsid w:val="00242231"/>
    <w:rsid w:val="002422C9"/>
    <w:rsid w:val="00242623"/>
    <w:rsid w:val="00242BB8"/>
    <w:rsid w:val="00242C37"/>
    <w:rsid w:val="00243892"/>
    <w:rsid w:val="0024390F"/>
    <w:rsid w:val="00243F92"/>
    <w:rsid w:val="00244AF9"/>
    <w:rsid w:val="00245819"/>
    <w:rsid w:val="00245D8F"/>
    <w:rsid w:val="00246F07"/>
    <w:rsid w:val="00247F30"/>
    <w:rsid w:val="0025031C"/>
    <w:rsid w:val="00250E1D"/>
    <w:rsid w:val="00250FBC"/>
    <w:rsid w:val="0025172D"/>
    <w:rsid w:val="00252D76"/>
    <w:rsid w:val="00254FE3"/>
    <w:rsid w:val="00256065"/>
    <w:rsid w:val="00256499"/>
    <w:rsid w:val="00256DF1"/>
    <w:rsid w:val="00256F1E"/>
    <w:rsid w:val="00257079"/>
    <w:rsid w:val="002602A6"/>
    <w:rsid w:val="00260AB1"/>
    <w:rsid w:val="00260E3A"/>
    <w:rsid w:val="00260FBF"/>
    <w:rsid w:val="00261574"/>
    <w:rsid w:val="00261630"/>
    <w:rsid w:val="00263290"/>
    <w:rsid w:val="0026333D"/>
    <w:rsid w:val="00264DD2"/>
    <w:rsid w:val="00264EBB"/>
    <w:rsid w:val="002657DA"/>
    <w:rsid w:val="00265E0C"/>
    <w:rsid w:val="0026798B"/>
    <w:rsid w:val="0027093D"/>
    <w:rsid w:val="00270B43"/>
    <w:rsid w:val="00270CBB"/>
    <w:rsid w:val="00271C05"/>
    <w:rsid w:val="002720D4"/>
    <w:rsid w:val="0027223D"/>
    <w:rsid w:val="0027268E"/>
    <w:rsid w:val="00272757"/>
    <w:rsid w:val="0027281E"/>
    <w:rsid w:val="00272A15"/>
    <w:rsid w:val="00273017"/>
    <w:rsid w:val="00273D95"/>
    <w:rsid w:val="002749D5"/>
    <w:rsid w:val="00274F5D"/>
    <w:rsid w:val="002756C0"/>
    <w:rsid w:val="00275A4E"/>
    <w:rsid w:val="0027607D"/>
    <w:rsid w:val="002765C2"/>
    <w:rsid w:val="0027660B"/>
    <w:rsid w:val="002766D7"/>
    <w:rsid w:val="00276AB1"/>
    <w:rsid w:val="00276AF3"/>
    <w:rsid w:val="00276C8C"/>
    <w:rsid w:val="002774A4"/>
    <w:rsid w:val="00280D61"/>
    <w:rsid w:val="00280DDC"/>
    <w:rsid w:val="0028160D"/>
    <w:rsid w:val="00282E3D"/>
    <w:rsid w:val="00283906"/>
    <w:rsid w:val="00283F5B"/>
    <w:rsid w:val="002849B6"/>
    <w:rsid w:val="0028503F"/>
    <w:rsid w:val="00285174"/>
    <w:rsid w:val="0028563C"/>
    <w:rsid w:val="0028565E"/>
    <w:rsid w:val="00286465"/>
    <w:rsid w:val="002873A3"/>
    <w:rsid w:val="00287522"/>
    <w:rsid w:val="00287670"/>
    <w:rsid w:val="002902F3"/>
    <w:rsid w:val="00291136"/>
    <w:rsid w:val="002911D2"/>
    <w:rsid w:val="002920D8"/>
    <w:rsid w:val="00293547"/>
    <w:rsid w:val="00293AA7"/>
    <w:rsid w:val="00295265"/>
    <w:rsid w:val="002956FE"/>
    <w:rsid w:val="00296A73"/>
    <w:rsid w:val="00296D2B"/>
    <w:rsid w:val="00297519"/>
    <w:rsid w:val="002975D9"/>
    <w:rsid w:val="002A1038"/>
    <w:rsid w:val="002A170C"/>
    <w:rsid w:val="002A1A75"/>
    <w:rsid w:val="002A3093"/>
    <w:rsid w:val="002A3C10"/>
    <w:rsid w:val="002A40BE"/>
    <w:rsid w:val="002A4BEA"/>
    <w:rsid w:val="002A56E1"/>
    <w:rsid w:val="002A5B1A"/>
    <w:rsid w:val="002A5D5B"/>
    <w:rsid w:val="002A5D86"/>
    <w:rsid w:val="002A5FFD"/>
    <w:rsid w:val="002A6C93"/>
    <w:rsid w:val="002A73A9"/>
    <w:rsid w:val="002B047A"/>
    <w:rsid w:val="002B15DB"/>
    <w:rsid w:val="002B25BE"/>
    <w:rsid w:val="002B2860"/>
    <w:rsid w:val="002B3F22"/>
    <w:rsid w:val="002B4158"/>
    <w:rsid w:val="002B4336"/>
    <w:rsid w:val="002B63BD"/>
    <w:rsid w:val="002B7DA7"/>
    <w:rsid w:val="002C0174"/>
    <w:rsid w:val="002C0652"/>
    <w:rsid w:val="002C2AA9"/>
    <w:rsid w:val="002C2C69"/>
    <w:rsid w:val="002C42C2"/>
    <w:rsid w:val="002C4EA5"/>
    <w:rsid w:val="002C51CD"/>
    <w:rsid w:val="002C5257"/>
    <w:rsid w:val="002C5E6F"/>
    <w:rsid w:val="002C637E"/>
    <w:rsid w:val="002C6BE2"/>
    <w:rsid w:val="002C6E27"/>
    <w:rsid w:val="002C75EE"/>
    <w:rsid w:val="002C7C1A"/>
    <w:rsid w:val="002C7C56"/>
    <w:rsid w:val="002D03B0"/>
    <w:rsid w:val="002D0CB7"/>
    <w:rsid w:val="002D0EAC"/>
    <w:rsid w:val="002D0F39"/>
    <w:rsid w:val="002D1D30"/>
    <w:rsid w:val="002D1DC5"/>
    <w:rsid w:val="002D2138"/>
    <w:rsid w:val="002D265B"/>
    <w:rsid w:val="002D3A30"/>
    <w:rsid w:val="002D401E"/>
    <w:rsid w:val="002D5241"/>
    <w:rsid w:val="002D636D"/>
    <w:rsid w:val="002D63B6"/>
    <w:rsid w:val="002D660C"/>
    <w:rsid w:val="002D6B46"/>
    <w:rsid w:val="002D6B55"/>
    <w:rsid w:val="002D79D7"/>
    <w:rsid w:val="002D7EEF"/>
    <w:rsid w:val="002E0FAF"/>
    <w:rsid w:val="002E1365"/>
    <w:rsid w:val="002E15BD"/>
    <w:rsid w:val="002E1747"/>
    <w:rsid w:val="002E1980"/>
    <w:rsid w:val="002E20A7"/>
    <w:rsid w:val="002E318E"/>
    <w:rsid w:val="002E487F"/>
    <w:rsid w:val="002E57F5"/>
    <w:rsid w:val="002E586B"/>
    <w:rsid w:val="002E64D8"/>
    <w:rsid w:val="002E74FC"/>
    <w:rsid w:val="002E7581"/>
    <w:rsid w:val="002F0011"/>
    <w:rsid w:val="002F02A4"/>
    <w:rsid w:val="002F0A86"/>
    <w:rsid w:val="002F15D5"/>
    <w:rsid w:val="002F377A"/>
    <w:rsid w:val="002F38A1"/>
    <w:rsid w:val="002F4A75"/>
    <w:rsid w:val="002F4E85"/>
    <w:rsid w:val="002F61A2"/>
    <w:rsid w:val="002F69F5"/>
    <w:rsid w:val="002F7727"/>
    <w:rsid w:val="002F77DD"/>
    <w:rsid w:val="002F78D4"/>
    <w:rsid w:val="002F78D5"/>
    <w:rsid w:val="00300851"/>
    <w:rsid w:val="00300944"/>
    <w:rsid w:val="00300ABD"/>
    <w:rsid w:val="00300ECC"/>
    <w:rsid w:val="00300EF1"/>
    <w:rsid w:val="00301604"/>
    <w:rsid w:val="0030188F"/>
    <w:rsid w:val="0030202F"/>
    <w:rsid w:val="0030320E"/>
    <w:rsid w:val="00305E03"/>
    <w:rsid w:val="0030642B"/>
    <w:rsid w:val="00306A99"/>
    <w:rsid w:val="003071DC"/>
    <w:rsid w:val="003106DC"/>
    <w:rsid w:val="00311208"/>
    <w:rsid w:val="00311FA7"/>
    <w:rsid w:val="00312D98"/>
    <w:rsid w:val="00313E6E"/>
    <w:rsid w:val="00313E9C"/>
    <w:rsid w:val="00313FAA"/>
    <w:rsid w:val="0031413B"/>
    <w:rsid w:val="0031457C"/>
    <w:rsid w:val="00315809"/>
    <w:rsid w:val="00316F1E"/>
    <w:rsid w:val="00317356"/>
    <w:rsid w:val="00317605"/>
    <w:rsid w:val="003177F2"/>
    <w:rsid w:val="00317CB2"/>
    <w:rsid w:val="00320B9D"/>
    <w:rsid w:val="003212F0"/>
    <w:rsid w:val="003213DC"/>
    <w:rsid w:val="00321B5A"/>
    <w:rsid w:val="003222D7"/>
    <w:rsid w:val="0032367C"/>
    <w:rsid w:val="00323829"/>
    <w:rsid w:val="003240C0"/>
    <w:rsid w:val="00324D31"/>
    <w:rsid w:val="00324D4D"/>
    <w:rsid w:val="00327A1B"/>
    <w:rsid w:val="00327A9E"/>
    <w:rsid w:val="00327B30"/>
    <w:rsid w:val="00327BB6"/>
    <w:rsid w:val="003300CF"/>
    <w:rsid w:val="003302E9"/>
    <w:rsid w:val="0033162F"/>
    <w:rsid w:val="003316F7"/>
    <w:rsid w:val="0033190C"/>
    <w:rsid w:val="003333A2"/>
    <w:rsid w:val="00334CC0"/>
    <w:rsid w:val="00335300"/>
    <w:rsid w:val="003353D3"/>
    <w:rsid w:val="0033540A"/>
    <w:rsid w:val="003363F2"/>
    <w:rsid w:val="00336FFB"/>
    <w:rsid w:val="00337460"/>
    <w:rsid w:val="0033754F"/>
    <w:rsid w:val="00337873"/>
    <w:rsid w:val="00340BC7"/>
    <w:rsid w:val="00341F00"/>
    <w:rsid w:val="00341F6C"/>
    <w:rsid w:val="00342679"/>
    <w:rsid w:val="00342967"/>
    <w:rsid w:val="0034511C"/>
    <w:rsid w:val="00345264"/>
    <w:rsid w:val="00346715"/>
    <w:rsid w:val="00347A3D"/>
    <w:rsid w:val="00350106"/>
    <w:rsid w:val="003504FE"/>
    <w:rsid w:val="0035088A"/>
    <w:rsid w:val="00350B4E"/>
    <w:rsid w:val="00351005"/>
    <w:rsid w:val="003518DB"/>
    <w:rsid w:val="00351D28"/>
    <w:rsid w:val="00353442"/>
    <w:rsid w:val="0035357D"/>
    <w:rsid w:val="00353A7F"/>
    <w:rsid w:val="00353B5B"/>
    <w:rsid w:val="0035422C"/>
    <w:rsid w:val="003543EB"/>
    <w:rsid w:val="00354BE6"/>
    <w:rsid w:val="00354D3E"/>
    <w:rsid w:val="003552B8"/>
    <w:rsid w:val="00355D4E"/>
    <w:rsid w:val="00357000"/>
    <w:rsid w:val="00357AB0"/>
    <w:rsid w:val="0036052B"/>
    <w:rsid w:val="00361991"/>
    <w:rsid w:val="00361F62"/>
    <w:rsid w:val="00361FD1"/>
    <w:rsid w:val="00362CD5"/>
    <w:rsid w:val="00362FC5"/>
    <w:rsid w:val="003638AE"/>
    <w:rsid w:val="003645BB"/>
    <w:rsid w:val="00364825"/>
    <w:rsid w:val="00364BDA"/>
    <w:rsid w:val="00365A59"/>
    <w:rsid w:val="00366C5C"/>
    <w:rsid w:val="0037105F"/>
    <w:rsid w:val="0037172C"/>
    <w:rsid w:val="00373B27"/>
    <w:rsid w:val="0037416E"/>
    <w:rsid w:val="00374484"/>
    <w:rsid w:val="00374D76"/>
    <w:rsid w:val="00376300"/>
    <w:rsid w:val="003774C4"/>
    <w:rsid w:val="00380267"/>
    <w:rsid w:val="00380619"/>
    <w:rsid w:val="003806B1"/>
    <w:rsid w:val="00380B5C"/>
    <w:rsid w:val="0038111F"/>
    <w:rsid w:val="003814E8"/>
    <w:rsid w:val="00383231"/>
    <w:rsid w:val="003835E1"/>
    <w:rsid w:val="00383E29"/>
    <w:rsid w:val="00384301"/>
    <w:rsid w:val="00384F71"/>
    <w:rsid w:val="0038523C"/>
    <w:rsid w:val="003858BB"/>
    <w:rsid w:val="00385E9D"/>
    <w:rsid w:val="003865EF"/>
    <w:rsid w:val="00386DAC"/>
    <w:rsid w:val="00387224"/>
    <w:rsid w:val="00387664"/>
    <w:rsid w:val="0038789B"/>
    <w:rsid w:val="00387B95"/>
    <w:rsid w:val="00390511"/>
    <w:rsid w:val="00390E99"/>
    <w:rsid w:val="00390F37"/>
    <w:rsid w:val="00391291"/>
    <w:rsid w:val="00392774"/>
    <w:rsid w:val="0039394C"/>
    <w:rsid w:val="00394B19"/>
    <w:rsid w:val="00394FA4"/>
    <w:rsid w:val="0039552A"/>
    <w:rsid w:val="003963FA"/>
    <w:rsid w:val="00396BA4"/>
    <w:rsid w:val="00396C49"/>
    <w:rsid w:val="003971BB"/>
    <w:rsid w:val="00397459"/>
    <w:rsid w:val="00397E6A"/>
    <w:rsid w:val="003A0792"/>
    <w:rsid w:val="003A0EA1"/>
    <w:rsid w:val="003A113F"/>
    <w:rsid w:val="003A2715"/>
    <w:rsid w:val="003A309A"/>
    <w:rsid w:val="003A3239"/>
    <w:rsid w:val="003A364F"/>
    <w:rsid w:val="003A3C28"/>
    <w:rsid w:val="003A40B5"/>
    <w:rsid w:val="003A5976"/>
    <w:rsid w:val="003A5B83"/>
    <w:rsid w:val="003A6971"/>
    <w:rsid w:val="003A7A1D"/>
    <w:rsid w:val="003A7EBD"/>
    <w:rsid w:val="003B054A"/>
    <w:rsid w:val="003B0D19"/>
    <w:rsid w:val="003B1F67"/>
    <w:rsid w:val="003B29A4"/>
    <w:rsid w:val="003B356A"/>
    <w:rsid w:val="003B3576"/>
    <w:rsid w:val="003B3FEC"/>
    <w:rsid w:val="003B42D8"/>
    <w:rsid w:val="003B4F47"/>
    <w:rsid w:val="003B5919"/>
    <w:rsid w:val="003B690D"/>
    <w:rsid w:val="003B6B05"/>
    <w:rsid w:val="003B6E43"/>
    <w:rsid w:val="003B71DC"/>
    <w:rsid w:val="003B79E8"/>
    <w:rsid w:val="003C1401"/>
    <w:rsid w:val="003C1913"/>
    <w:rsid w:val="003C19C0"/>
    <w:rsid w:val="003C1CF4"/>
    <w:rsid w:val="003C3084"/>
    <w:rsid w:val="003C3644"/>
    <w:rsid w:val="003C38AA"/>
    <w:rsid w:val="003C39C3"/>
    <w:rsid w:val="003C3A0C"/>
    <w:rsid w:val="003C4B8A"/>
    <w:rsid w:val="003C6482"/>
    <w:rsid w:val="003C7184"/>
    <w:rsid w:val="003C7392"/>
    <w:rsid w:val="003C744C"/>
    <w:rsid w:val="003C79B1"/>
    <w:rsid w:val="003D0177"/>
    <w:rsid w:val="003D0F35"/>
    <w:rsid w:val="003D1064"/>
    <w:rsid w:val="003D1076"/>
    <w:rsid w:val="003D1307"/>
    <w:rsid w:val="003D2039"/>
    <w:rsid w:val="003D2539"/>
    <w:rsid w:val="003D3A16"/>
    <w:rsid w:val="003D3D44"/>
    <w:rsid w:val="003D4BEF"/>
    <w:rsid w:val="003D4EFD"/>
    <w:rsid w:val="003D537D"/>
    <w:rsid w:val="003D6877"/>
    <w:rsid w:val="003D7285"/>
    <w:rsid w:val="003E08E6"/>
    <w:rsid w:val="003E0A1D"/>
    <w:rsid w:val="003E0AD3"/>
    <w:rsid w:val="003E1C07"/>
    <w:rsid w:val="003E4698"/>
    <w:rsid w:val="003E5CF9"/>
    <w:rsid w:val="003E6023"/>
    <w:rsid w:val="003E6512"/>
    <w:rsid w:val="003E7099"/>
    <w:rsid w:val="003E7278"/>
    <w:rsid w:val="003E74E0"/>
    <w:rsid w:val="003F0081"/>
    <w:rsid w:val="003F0D8F"/>
    <w:rsid w:val="003F1028"/>
    <w:rsid w:val="003F154A"/>
    <w:rsid w:val="003F1A93"/>
    <w:rsid w:val="003F4640"/>
    <w:rsid w:val="003F486D"/>
    <w:rsid w:val="003F4A91"/>
    <w:rsid w:val="003F5390"/>
    <w:rsid w:val="003F563E"/>
    <w:rsid w:val="003F6B4F"/>
    <w:rsid w:val="003F6D9C"/>
    <w:rsid w:val="003F6FAD"/>
    <w:rsid w:val="004001B6"/>
    <w:rsid w:val="00400625"/>
    <w:rsid w:val="00400DF7"/>
    <w:rsid w:val="00401507"/>
    <w:rsid w:val="00401513"/>
    <w:rsid w:val="00402132"/>
    <w:rsid w:val="0040340F"/>
    <w:rsid w:val="004036B4"/>
    <w:rsid w:val="00403DB7"/>
    <w:rsid w:val="0040465E"/>
    <w:rsid w:val="0040493B"/>
    <w:rsid w:val="00404A66"/>
    <w:rsid w:val="00404AF2"/>
    <w:rsid w:val="00404EF6"/>
    <w:rsid w:val="004052EE"/>
    <w:rsid w:val="0040581C"/>
    <w:rsid w:val="004063BB"/>
    <w:rsid w:val="00406A27"/>
    <w:rsid w:val="00406C7B"/>
    <w:rsid w:val="00407129"/>
    <w:rsid w:val="00407459"/>
    <w:rsid w:val="00407819"/>
    <w:rsid w:val="004078A2"/>
    <w:rsid w:val="00407FB1"/>
    <w:rsid w:val="00410031"/>
    <w:rsid w:val="00411369"/>
    <w:rsid w:val="00411CED"/>
    <w:rsid w:val="00411EA5"/>
    <w:rsid w:val="00412A05"/>
    <w:rsid w:val="004138E9"/>
    <w:rsid w:val="00414168"/>
    <w:rsid w:val="004143DA"/>
    <w:rsid w:val="00414A37"/>
    <w:rsid w:val="00415238"/>
    <w:rsid w:val="00415841"/>
    <w:rsid w:val="00415874"/>
    <w:rsid w:val="004172B3"/>
    <w:rsid w:val="00417B8A"/>
    <w:rsid w:val="00417C11"/>
    <w:rsid w:val="004208E8"/>
    <w:rsid w:val="00422F76"/>
    <w:rsid w:val="0042307E"/>
    <w:rsid w:val="00423129"/>
    <w:rsid w:val="0042320E"/>
    <w:rsid w:val="0042326E"/>
    <w:rsid w:val="00424B39"/>
    <w:rsid w:val="0042705A"/>
    <w:rsid w:val="00427EE2"/>
    <w:rsid w:val="004309AE"/>
    <w:rsid w:val="00430A6A"/>
    <w:rsid w:val="00430EA4"/>
    <w:rsid w:val="00431F16"/>
    <w:rsid w:val="004325D0"/>
    <w:rsid w:val="004326AA"/>
    <w:rsid w:val="00432F76"/>
    <w:rsid w:val="00435AFF"/>
    <w:rsid w:val="00435B64"/>
    <w:rsid w:val="0043636A"/>
    <w:rsid w:val="0043659B"/>
    <w:rsid w:val="004370D4"/>
    <w:rsid w:val="00437369"/>
    <w:rsid w:val="00440652"/>
    <w:rsid w:val="004419ED"/>
    <w:rsid w:val="00442593"/>
    <w:rsid w:val="00442F00"/>
    <w:rsid w:val="0044403F"/>
    <w:rsid w:val="0044496B"/>
    <w:rsid w:val="0044508E"/>
    <w:rsid w:val="0044525E"/>
    <w:rsid w:val="00445300"/>
    <w:rsid w:val="004455BA"/>
    <w:rsid w:val="004458B1"/>
    <w:rsid w:val="00445990"/>
    <w:rsid w:val="00445C75"/>
    <w:rsid w:val="00446632"/>
    <w:rsid w:val="004475AD"/>
    <w:rsid w:val="00447E8F"/>
    <w:rsid w:val="00450674"/>
    <w:rsid w:val="00451315"/>
    <w:rsid w:val="00451E00"/>
    <w:rsid w:val="00452DAF"/>
    <w:rsid w:val="0045300C"/>
    <w:rsid w:val="00453446"/>
    <w:rsid w:val="00453456"/>
    <w:rsid w:val="00453889"/>
    <w:rsid w:val="00454326"/>
    <w:rsid w:val="004550ED"/>
    <w:rsid w:val="0045615D"/>
    <w:rsid w:val="0045619F"/>
    <w:rsid w:val="0045784F"/>
    <w:rsid w:val="004611BC"/>
    <w:rsid w:val="004615FC"/>
    <w:rsid w:val="00462359"/>
    <w:rsid w:val="00462B51"/>
    <w:rsid w:val="00462F5E"/>
    <w:rsid w:val="00462FFF"/>
    <w:rsid w:val="004635F2"/>
    <w:rsid w:val="0046424C"/>
    <w:rsid w:val="0046612C"/>
    <w:rsid w:val="00466950"/>
    <w:rsid w:val="00466B52"/>
    <w:rsid w:val="00466D52"/>
    <w:rsid w:val="0046707F"/>
    <w:rsid w:val="00467194"/>
    <w:rsid w:val="004675AC"/>
    <w:rsid w:val="00470253"/>
    <w:rsid w:val="00470BD1"/>
    <w:rsid w:val="004713C3"/>
    <w:rsid w:val="00471CB8"/>
    <w:rsid w:val="00471E27"/>
    <w:rsid w:val="004724E2"/>
    <w:rsid w:val="00472D3E"/>
    <w:rsid w:val="00472EAD"/>
    <w:rsid w:val="00473B1A"/>
    <w:rsid w:val="0047416D"/>
    <w:rsid w:val="004746C7"/>
    <w:rsid w:val="0047492C"/>
    <w:rsid w:val="00474F31"/>
    <w:rsid w:val="00474FC1"/>
    <w:rsid w:val="004751F8"/>
    <w:rsid w:val="00475312"/>
    <w:rsid w:val="00475B5C"/>
    <w:rsid w:val="004768FB"/>
    <w:rsid w:val="00476FFD"/>
    <w:rsid w:val="00477162"/>
    <w:rsid w:val="0047735D"/>
    <w:rsid w:val="00477CB7"/>
    <w:rsid w:val="004806F3"/>
    <w:rsid w:val="004808FC"/>
    <w:rsid w:val="00481873"/>
    <w:rsid w:val="00481BEC"/>
    <w:rsid w:val="00481FE4"/>
    <w:rsid w:val="004824B6"/>
    <w:rsid w:val="00484091"/>
    <w:rsid w:val="00484900"/>
    <w:rsid w:val="00484F6B"/>
    <w:rsid w:val="004859B1"/>
    <w:rsid w:val="0048630F"/>
    <w:rsid w:val="0048759A"/>
    <w:rsid w:val="00487AE1"/>
    <w:rsid w:val="00487D29"/>
    <w:rsid w:val="00491AE2"/>
    <w:rsid w:val="0049301E"/>
    <w:rsid w:val="004933EF"/>
    <w:rsid w:val="004935C5"/>
    <w:rsid w:val="004938E5"/>
    <w:rsid w:val="00493CAF"/>
    <w:rsid w:val="00493CDA"/>
    <w:rsid w:val="00494884"/>
    <w:rsid w:val="00494FB2"/>
    <w:rsid w:val="004951C7"/>
    <w:rsid w:val="00495968"/>
    <w:rsid w:val="00495B4B"/>
    <w:rsid w:val="00495C48"/>
    <w:rsid w:val="00495E46"/>
    <w:rsid w:val="004964AC"/>
    <w:rsid w:val="004964DF"/>
    <w:rsid w:val="00496AF3"/>
    <w:rsid w:val="004979A3"/>
    <w:rsid w:val="004A0D1F"/>
    <w:rsid w:val="004A0DE5"/>
    <w:rsid w:val="004A30D3"/>
    <w:rsid w:val="004A3767"/>
    <w:rsid w:val="004A389D"/>
    <w:rsid w:val="004A5C5F"/>
    <w:rsid w:val="004A62F5"/>
    <w:rsid w:val="004A77F4"/>
    <w:rsid w:val="004A7CFA"/>
    <w:rsid w:val="004B003D"/>
    <w:rsid w:val="004B06BB"/>
    <w:rsid w:val="004B0748"/>
    <w:rsid w:val="004B0ADE"/>
    <w:rsid w:val="004B1142"/>
    <w:rsid w:val="004B15BF"/>
    <w:rsid w:val="004B16E3"/>
    <w:rsid w:val="004B2129"/>
    <w:rsid w:val="004B21C2"/>
    <w:rsid w:val="004B26F4"/>
    <w:rsid w:val="004B31EB"/>
    <w:rsid w:val="004B3528"/>
    <w:rsid w:val="004B3CE2"/>
    <w:rsid w:val="004B494E"/>
    <w:rsid w:val="004B5662"/>
    <w:rsid w:val="004B57B0"/>
    <w:rsid w:val="004B5C72"/>
    <w:rsid w:val="004B6249"/>
    <w:rsid w:val="004B636B"/>
    <w:rsid w:val="004B696B"/>
    <w:rsid w:val="004B6ECB"/>
    <w:rsid w:val="004B7482"/>
    <w:rsid w:val="004B7666"/>
    <w:rsid w:val="004C008E"/>
    <w:rsid w:val="004C03F5"/>
    <w:rsid w:val="004C1948"/>
    <w:rsid w:val="004C1C53"/>
    <w:rsid w:val="004C1C80"/>
    <w:rsid w:val="004C23F8"/>
    <w:rsid w:val="004C26FB"/>
    <w:rsid w:val="004C29BF"/>
    <w:rsid w:val="004C368D"/>
    <w:rsid w:val="004C410E"/>
    <w:rsid w:val="004C5579"/>
    <w:rsid w:val="004C5E79"/>
    <w:rsid w:val="004C6DD9"/>
    <w:rsid w:val="004C71F7"/>
    <w:rsid w:val="004C7468"/>
    <w:rsid w:val="004C797B"/>
    <w:rsid w:val="004C7992"/>
    <w:rsid w:val="004C7C89"/>
    <w:rsid w:val="004C7EC3"/>
    <w:rsid w:val="004D0B94"/>
    <w:rsid w:val="004D128A"/>
    <w:rsid w:val="004D28FC"/>
    <w:rsid w:val="004D2CD3"/>
    <w:rsid w:val="004D3668"/>
    <w:rsid w:val="004D39A8"/>
    <w:rsid w:val="004D43C3"/>
    <w:rsid w:val="004D45C5"/>
    <w:rsid w:val="004D4878"/>
    <w:rsid w:val="004D51F6"/>
    <w:rsid w:val="004D53C4"/>
    <w:rsid w:val="004D7B53"/>
    <w:rsid w:val="004D7F91"/>
    <w:rsid w:val="004D7FAE"/>
    <w:rsid w:val="004E081E"/>
    <w:rsid w:val="004E1B8C"/>
    <w:rsid w:val="004E2663"/>
    <w:rsid w:val="004E29EE"/>
    <w:rsid w:val="004E2B80"/>
    <w:rsid w:val="004E2E07"/>
    <w:rsid w:val="004E55DF"/>
    <w:rsid w:val="004E5B46"/>
    <w:rsid w:val="004E5DB5"/>
    <w:rsid w:val="004E64C5"/>
    <w:rsid w:val="004E688D"/>
    <w:rsid w:val="004E739A"/>
    <w:rsid w:val="004E7553"/>
    <w:rsid w:val="004E75E3"/>
    <w:rsid w:val="004F07DE"/>
    <w:rsid w:val="004F196C"/>
    <w:rsid w:val="004F2547"/>
    <w:rsid w:val="004F2DE0"/>
    <w:rsid w:val="004F31CA"/>
    <w:rsid w:val="004F483F"/>
    <w:rsid w:val="004F4F33"/>
    <w:rsid w:val="004F5737"/>
    <w:rsid w:val="004F627A"/>
    <w:rsid w:val="00500162"/>
    <w:rsid w:val="005003DC"/>
    <w:rsid w:val="0050096F"/>
    <w:rsid w:val="00500EF6"/>
    <w:rsid w:val="00501D4D"/>
    <w:rsid w:val="005022E0"/>
    <w:rsid w:val="00502C05"/>
    <w:rsid w:val="00502F2E"/>
    <w:rsid w:val="005034C6"/>
    <w:rsid w:val="005038AA"/>
    <w:rsid w:val="00503DC3"/>
    <w:rsid w:val="005048F1"/>
    <w:rsid w:val="00505AD4"/>
    <w:rsid w:val="0050692C"/>
    <w:rsid w:val="00507023"/>
    <w:rsid w:val="00507370"/>
    <w:rsid w:val="00507C93"/>
    <w:rsid w:val="00511033"/>
    <w:rsid w:val="00512293"/>
    <w:rsid w:val="00512A84"/>
    <w:rsid w:val="0051356F"/>
    <w:rsid w:val="00513848"/>
    <w:rsid w:val="00513AD7"/>
    <w:rsid w:val="00513CEB"/>
    <w:rsid w:val="00514558"/>
    <w:rsid w:val="00515B60"/>
    <w:rsid w:val="00515DB2"/>
    <w:rsid w:val="00516ADC"/>
    <w:rsid w:val="005174B1"/>
    <w:rsid w:val="0052030F"/>
    <w:rsid w:val="005206F8"/>
    <w:rsid w:val="00521169"/>
    <w:rsid w:val="00521B6A"/>
    <w:rsid w:val="00521E1C"/>
    <w:rsid w:val="00522351"/>
    <w:rsid w:val="00522EA3"/>
    <w:rsid w:val="005237C4"/>
    <w:rsid w:val="0052393C"/>
    <w:rsid w:val="005242C1"/>
    <w:rsid w:val="00524A93"/>
    <w:rsid w:val="00524D65"/>
    <w:rsid w:val="005252DE"/>
    <w:rsid w:val="005253DA"/>
    <w:rsid w:val="005256BE"/>
    <w:rsid w:val="005257D6"/>
    <w:rsid w:val="0052606D"/>
    <w:rsid w:val="005273F1"/>
    <w:rsid w:val="00530608"/>
    <w:rsid w:val="00531D01"/>
    <w:rsid w:val="005328F7"/>
    <w:rsid w:val="0053290E"/>
    <w:rsid w:val="00534EDD"/>
    <w:rsid w:val="00534F84"/>
    <w:rsid w:val="00535A67"/>
    <w:rsid w:val="00535AAE"/>
    <w:rsid w:val="00536556"/>
    <w:rsid w:val="005365EE"/>
    <w:rsid w:val="005367B1"/>
    <w:rsid w:val="005368BE"/>
    <w:rsid w:val="00536E9B"/>
    <w:rsid w:val="00537C69"/>
    <w:rsid w:val="00540A11"/>
    <w:rsid w:val="00540B2B"/>
    <w:rsid w:val="00540E7F"/>
    <w:rsid w:val="00541300"/>
    <w:rsid w:val="005416C2"/>
    <w:rsid w:val="00541925"/>
    <w:rsid w:val="00542552"/>
    <w:rsid w:val="00542797"/>
    <w:rsid w:val="00543764"/>
    <w:rsid w:val="0054390E"/>
    <w:rsid w:val="00543AF2"/>
    <w:rsid w:val="005445AD"/>
    <w:rsid w:val="00544652"/>
    <w:rsid w:val="0054473D"/>
    <w:rsid w:val="00545555"/>
    <w:rsid w:val="00545678"/>
    <w:rsid w:val="00546160"/>
    <w:rsid w:val="005464E3"/>
    <w:rsid w:val="005470F3"/>
    <w:rsid w:val="00547386"/>
    <w:rsid w:val="0054752E"/>
    <w:rsid w:val="00547FB4"/>
    <w:rsid w:val="0055043A"/>
    <w:rsid w:val="00550ECD"/>
    <w:rsid w:val="00551206"/>
    <w:rsid w:val="00551447"/>
    <w:rsid w:val="00552432"/>
    <w:rsid w:val="00553420"/>
    <w:rsid w:val="0055355E"/>
    <w:rsid w:val="00554529"/>
    <w:rsid w:val="00554CE1"/>
    <w:rsid w:val="0055514E"/>
    <w:rsid w:val="00555420"/>
    <w:rsid w:val="0055556C"/>
    <w:rsid w:val="00556343"/>
    <w:rsid w:val="00556762"/>
    <w:rsid w:val="00556A16"/>
    <w:rsid w:val="00556D32"/>
    <w:rsid w:val="005571DF"/>
    <w:rsid w:val="005574BC"/>
    <w:rsid w:val="00557781"/>
    <w:rsid w:val="005577FB"/>
    <w:rsid w:val="005607B3"/>
    <w:rsid w:val="00562D5E"/>
    <w:rsid w:val="00563A76"/>
    <w:rsid w:val="00563B35"/>
    <w:rsid w:val="005640E7"/>
    <w:rsid w:val="005641D1"/>
    <w:rsid w:val="005647B0"/>
    <w:rsid w:val="00564B4F"/>
    <w:rsid w:val="00565151"/>
    <w:rsid w:val="00565327"/>
    <w:rsid w:val="00565ABA"/>
    <w:rsid w:val="00567505"/>
    <w:rsid w:val="00567BE5"/>
    <w:rsid w:val="00567D42"/>
    <w:rsid w:val="0057028B"/>
    <w:rsid w:val="00570354"/>
    <w:rsid w:val="00570ACE"/>
    <w:rsid w:val="005714FB"/>
    <w:rsid w:val="00572180"/>
    <w:rsid w:val="00572210"/>
    <w:rsid w:val="005722DC"/>
    <w:rsid w:val="00573763"/>
    <w:rsid w:val="00573F9A"/>
    <w:rsid w:val="0057455E"/>
    <w:rsid w:val="005745B9"/>
    <w:rsid w:val="0057583C"/>
    <w:rsid w:val="00575DE2"/>
    <w:rsid w:val="00576067"/>
    <w:rsid w:val="00576159"/>
    <w:rsid w:val="00577DE7"/>
    <w:rsid w:val="005805D7"/>
    <w:rsid w:val="0058095B"/>
    <w:rsid w:val="005814F9"/>
    <w:rsid w:val="0058150B"/>
    <w:rsid w:val="00581E99"/>
    <w:rsid w:val="00581F61"/>
    <w:rsid w:val="00582184"/>
    <w:rsid w:val="005830CB"/>
    <w:rsid w:val="00583995"/>
    <w:rsid w:val="00583FC1"/>
    <w:rsid w:val="00585A5E"/>
    <w:rsid w:val="00585B8A"/>
    <w:rsid w:val="00585F1E"/>
    <w:rsid w:val="00586009"/>
    <w:rsid w:val="005874E1"/>
    <w:rsid w:val="00587692"/>
    <w:rsid w:val="00590173"/>
    <w:rsid w:val="00590B7A"/>
    <w:rsid w:val="00590C3F"/>
    <w:rsid w:val="00590E6D"/>
    <w:rsid w:val="00590F2F"/>
    <w:rsid w:val="005913A1"/>
    <w:rsid w:val="00591BD7"/>
    <w:rsid w:val="00591FC9"/>
    <w:rsid w:val="005922D7"/>
    <w:rsid w:val="005926BC"/>
    <w:rsid w:val="0059276F"/>
    <w:rsid w:val="00592C07"/>
    <w:rsid w:val="005934D0"/>
    <w:rsid w:val="00594826"/>
    <w:rsid w:val="00596747"/>
    <w:rsid w:val="00596869"/>
    <w:rsid w:val="00596E5B"/>
    <w:rsid w:val="00596F89"/>
    <w:rsid w:val="00597403"/>
    <w:rsid w:val="0059748D"/>
    <w:rsid w:val="005974B0"/>
    <w:rsid w:val="00597B35"/>
    <w:rsid w:val="005A06BD"/>
    <w:rsid w:val="005A07A2"/>
    <w:rsid w:val="005A1220"/>
    <w:rsid w:val="005A1273"/>
    <w:rsid w:val="005A13CC"/>
    <w:rsid w:val="005A1638"/>
    <w:rsid w:val="005A1694"/>
    <w:rsid w:val="005A1809"/>
    <w:rsid w:val="005A20B0"/>
    <w:rsid w:val="005A26BA"/>
    <w:rsid w:val="005A292D"/>
    <w:rsid w:val="005A410D"/>
    <w:rsid w:val="005A4ACF"/>
    <w:rsid w:val="005A5527"/>
    <w:rsid w:val="005A5FB8"/>
    <w:rsid w:val="005A62F5"/>
    <w:rsid w:val="005A6CAD"/>
    <w:rsid w:val="005A71C9"/>
    <w:rsid w:val="005A75E6"/>
    <w:rsid w:val="005A7779"/>
    <w:rsid w:val="005A7F58"/>
    <w:rsid w:val="005B00AD"/>
    <w:rsid w:val="005B0972"/>
    <w:rsid w:val="005B0E84"/>
    <w:rsid w:val="005B1414"/>
    <w:rsid w:val="005B1CB3"/>
    <w:rsid w:val="005B1F8A"/>
    <w:rsid w:val="005B27F4"/>
    <w:rsid w:val="005B309D"/>
    <w:rsid w:val="005B3303"/>
    <w:rsid w:val="005B3A5D"/>
    <w:rsid w:val="005B3E96"/>
    <w:rsid w:val="005B500D"/>
    <w:rsid w:val="005B731D"/>
    <w:rsid w:val="005B78FC"/>
    <w:rsid w:val="005B7D1B"/>
    <w:rsid w:val="005C0821"/>
    <w:rsid w:val="005C10A6"/>
    <w:rsid w:val="005C3195"/>
    <w:rsid w:val="005C32A9"/>
    <w:rsid w:val="005C38BF"/>
    <w:rsid w:val="005C3B3E"/>
    <w:rsid w:val="005C40AA"/>
    <w:rsid w:val="005C4AA0"/>
    <w:rsid w:val="005C5B61"/>
    <w:rsid w:val="005C600D"/>
    <w:rsid w:val="005C6338"/>
    <w:rsid w:val="005C6428"/>
    <w:rsid w:val="005C727F"/>
    <w:rsid w:val="005C7B55"/>
    <w:rsid w:val="005D1021"/>
    <w:rsid w:val="005D26A4"/>
    <w:rsid w:val="005D2B4D"/>
    <w:rsid w:val="005D3305"/>
    <w:rsid w:val="005D3BAC"/>
    <w:rsid w:val="005D63AD"/>
    <w:rsid w:val="005D6A0C"/>
    <w:rsid w:val="005D6E56"/>
    <w:rsid w:val="005D6F21"/>
    <w:rsid w:val="005D6F66"/>
    <w:rsid w:val="005D73F1"/>
    <w:rsid w:val="005D7534"/>
    <w:rsid w:val="005D7A9E"/>
    <w:rsid w:val="005D7D6E"/>
    <w:rsid w:val="005E06DB"/>
    <w:rsid w:val="005E0C99"/>
    <w:rsid w:val="005E16C8"/>
    <w:rsid w:val="005E1EBC"/>
    <w:rsid w:val="005E1FED"/>
    <w:rsid w:val="005E22A6"/>
    <w:rsid w:val="005E418E"/>
    <w:rsid w:val="005E4656"/>
    <w:rsid w:val="005E47DD"/>
    <w:rsid w:val="005E4B11"/>
    <w:rsid w:val="005E4F0A"/>
    <w:rsid w:val="005E5E60"/>
    <w:rsid w:val="005E6823"/>
    <w:rsid w:val="005E6948"/>
    <w:rsid w:val="005E70C7"/>
    <w:rsid w:val="005E7925"/>
    <w:rsid w:val="005F0BCD"/>
    <w:rsid w:val="005F0BE8"/>
    <w:rsid w:val="005F13F2"/>
    <w:rsid w:val="005F2221"/>
    <w:rsid w:val="005F2FB8"/>
    <w:rsid w:val="005F362C"/>
    <w:rsid w:val="005F36FE"/>
    <w:rsid w:val="005F4538"/>
    <w:rsid w:val="005F4872"/>
    <w:rsid w:val="005F5545"/>
    <w:rsid w:val="005F570C"/>
    <w:rsid w:val="005F58FE"/>
    <w:rsid w:val="005F5AA9"/>
    <w:rsid w:val="005F60A1"/>
    <w:rsid w:val="005F67CC"/>
    <w:rsid w:val="005F6DA3"/>
    <w:rsid w:val="005F77FB"/>
    <w:rsid w:val="005F7B7E"/>
    <w:rsid w:val="005F7EA1"/>
    <w:rsid w:val="006000F3"/>
    <w:rsid w:val="0060089D"/>
    <w:rsid w:val="00600A4B"/>
    <w:rsid w:val="00601918"/>
    <w:rsid w:val="00603228"/>
    <w:rsid w:val="006035EF"/>
    <w:rsid w:val="00603DD2"/>
    <w:rsid w:val="006043FC"/>
    <w:rsid w:val="00604E84"/>
    <w:rsid w:val="006052A8"/>
    <w:rsid w:val="0060573E"/>
    <w:rsid w:val="00606774"/>
    <w:rsid w:val="00606E18"/>
    <w:rsid w:val="00607903"/>
    <w:rsid w:val="0060791A"/>
    <w:rsid w:val="00607C2F"/>
    <w:rsid w:val="0061115D"/>
    <w:rsid w:val="00611450"/>
    <w:rsid w:val="006120FA"/>
    <w:rsid w:val="00612107"/>
    <w:rsid w:val="0061421C"/>
    <w:rsid w:val="00614488"/>
    <w:rsid w:val="006169C8"/>
    <w:rsid w:val="00616E89"/>
    <w:rsid w:val="00617BC6"/>
    <w:rsid w:val="00617C0F"/>
    <w:rsid w:val="00617D0C"/>
    <w:rsid w:val="00620C3F"/>
    <w:rsid w:val="00620CAF"/>
    <w:rsid w:val="006211A7"/>
    <w:rsid w:val="006224FB"/>
    <w:rsid w:val="00622682"/>
    <w:rsid w:val="00622C6E"/>
    <w:rsid w:val="006230D9"/>
    <w:rsid w:val="00624368"/>
    <w:rsid w:val="00624DD0"/>
    <w:rsid w:val="0062544E"/>
    <w:rsid w:val="0062647A"/>
    <w:rsid w:val="00626C02"/>
    <w:rsid w:val="00627012"/>
    <w:rsid w:val="00627978"/>
    <w:rsid w:val="006302A8"/>
    <w:rsid w:val="00630345"/>
    <w:rsid w:val="00630515"/>
    <w:rsid w:val="00630DAE"/>
    <w:rsid w:val="0063173D"/>
    <w:rsid w:val="00631FCA"/>
    <w:rsid w:val="0063207B"/>
    <w:rsid w:val="00632496"/>
    <w:rsid w:val="00632912"/>
    <w:rsid w:val="00634925"/>
    <w:rsid w:val="00635080"/>
    <w:rsid w:val="00636286"/>
    <w:rsid w:val="006366AB"/>
    <w:rsid w:val="0063683C"/>
    <w:rsid w:val="006373F1"/>
    <w:rsid w:val="00640355"/>
    <w:rsid w:val="006408A3"/>
    <w:rsid w:val="00641EC5"/>
    <w:rsid w:val="00642208"/>
    <w:rsid w:val="006423B5"/>
    <w:rsid w:val="00642FCB"/>
    <w:rsid w:val="0064381A"/>
    <w:rsid w:val="00643958"/>
    <w:rsid w:val="00643C41"/>
    <w:rsid w:val="00644350"/>
    <w:rsid w:val="006450C4"/>
    <w:rsid w:val="006455CC"/>
    <w:rsid w:val="006465F2"/>
    <w:rsid w:val="00646C29"/>
    <w:rsid w:val="006474B0"/>
    <w:rsid w:val="006477E7"/>
    <w:rsid w:val="00647A82"/>
    <w:rsid w:val="00652324"/>
    <w:rsid w:val="00652BFD"/>
    <w:rsid w:val="00653049"/>
    <w:rsid w:val="0065471C"/>
    <w:rsid w:val="00654988"/>
    <w:rsid w:val="00654ACA"/>
    <w:rsid w:val="00654BBF"/>
    <w:rsid w:val="00654E50"/>
    <w:rsid w:val="006550F9"/>
    <w:rsid w:val="00656A02"/>
    <w:rsid w:val="00656ACF"/>
    <w:rsid w:val="00657FDF"/>
    <w:rsid w:val="00660AF6"/>
    <w:rsid w:val="0066118E"/>
    <w:rsid w:val="00661B34"/>
    <w:rsid w:val="00661E28"/>
    <w:rsid w:val="00661E33"/>
    <w:rsid w:val="006622C7"/>
    <w:rsid w:val="006623B4"/>
    <w:rsid w:val="00662D08"/>
    <w:rsid w:val="00663291"/>
    <w:rsid w:val="006643FD"/>
    <w:rsid w:val="00664452"/>
    <w:rsid w:val="00664C05"/>
    <w:rsid w:val="0066565E"/>
    <w:rsid w:val="0066607C"/>
    <w:rsid w:val="00666177"/>
    <w:rsid w:val="00666436"/>
    <w:rsid w:val="00666E59"/>
    <w:rsid w:val="00667593"/>
    <w:rsid w:val="00667FC2"/>
    <w:rsid w:val="00670124"/>
    <w:rsid w:val="00671D2E"/>
    <w:rsid w:val="006721C8"/>
    <w:rsid w:val="00672ED2"/>
    <w:rsid w:val="00672FC2"/>
    <w:rsid w:val="00673D02"/>
    <w:rsid w:val="00674485"/>
    <w:rsid w:val="00674FF7"/>
    <w:rsid w:val="0067534E"/>
    <w:rsid w:val="006756A4"/>
    <w:rsid w:val="00675C07"/>
    <w:rsid w:val="00675DE8"/>
    <w:rsid w:val="00676D31"/>
    <w:rsid w:val="00677981"/>
    <w:rsid w:val="00677A38"/>
    <w:rsid w:val="00677DCA"/>
    <w:rsid w:val="00680083"/>
    <w:rsid w:val="0068033D"/>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1F84"/>
    <w:rsid w:val="00692954"/>
    <w:rsid w:val="006938CF"/>
    <w:rsid w:val="00693B4D"/>
    <w:rsid w:val="00693C07"/>
    <w:rsid w:val="006940B0"/>
    <w:rsid w:val="00694992"/>
    <w:rsid w:val="006949A5"/>
    <w:rsid w:val="00694D8E"/>
    <w:rsid w:val="006952CF"/>
    <w:rsid w:val="00695B1B"/>
    <w:rsid w:val="00695CA1"/>
    <w:rsid w:val="006972FC"/>
    <w:rsid w:val="006A1309"/>
    <w:rsid w:val="006A2524"/>
    <w:rsid w:val="006A3A5B"/>
    <w:rsid w:val="006A5601"/>
    <w:rsid w:val="006A6988"/>
    <w:rsid w:val="006A69FD"/>
    <w:rsid w:val="006A763E"/>
    <w:rsid w:val="006A77ED"/>
    <w:rsid w:val="006A7EAB"/>
    <w:rsid w:val="006B0B7C"/>
    <w:rsid w:val="006B0ECC"/>
    <w:rsid w:val="006B2737"/>
    <w:rsid w:val="006B2757"/>
    <w:rsid w:val="006B30D4"/>
    <w:rsid w:val="006B30F1"/>
    <w:rsid w:val="006B33E4"/>
    <w:rsid w:val="006B3F80"/>
    <w:rsid w:val="006B43E9"/>
    <w:rsid w:val="006B4B88"/>
    <w:rsid w:val="006B5CEB"/>
    <w:rsid w:val="006B5D15"/>
    <w:rsid w:val="006B6189"/>
    <w:rsid w:val="006B65A0"/>
    <w:rsid w:val="006B6A1F"/>
    <w:rsid w:val="006B73BC"/>
    <w:rsid w:val="006B7838"/>
    <w:rsid w:val="006C02F3"/>
    <w:rsid w:val="006C0475"/>
    <w:rsid w:val="006C23A3"/>
    <w:rsid w:val="006C3831"/>
    <w:rsid w:val="006C3CC8"/>
    <w:rsid w:val="006C46BD"/>
    <w:rsid w:val="006C47A2"/>
    <w:rsid w:val="006C484F"/>
    <w:rsid w:val="006C5089"/>
    <w:rsid w:val="006C640D"/>
    <w:rsid w:val="006D0466"/>
    <w:rsid w:val="006D0807"/>
    <w:rsid w:val="006D08BB"/>
    <w:rsid w:val="006D1536"/>
    <w:rsid w:val="006D2197"/>
    <w:rsid w:val="006D252E"/>
    <w:rsid w:val="006D271C"/>
    <w:rsid w:val="006D2DB3"/>
    <w:rsid w:val="006D379B"/>
    <w:rsid w:val="006D4A8C"/>
    <w:rsid w:val="006D57EC"/>
    <w:rsid w:val="006D64C9"/>
    <w:rsid w:val="006D6599"/>
    <w:rsid w:val="006D75B2"/>
    <w:rsid w:val="006D7B67"/>
    <w:rsid w:val="006E0350"/>
    <w:rsid w:val="006E08B4"/>
    <w:rsid w:val="006E09B7"/>
    <w:rsid w:val="006E0AC1"/>
    <w:rsid w:val="006E15C6"/>
    <w:rsid w:val="006E263D"/>
    <w:rsid w:val="006E290A"/>
    <w:rsid w:val="006E3081"/>
    <w:rsid w:val="006E37D8"/>
    <w:rsid w:val="006E4915"/>
    <w:rsid w:val="006E4A2A"/>
    <w:rsid w:val="006E54B2"/>
    <w:rsid w:val="006E6005"/>
    <w:rsid w:val="006E6517"/>
    <w:rsid w:val="006E6A41"/>
    <w:rsid w:val="006E7264"/>
    <w:rsid w:val="006F0E31"/>
    <w:rsid w:val="006F1518"/>
    <w:rsid w:val="006F1CFF"/>
    <w:rsid w:val="006F23B3"/>
    <w:rsid w:val="006F258C"/>
    <w:rsid w:val="006F27B6"/>
    <w:rsid w:val="006F32D4"/>
    <w:rsid w:val="006F32F8"/>
    <w:rsid w:val="006F383C"/>
    <w:rsid w:val="006F388C"/>
    <w:rsid w:val="006F4049"/>
    <w:rsid w:val="006F42F1"/>
    <w:rsid w:val="006F4468"/>
    <w:rsid w:val="006F463C"/>
    <w:rsid w:val="006F4AA0"/>
    <w:rsid w:val="006F52F5"/>
    <w:rsid w:val="006F61F4"/>
    <w:rsid w:val="006F71BB"/>
    <w:rsid w:val="006F7E30"/>
    <w:rsid w:val="007000E8"/>
    <w:rsid w:val="007013B6"/>
    <w:rsid w:val="007016DB"/>
    <w:rsid w:val="007025C3"/>
    <w:rsid w:val="0070280B"/>
    <w:rsid w:val="00703288"/>
    <w:rsid w:val="007032A9"/>
    <w:rsid w:val="00703BF6"/>
    <w:rsid w:val="00703C5E"/>
    <w:rsid w:val="00703E0E"/>
    <w:rsid w:val="007047DF"/>
    <w:rsid w:val="00704E17"/>
    <w:rsid w:val="007050E5"/>
    <w:rsid w:val="00705940"/>
    <w:rsid w:val="007065B8"/>
    <w:rsid w:val="00706E33"/>
    <w:rsid w:val="00707B73"/>
    <w:rsid w:val="00707FC1"/>
    <w:rsid w:val="00710748"/>
    <w:rsid w:val="00710B0C"/>
    <w:rsid w:val="00710E9E"/>
    <w:rsid w:val="00712229"/>
    <w:rsid w:val="00712407"/>
    <w:rsid w:val="00712896"/>
    <w:rsid w:val="00712E7F"/>
    <w:rsid w:val="007137F4"/>
    <w:rsid w:val="007138A1"/>
    <w:rsid w:val="00713DF8"/>
    <w:rsid w:val="00714248"/>
    <w:rsid w:val="00715B36"/>
    <w:rsid w:val="00715C59"/>
    <w:rsid w:val="00715CC9"/>
    <w:rsid w:val="00715D4E"/>
    <w:rsid w:val="00715E7A"/>
    <w:rsid w:val="00715F50"/>
    <w:rsid w:val="0071677B"/>
    <w:rsid w:val="00716FC0"/>
    <w:rsid w:val="0072000C"/>
    <w:rsid w:val="00720D72"/>
    <w:rsid w:val="00721BBD"/>
    <w:rsid w:val="00721ED6"/>
    <w:rsid w:val="00722429"/>
    <w:rsid w:val="007228D0"/>
    <w:rsid w:val="00723C4A"/>
    <w:rsid w:val="00724C8A"/>
    <w:rsid w:val="00725E73"/>
    <w:rsid w:val="00726513"/>
    <w:rsid w:val="00726CF1"/>
    <w:rsid w:val="00726EBF"/>
    <w:rsid w:val="00726F69"/>
    <w:rsid w:val="0072712A"/>
    <w:rsid w:val="00730163"/>
    <w:rsid w:val="00730B00"/>
    <w:rsid w:val="00730B04"/>
    <w:rsid w:val="00731327"/>
    <w:rsid w:val="007316F6"/>
    <w:rsid w:val="00731F46"/>
    <w:rsid w:val="0073203D"/>
    <w:rsid w:val="007321EB"/>
    <w:rsid w:val="0073262E"/>
    <w:rsid w:val="00733130"/>
    <w:rsid w:val="00733BBF"/>
    <w:rsid w:val="00735877"/>
    <w:rsid w:val="007358B9"/>
    <w:rsid w:val="007358E4"/>
    <w:rsid w:val="007379C4"/>
    <w:rsid w:val="00737C4C"/>
    <w:rsid w:val="00740A4A"/>
    <w:rsid w:val="00740E00"/>
    <w:rsid w:val="00741EF7"/>
    <w:rsid w:val="0074272D"/>
    <w:rsid w:val="00742B35"/>
    <w:rsid w:val="00743065"/>
    <w:rsid w:val="00743BAD"/>
    <w:rsid w:val="00744222"/>
    <w:rsid w:val="00744226"/>
    <w:rsid w:val="0074463E"/>
    <w:rsid w:val="00744C0D"/>
    <w:rsid w:val="00744E1B"/>
    <w:rsid w:val="0074543F"/>
    <w:rsid w:val="00745502"/>
    <w:rsid w:val="00745559"/>
    <w:rsid w:val="00745BA5"/>
    <w:rsid w:val="00746DE7"/>
    <w:rsid w:val="00747146"/>
    <w:rsid w:val="007518AE"/>
    <w:rsid w:val="0075196B"/>
    <w:rsid w:val="007519DC"/>
    <w:rsid w:val="0075296C"/>
    <w:rsid w:val="00755C64"/>
    <w:rsid w:val="007566C7"/>
    <w:rsid w:val="00756C13"/>
    <w:rsid w:val="00756C3A"/>
    <w:rsid w:val="0076014C"/>
    <w:rsid w:val="00760456"/>
    <w:rsid w:val="007609C6"/>
    <w:rsid w:val="007615CD"/>
    <w:rsid w:val="0076163B"/>
    <w:rsid w:val="0076197E"/>
    <w:rsid w:val="0076212F"/>
    <w:rsid w:val="007622DF"/>
    <w:rsid w:val="00763566"/>
    <w:rsid w:val="007644C4"/>
    <w:rsid w:val="00764CF8"/>
    <w:rsid w:val="00765457"/>
    <w:rsid w:val="00765AD9"/>
    <w:rsid w:val="00766DC1"/>
    <w:rsid w:val="00767698"/>
    <w:rsid w:val="00767756"/>
    <w:rsid w:val="007677D9"/>
    <w:rsid w:val="00771BF8"/>
    <w:rsid w:val="007721CD"/>
    <w:rsid w:val="007725D4"/>
    <w:rsid w:val="00773509"/>
    <w:rsid w:val="007742CC"/>
    <w:rsid w:val="00774568"/>
    <w:rsid w:val="00774FEC"/>
    <w:rsid w:val="00775284"/>
    <w:rsid w:val="00775748"/>
    <w:rsid w:val="007762A2"/>
    <w:rsid w:val="007764C5"/>
    <w:rsid w:val="007772F9"/>
    <w:rsid w:val="00780723"/>
    <w:rsid w:val="00780EA6"/>
    <w:rsid w:val="00781511"/>
    <w:rsid w:val="00781898"/>
    <w:rsid w:val="00781BFF"/>
    <w:rsid w:val="00782196"/>
    <w:rsid w:val="00782672"/>
    <w:rsid w:val="00783AF9"/>
    <w:rsid w:val="0078461C"/>
    <w:rsid w:val="007857A8"/>
    <w:rsid w:val="00786F0B"/>
    <w:rsid w:val="0078736A"/>
    <w:rsid w:val="00787C16"/>
    <w:rsid w:val="00790ACF"/>
    <w:rsid w:val="0079132F"/>
    <w:rsid w:val="00791791"/>
    <w:rsid w:val="00791F4B"/>
    <w:rsid w:val="007921E0"/>
    <w:rsid w:val="00792D5D"/>
    <w:rsid w:val="007933C1"/>
    <w:rsid w:val="0079376F"/>
    <w:rsid w:val="00793AFD"/>
    <w:rsid w:val="00793F22"/>
    <w:rsid w:val="007949C2"/>
    <w:rsid w:val="007949E0"/>
    <w:rsid w:val="00794D3A"/>
    <w:rsid w:val="0079564B"/>
    <w:rsid w:val="00795B1C"/>
    <w:rsid w:val="007966AF"/>
    <w:rsid w:val="007975FB"/>
    <w:rsid w:val="007977DD"/>
    <w:rsid w:val="007A0C7E"/>
    <w:rsid w:val="007A1213"/>
    <w:rsid w:val="007A12D0"/>
    <w:rsid w:val="007A16DD"/>
    <w:rsid w:val="007A27F2"/>
    <w:rsid w:val="007A300E"/>
    <w:rsid w:val="007A3F01"/>
    <w:rsid w:val="007A4997"/>
    <w:rsid w:val="007A59A7"/>
    <w:rsid w:val="007A637B"/>
    <w:rsid w:val="007A73D0"/>
    <w:rsid w:val="007B06EB"/>
    <w:rsid w:val="007B09A7"/>
    <w:rsid w:val="007B165F"/>
    <w:rsid w:val="007B40AA"/>
    <w:rsid w:val="007B4CB7"/>
    <w:rsid w:val="007B5AC0"/>
    <w:rsid w:val="007B5BEC"/>
    <w:rsid w:val="007B5C8E"/>
    <w:rsid w:val="007B6012"/>
    <w:rsid w:val="007B655D"/>
    <w:rsid w:val="007B675C"/>
    <w:rsid w:val="007B6F36"/>
    <w:rsid w:val="007B7041"/>
    <w:rsid w:val="007B7708"/>
    <w:rsid w:val="007B7A74"/>
    <w:rsid w:val="007B7BFF"/>
    <w:rsid w:val="007B7E05"/>
    <w:rsid w:val="007C0428"/>
    <w:rsid w:val="007C0796"/>
    <w:rsid w:val="007C0F88"/>
    <w:rsid w:val="007C166D"/>
    <w:rsid w:val="007C2018"/>
    <w:rsid w:val="007C2752"/>
    <w:rsid w:val="007C2E4C"/>
    <w:rsid w:val="007C357D"/>
    <w:rsid w:val="007C4243"/>
    <w:rsid w:val="007C4BF9"/>
    <w:rsid w:val="007C505F"/>
    <w:rsid w:val="007C5C68"/>
    <w:rsid w:val="007C5DAA"/>
    <w:rsid w:val="007C62CE"/>
    <w:rsid w:val="007C68E9"/>
    <w:rsid w:val="007C7BBC"/>
    <w:rsid w:val="007D07F5"/>
    <w:rsid w:val="007D1734"/>
    <w:rsid w:val="007D1C73"/>
    <w:rsid w:val="007D23AB"/>
    <w:rsid w:val="007D2846"/>
    <w:rsid w:val="007D3B5D"/>
    <w:rsid w:val="007D3FAD"/>
    <w:rsid w:val="007D4001"/>
    <w:rsid w:val="007D4062"/>
    <w:rsid w:val="007D4672"/>
    <w:rsid w:val="007D46D1"/>
    <w:rsid w:val="007D5782"/>
    <w:rsid w:val="007D57A2"/>
    <w:rsid w:val="007D5E5B"/>
    <w:rsid w:val="007D5E87"/>
    <w:rsid w:val="007D6463"/>
    <w:rsid w:val="007D64B9"/>
    <w:rsid w:val="007E021B"/>
    <w:rsid w:val="007E059A"/>
    <w:rsid w:val="007E06BB"/>
    <w:rsid w:val="007E09E0"/>
    <w:rsid w:val="007E1AF8"/>
    <w:rsid w:val="007E2AA4"/>
    <w:rsid w:val="007E2E50"/>
    <w:rsid w:val="007E375B"/>
    <w:rsid w:val="007E3BD3"/>
    <w:rsid w:val="007E4FB2"/>
    <w:rsid w:val="007E5956"/>
    <w:rsid w:val="007E5F02"/>
    <w:rsid w:val="007E6A2F"/>
    <w:rsid w:val="007E6D19"/>
    <w:rsid w:val="007E7144"/>
    <w:rsid w:val="007E745A"/>
    <w:rsid w:val="007E75D7"/>
    <w:rsid w:val="007F07F4"/>
    <w:rsid w:val="007F0B19"/>
    <w:rsid w:val="007F0E5F"/>
    <w:rsid w:val="007F1CA7"/>
    <w:rsid w:val="007F1D90"/>
    <w:rsid w:val="007F275B"/>
    <w:rsid w:val="007F297B"/>
    <w:rsid w:val="007F30D3"/>
    <w:rsid w:val="007F401F"/>
    <w:rsid w:val="007F499A"/>
    <w:rsid w:val="007F706D"/>
    <w:rsid w:val="007F728B"/>
    <w:rsid w:val="007F75BF"/>
    <w:rsid w:val="007F76BE"/>
    <w:rsid w:val="007F7B8D"/>
    <w:rsid w:val="007F7CC9"/>
    <w:rsid w:val="00800366"/>
    <w:rsid w:val="008006B4"/>
    <w:rsid w:val="00800B04"/>
    <w:rsid w:val="0080125A"/>
    <w:rsid w:val="00801B11"/>
    <w:rsid w:val="008029FE"/>
    <w:rsid w:val="00802D48"/>
    <w:rsid w:val="00802EAC"/>
    <w:rsid w:val="0080406D"/>
    <w:rsid w:val="0080482E"/>
    <w:rsid w:val="00804F68"/>
    <w:rsid w:val="008058FF"/>
    <w:rsid w:val="00806399"/>
    <w:rsid w:val="00806C3E"/>
    <w:rsid w:val="00806CF0"/>
    <w:rsid w:val="0080764B"/>
    <w:rsid w:val="0080771E"/>
    <w:rsid w:val="008079E4"/>
    <w:rsid w:val="00807D6E"/>
    <w:rsid w:val="00810C42"/>
    <w:rsid w:val="008111A8"/>
    <w:rsid w:val="008125F7"/>
    <w:rsid w:val="00812947"/>
    <w:rsid w:val="00812F68"/>
    <w:rsid w:val="00813827"/>
    <w:rsid w:val="00813B8E"/>
    <w:rsid w:val="00813EAC"/>
    <w:rsid w:val="0081430C"/>
    <w:rsid w:val="00815652"/>
    <w:rsid w:val="00816AC3"/>
    <w:rsid w:val="00817485"/>
    <w:rsid w:val="00817EF0"/>
    <w:rsid w:val="00820006"/>
    <w:rsid w:val="00820120"/>
    <w:rsid w:val="0082163E"/>
    <w:rsid w:val="00821829"/>
    <w:rsid w:val="00821D4F"/>
    <w:rsid w:val="0082410B"/>
    <w:rsid w:val="008241C2"/>
    <w:rsid w:val="0082456F"/>
    <w:rsid w:val="00824A57"/>
    <w:rsid w:val="008257AB"/>
    <w:rsid w:val="00825CD6"/>
    <w:rsid w:val="008262F1"/>
    <w:rsid w:val="0082767B"/>
    <w:rsid w:val="008278D0"/>
    <w:rsid w:val="0083089E"/>
    <w:rsid w:val="008313A2"/>
    <w:rsid w:val="00831417"/>
    <w:rsid w:val="00832999"/>
    <w:rsid w:val="00833D81"/>
    <w:rsid w:val="00834330"/>
    <w:rsid w:val="00834AF6"/>
    <w:rsid w:val="00835090"/>
    <w:rsid w:val="00835321"/>
    <w:rsid w:val="00835576"/>
    <w:rsid w:val="00835AE4"/>
    <w:rsid w:val="00835DC8"/>
    <w:rsid w:val="0083659E"/>
    <w:rsid w:val="00836BC2"/>
    <w:rsid w:val="00836DA7"/>
    <w:rsid w:val="008373A7"/>
    <w:rsid w:val="00837CB9"/>
    <w:rsid w:val="00837E79"/>
    <w:rsid w:val="00840477"/>
    <w:rsid w:val="00840A03"/>
    <w:rsid w:val="00840EB3"/>
    <w:rsid w:val="008418A0"/>
    <w:rsid w:val="0084197D"/>
    <w:rsid w:val="008424DE"/>
    <w:rsid w:val="00842D64"/>
    <w:rsid w:val="00844251"/>
    <w:rsid w:val="00844755"/>
    <w:rsid w:val="0084493B"/>
    <w:rsid w:val="008451F0"/>
    <w:rsid w:val="008464FD"/>
    <w:rsid w:val="00846A6F"/>
    <w:rsid w:val="008470D3"/>
    <w:rsid w:val="0084711B"/>
    <w:rsid w:val="00847221"/>
    <w:rsid w:val="00847543"/>
    <w:rsid w:val="00850296"/>
    <w:rsid w:val="00850839"/>
    <w:rsid w:val="008514CF"/>
    <w:rsid w:val="00851660"/>
    <w:rsid w:val="00851931"/>
    <w:rsid w:val="00851971"/>
    <w:rsid w:val="008525D2"/>
    <w:rsid w:val="00852BFC"/>
    <w:rsid w:val="00852F58"/>
    <w:rsid w:val="00853008"/>
    <w:rsid w:val="0085323F"/>
    <w:rsid w:val="00854A14"/>
    <w:rsid w:val="00854DF6"/>
    <w:rsid w:val="00855B16"/>
    <w:rsid w:val="00856898"/>
    <w:rsid w:val="008568BC"/>
    <w:rsid w:val="00856C5D"/>
    <w:rsid w:val="00856FA3"/>
    <w:rsid w:val="00857007"/>
    <w:rsid w:val="008603A9"/>
    <w:rsid w:val="00860420"/>
    <w:rsid w:val="0086051C"/>
    <w:rsid w:val="0086107E"/>
    <w:rsid w:val="008610D5"/>
    <w:rsid w:val="00861691"/>
    <w:rsid w:val="008620C6"/>
    <w:rsid w:val="008621CA"/>
    <w:rsid w:val="00862671"/>
    <w:rsid w:val="008629F2"/>
    <w:rsid w:val="00862AFA"/>
    <w:rsid w:val="00864981"/>
    <w:rsid w:val="00865053"/>
    <w:rsid w:val="00865160"/>
    <w:rsid w:val="008651D1"/>
    <w:rsid w:val="0086526C"/>
    <w:rsid w:val="0086616C"/>
    <w:rsid w:val="0086620F"/>
    <w:rsid w:val="00867368"/>
    <w:rsid w:val="008708A8"/>
    <w:rsid w:val="008710F1"/>
    <w:rsid w:val="008729EF"/>
    <w:rsid w:val="008731F4"/>
    <w:rsid w:val="00873ABA"/>
    <w:rsid w:val="0087460B"/>
    <w:rsid w:val="00874768"/>
    <w:rsid w:val="00875BE7"/>
    <w:rsid w:val="00875F8E"/>
    <w:rsid w:val="00876108"/>
    <w:rsid w:val="008774A8"/>
    <w:rsid w:val="00877706"/>
    <w:rsid w:val="00881172"/>
    <w:rsid w:val="008811AF"/>
    <w:rsid w:val="00881DD3"/>
    <w:rsid w:val="00881E92"/>
    <w:rsid w:val="0088229E"/>
    <w:rsid w:val="00882FFB"/>
    <w:rsid w:val="008833A4"/>
    <w:rsid w:val="00884F49"/>
    <w:rsid w:val="0088512E"/>
    <w:rsid w:val="008866F5"/>
    <w:rsid w:val="00887567"/>
    <w:rsid w:val="0088778D"/>
    <w:rsid w:val="00887D0A"/>
    <w:rsid w:val="00887E6D"/>
    <w:rsid w:val="00892004"/>
    <w:rsid w:val="008921BC"/>
    <w:rsid w:val="008927E5"/>
    <w:rsid w:val="00892C74"/>
    <w:rsid w:val="00892CDC"/>
    <w:rsid w:val="00893C88"/>
    <w:rsid w:val="0089411C"/>
    <w:rsid w:val="00894758"/>
    <w:rsid w:val="00895542"/>
    <w:rsid w:val="00895615"/>
    <w:rsid w:val="00895A50"/>
    <w:rsid w:val="00895B65"/>
    <w:rsid w:val="00895CF1"/>
    <w:rsid w:val="00895EC2"/>
    <w:rsid w:val="008963E8"/>
    <w:rsid w:val="00896D76"/>
    <w:rsid w:val="00897148"/>
    <w:rsid w:val="00897401"/>
    <w:rsid w:val="008A0078"/>
    <w:rsid w:val="008A091C"/>
    <w:rsid w:val="008A13E8"/>
    <w:rsid w:val="008A1790"/>
    <w:rsid w:val="008A1929"/>
    <w:rsid w:val="008A2E5F"/>
    <w:rsid w:val="008A3015"/>
    <w:rsid w:val="008A3C5D"/>
    <w:rsid w:val="008A4179"/>
    <w:rsid w:val="008A43E4"/>
    <w:rsid w:val="008A4705"/>
    <w:rsid w:val="008A5AC8"/>
    <w:rsid w:val="008A5EE0"/>
    <w:rsid w:val="008A68A9"/>
    <w:rsid w:val="008A6BDC"/>
    <w:rsid w:val="008A6E06"/>
    <w:rsid w:val="008A781A"/>
    <w:rsid w:val="008B05A7"/>
    <w:rsid w:val="008B077B"/>
    <w:rsid w:val="008B11A3"/>
    <w:rsid w:val="008B2F2D"/>
    <w:rsid w:val="008B40CA"/>
    <w:rsid w:val="008B41D3"/>
    <w:rsid w:val="008B5279"/>
    <w:rsid w:val="008B5347"/>
    <w:rsid w:val="008B59A6"/>
    <w:rsid w:val="008B666D"/>
    <w:rsid w:val="008B6A9B"/>
    <w:rsid w:val="008B6BD6"/>
    <w:rsid w:val="008B7593"/>
    <w:rsid w:val="008C0447"/>
    <w:rsid w:val="008C0795"/>
    <w:rsid w:val="008C0CF8"/>
    <w:rsid w:val="008C1734"/>
    <w:rsid w:val="008C2E93"/>
    <w:rsid w:val="008C2F78"/>
    <w:rsid w:val="008C3809"/>
    <w:rsid w:val="008C38F2"/>
    <w:rsid w:val="008C41A2"/>
    <w:rsid w:val="008C493C"/>
    <w:rsid w:val="008C4E9A"/>
    <w:rsid w:val="008C6116"/>
    <w:rsid w:val="008C65AE"/>
    <w:rsid w:val="008C682A"/>
    <w:rsid w:val="008C7430"/>
    <w:rsid w:val="008D05D0"/>
    <w:rsid w:val="008D0613"/>
    <w:rsid w:val="008D21B9"/>
    <w:rsid w:val="008D2709"/>
    <w:rsid w:val="008D3B35"/>
    <w:rsid w:val="008D4078"/>
    <w:rsid w:val="008D4328"/>
    <w:rsid w:val="008D4A3B"/>
    <w:rsid w:val="008D52E4"/>
    <w:rsid w:val="008D5323"/>
    <w:rsid w:val="008D58D2"/>
    <w:rsid w:val="008E047B"/>
    <w:rsid w:val="008E0801"/>
    <w:rsid w:val="008E08A2"/>
    <w:rsid w:val="008E0A4F"/>
    <w:rsid w:val="008E163E"/>
    <w:rsid w:val="008E1A82"/>
    <w:rsid w:val="008E1DA8"/>
    <w:rsid w:val="008E2D4C"/>
    <w:rsid w:val="008E3036"/>
    <w:rsid w:val="008E4B13"/>
    <w:rsid w:val="008E5509"/>
    <w:rsid w:val="008E592C"/>
    <w:rsid w:val="008E5B5D"/>
    <w:rsid w:val="008E66F8"/>
    <w:rsid w:val="008E6B8B"/>
    <w:rsid w:val="008E71CC"/>
    <w:rsid w:val="008E76CB"/>
    <w:rsid w:val="008F00C9"/>
    <w:rsid w:val="008F140E"/>
    <w:rsid w:val="008F1BC8"/>
    <w:rsid w:val="008F2391"/>
    <w:rsid w:val="008F2B5E"/>
    <w:rsid w:val="008F30CC"/>
    <w:rsid w:val="008F382F"/>
    <w:rsid w:val="008F3D66"/>
    <w:rsid w:val="008F4F31"/>
    <w:rsid w:val="008F5B93"/>
    <w:rsid w:val="008F61F6"/>
    <w:rsid w:val="008F6886"/>
    <w:rsid w:val="008F6970"/>
    <w:rsid w:val="008F6BA5"/>
    <w:rsid w:val="009001F3"/>
    <w:rsid w:val="00900789"/>
    <w:rsid w:val="009014FF"/>
    <w:rsid w:val="00901EF3"/>
    <w:rsid w:val="009026BB"/>
    <w:rsid w:val="00903549"/>
    <w:rsid w:val="0090371D"/>
    <w:rsid w:val="00904BD3"/>
    <w:rsid w:val="00905895"/>
    <w:rsid w:val="009061C2"/>
    <w:rsid w:val="00906FC5"/>
    <w:rsid w:val="00907AD7"/>
    <w:rsid w:val="00907C34"/>
    <w:rsid w:val="00907D34"/>
    <w:rsid w:val="009108E6"/>
    <w:rsid w:val="0091136F"/>
    <w:rsid w:val="009117F2"/>
    <w:rsid w:val="00911ACA"/>
    <w:rsid w:val="00911B38"/>
    <w:rsid w:val="0091200F"/>
    <w:rsid w:val="00912D2D"/>
    <w:rsid w:val="00913C15"/>
    <w:rsid w:val="00914073"/>
    <w:rsid w:val="009140A4"/>
    <w:rsid w:val="00914959"/>
    <w:rsid w:val="0091557D"/>
    <w:rsid w:val="009159B1"/>
    <w:rsid w:val="00915DD4"/>
    <w:rsid w:val="00917563"/>
    <w:rsid w:val="009176AA"/>
    <w:rsid w:val="00917A4D"/>
    <w:rsid w:val="00917D1B"/>
    <w:rsid w:val="00920C1F"/>
    <w:rsid w:val="00921689"/>
    <w:rsid w:val="00921E04"/>
    <w:rsid w:val="0092202D"/>
    <w:rsid w:val="00922F10"/>
    <w:rsid w:val="00923005"/>
    <w:rsid w:val="00923336"/>
    <w:rsid w:val="00923858"/>
    <w:rsid w:val="00923EBA"/>
    <w:rsid w:val="009241BE"/>
    <w:rsid w:val="00924422"/>
    <w:rsid w:val="00924B24"/>
    <w:rsid w:val="00924DAF"/>
    <w:rsid w:val="009253E7"/>
    <w:rsid w:val="0092541D"/>
    <w:rsid w:val="00925676"/>
    <w:rsid w:val="00925816"/>
    <w:rsid w:val="00926100"/>
    <w:rsid w:val="009261AD"/>
    <w:rsid w:val="009264CE"/>
    <w:rsid w:val="00926FF9"/>
    <w:rsid w:val="00927455"/>
    <w:rsid w:val="00927456"/>
    <w:rsid w:val="00927E80"/>
    <w:rsid w:val="0093024E"/>
    <w:rsid w:val="0093067D"/>
    <w:rsid w:val="00930B67"/>
    <w:rsid w:val="00931948"/>
    <w:rsid w:val="00931B1D"/>
    <w:rsid w:val="00931D30"/>
    <w:rsid w:val="00931F1E"/>
    <w:rsid w:val="00932168"/>
    <w:rsid w:val="0093230F"/>
    <w:rsid w:val="00932453"/>
    <w:rsid w:val="00932A16"/>
    <w:rsid w:val="00932B45"/>
    <w:rsid w:val="0093300E"/>
    <w:rsid w:val="00933832"/>
    <w:rsid w:val="00934A7B"/>
    <w:rsid w:val="00934E05"/>
    <w:rsid w:val="00935047"/>
    <w:rsid w:val="009353A3"/>
    <w:rsid w:val="00935AF6"/>
    <w:rsid w:val="00935E9B"/>
    <w:rsid w:val="00935EF6"/>
    <w:rsid w:val="009364E6"/>
    <w:rsid w:val="00937554"/>
    <w:rsid w:val="00937AC9"/>
    <w:rsid w:val="00937B5E"/>
    <w:rsid w:val="00937F04"/>
    <w:rsid w:val="009403ED"/>
    <w:rsid w:val="00940B4E"/>
    <w:rsid w:val="00940D56"/>
    <w:rsid w:val="0094103B"/>
    <w:rsid w:val="009412F4"/>
    <w:rsid w:val="00941B80"/>
    <w:rsid w:val="00942015"/>
    <w:rsid w:val="00942309"/>
    <w:rsid w:val="009434CB"/>
    <w:rsid w:val="00944B5B"/>
    <w:rsid w:val="00944CE4"/>
    <w:rsid w:val="009452BF"/>
    <w:rsid w:val="0094557A"/>
    <w:rsid w:val="00945CDC"/>
    <w:rsid w:val="00945DF1"/>
    <w:rsid w:val="009464DC"/>
    <w:rsid w:val="00947354"/>
    <w:rsid w:val="0094759B"/>
    <w:rsid w:val="00947ABF"/>
    <w:rsid w:val="00950306"/>
    <w:rsid w:val="00950C10"/>
    <w:rsid w:val="00951B1D"/>
    <w:rsid w:val="00951BC8"/>
    <w:rsid w:val="00952E77"/>
    <w:rsid w:val="00952FB5"/>
    <w:rsid w:val="0095312C"/>
    <w:rsid w:val="009537CE"/>
    <w:rsid w:val="00953A01"/>
    <w:rsid w:val="00953B4A"/>
    <w:rsid w:val="009549EA"/>
    <w:rsid w:val="00955108"/>
    <w:rsid w:val="009565AF"/>
    <w:rsid w:val="00956D71"/>
    <w:rsid w:val="00957DAA"/>
    <w:rsid w:val="009601F5"/>
    <w:rsid w:val="0096043D"/>
    <w:rsid w:val="00960856"/>
    <w:rsid w:val="00960A07"/>
    <w:rsid w:val="00960A76"/>
    <w:rsid w:val="00960D37"/>
    <w:rsid w:val="00961A03"/>
    <w:rsid w:val="00961F13"/>
    <w:rsid w:val="00962264"/>
    <w:rsid w:val="009624A6"/>
    <w:rsid w:val="0096256F"/>
    <w:rsid w:val="0096276A"/>
    <w:rsid w:val="009646F7"/>
    <w:rsid w:val="009655F8"/>
    <w:rsid w:val="009659ED"/>
    <w:rsid w:val="00966251"/>
    <w:rsid w:val="00966885"/>
    <w:rsid w:val="0097070A"/>
    <w:rsid w:val="00970B07"/>
    <w:rsid w:val="00971ACC"/>
    <w:rsid w:val="00971BB2"/>
    <w:rsid w:val="009724BD"/>
    <w:rsid w:val="00974645"/>
    <w:rsid w:val="00974AA5"/>
    <w:rsid w:val="00974B1A"/>
    <w:rsid w:val="00974E8F"/>
    <w:rsid w:val="009751DD"/>
    <w:rsid w:val="0097596A"/>
    <w:rsid w:val="00975A31"/>
    <w:rsid w:val="009770EE"/>
    <w:rsid w:val="00977E95"/>
    <w:rsid w:val="00981B73"/>
    <w:rsid w:val="00981BD3"/>
    <w:rsid w:val="0098210E"/>
    <w:rsid w:val="00983995"/>
    <w:rsid w:val="00983A7E"/>
    <w:rsid w:val="00983C4C"/>
    <w:rsid w:val="009849C8"/>
    <w:rsid w:val="00984C67"/>
    <w:rsid w:val="009852AE"/>
    <w:rsid w:val="00987250"/>
    <w:rsid w:val="009874E5"/>
    <w:rsid w:val="009902AD"/>
    <w:rsid w:val="00990B98"/>
    <w:rsid w:val="00991522"/>
    <w:rsid w:val="00991810"/>
    <w:rsid w:val="00991BA0"/>
    <w:rsid w:val="00991BEF"/>
    <w:rsid w:val="009921CF"/>
    <w:rsid w:val="00992339"/>
    <w:rsid w:val="00992779"/>
    <w:rsid w:val="009931C2"/>
    <w:rsid w:val="009943AB"/>
    <w:rsid w:val="00994490"/>
    <w:rsid w:val="00994DD4"/>
    <w:rsid w:val="009955C0"/>
    <w:rsid w:val="009961A8"/>
    <w:rsid w:val="009967C3"/>
    <w:rsid w:val="00996859"/>
    <w:rsid w:val="00997454"/>
    <w:rsid w:val="00997DD9"/>
    <w:rsid w:val="009A006E"/>
    <w:rsid w:val="009A0132"/>
    <w:rsid w:val="009A0935"/>
    <w:rsid w:val="009A13B5"/>
    <w:rsid w:val="009A187B"/>
    <w:rsid w:val="009A2B44"/>
    <w:rsid w:val="009A46AF"/>
    <w:rsid w:val="009A529D"/>
    <w:rsid w:val="009A5B70"/>
    <w:rsid w:val="009A5F39"/>
    <w:rsid w:val="009A6D43"/>
    <w:rsid w:val="009A780A"/>
    <w:rsid w:val="009B074F"/>
    <w:rsid w:val="009B07C5"/>
    <w:rsid w:val="009B09F2"/>
    <w:rsid w:val="009B1012"/>
    <w:rsid w:val="009B14B7"/>
    <w:rsid w:val="009B24B9"/>
    <w:rsid w:val="009B4760"/>
    <w:rsid w:val="009B49A0"/>
    <w:rsid w:val="009B5119"/>
    <w:rsid w:val="009B5680"/>
    <w:rsid w:val="009B57FD"/>
    <w:rsid w:val="009B5CC6"/>
    <w:rsid w:val="009B5D67"/>
    <w:rsid w:val="009B6791"/>
    <w:rsid w:val="009B7233"/>
    <w:rsid w:val="009B7950"/>
    <w:rsid w:val="009C0439"/>
    <w:rsid w:val="009C13F4"/>
    <w:rsid w:val="009C1803"/>
    <w:rsid w:val="009C1909"/>
    <w:rsid w:val="009C260F"/>
    <w:rsid w:val="009C37CC"/>
    <w:rsid w:val="009C3FBA"/>
    <w:rsid w:val="009C509F"/>
    <w:rsid w:val="009C634B"/>
    <w:rsid w:val="009C657C"/>
    <w:rsid w:val="009C699A"/>
    <w:rsid w:val="009C6C8D"/>
    <w:rsid w:val="009C7591"/>
    <w:rsid w:val="009D0611"/>
    <w:rsid w:val="009D0B23"/>
    <w:rsid w:val="009D1B21"/>
    <w:rsid w:val="009D294D"/>
    <w:rsid w:val="009D341F"/>
    <w:rsid w:val="009D39D0"/>
    <w:rsid w:val="009D3E4B"/>
    <w:rsid w:val="009D42A1"/>
    <w:rsid w:val="009D44F1"/>
    <w:rsid w:val="009D47F9"/>
    <w:rsid w:val="009D4AFE"/>
    <w:rsid w:val="009D5742"/>
    <w:rsid w:val="009D5BFB"/>
    <w:rsid w:val="009D5E0B"/>
    <w:rsid w:val="009D60CA"/>
    <w:rsid w:val="009D6945"/>
    <w:rsid w:val="009D6B02"/>
    <w:rsid w:val="009D7BF0"/>
    <w:rsid w:val="009D7F25"/>
    <w:rsid w:val="009D7FAF"/>
    <w:rsid w:val="009E025C"/>
    <w:rsid w:val="009E1955"/>
    <w:rsid w:val="009E46D0"/>
    <w:rsid w:val="009E4B63"/>
    <w:rsid w:val="009E52BF"/>
    <w:rsid w:val="009E544D"/>
    <w:rsid w:val="009E5ABC"/>
    <w:rsid w:val="009E60FB"/>
    <w:rsid w:val="009E6292"/>
    <w:rsid w:val="009E6D4D"/>
    <w:rsid w:val="009E7EFF"/>
    <w:rsid w:val="009F02B5"/>
    <w:rsid w:val="009F0A04"/>
    <w:rsid w:val="009F0C09"/>
    <w:rsid w:val="009F166B"/>
    <w:rsid w:val="009F1B8B"/>
    <w:rsid w:val="009F2030"/>
    <w:rsid w:val="009F2A37"/>
    <w:rsid w:val="009F32FF"/>
    <w:rsid w:val="009F347C"/>
    <w:rsid w:val="009F3FB0"/>
    <w:rsid w:val="009F48C4"/>
    <w:rsid w:val="009F5D07"/>
    <w:rsid w:val="009F657D"/>
    <w:rsid w:val="009F68AC"/>
    <w:rsid w:val="009F70BE"/>
    <w:rsid w:val="009F7B4F"/>
    <w:rsid w:val="00A00252"/>
    <w:rsid w:val="00A0048A"/>
    <w:rsid w:val="00A0072D"/>
    <w:rsid w:val="00A01BC1"/>
    <w:rsid w:val="00A0231B"/>
    <w:rsid w:val="00A03430"/>
    <w:rsid w:val="00A035F5"/>
    <w:rsid w:val="00A03E97"/>
    <w:rsid w:val="00A040B8"/>
    <w:rsid w:val="00A04511"/>
    <w:rsid w:val="00A05668"/>
    <w:rsid w:val="00A0690C"/>
    <w:rsid w:val="00A071B2"/>
    <w:rsid w:val="00A072E4"/>
    <w:rsid w:val="00A103B2"/>
    <w:rsid w:val="00A10D3D"/>
    <w:rsid w:val="00A11D85"/>
    <w:rsid w:val="00A1202A"/>
    <w:rsid w:val="00A13BD0"/>
    <w:rsid w:val="00A13BD5"/>
    <w:rsid w:val="00A13DB6"/>
    <w:rsid w:val="00A1486B"/>
    <w:rsid w:val="00A1577A"/>
    <w:rsid w:val="00A157EC"/>
    <w:rsid w:val="00A164B5"/>
    <w:rsid w:val="00A17477"/>
    <w:rsid w:val="00A2081F"/>
    <w:rsid w:val="00A20846"/>
    <w:rsid w:val="00A20AC9"/>
    <w:rsid w:val="00A20E59"/>
    <w:rsid w:val="00A21492"/>
    <w:rsid w:val="00A2163B"/>
    <w:rsid w:val="00A23C18"/>
    <w:rsid w:val="00A2424C"/>
    <w:rsid w:val="00A250EC"/>
    <w:rsid w:val="00A2582E"/>
    <w:rsid w:val="00A25E61"/>
    <w:rsid w:val="00A260C8"/>
    <w:rsid w:val="00A26659"/>
    <w:rsid w:val="00A270B8"/>
    <w:rsid w:val="00A2781B"/>
    <w:rsid w:val="00A27824"/>
    <w:rsid w:val="00A27DAB"/>
    <w:rsid w:val="00A30199"/>
    <w:rsid w:val="00A3069D"/>
    <w:rsid w:val="00A3081E"/>
    <w:rsid w:val="00A31E54"/>
    <w:rsid w:val="00A3250F"/>
    <w:rsid w:val="00A32D41"/>
    <w:rsid w:val="00A32EF7"/>
    <w:rsid w:val="00A33639"/>
    <w:rsid w:val="00A34637"/>
    <w:rsid w:val="00A346E1"/>
    <w:rsid w:val="00A34BB5"/>
    <w:rsid w:val="00A34E5F"/>
    <w:rsid w:val="00A3560A"/>
    <w:rsid w:val="00A35874"/>
    <w:rsid w:val="00A35C18"/>
    <w:rsid w:val="00A36032"/>
    <w:rsid w:val="00A3654B"/>
    <w:rsid w:val="00A406EF"/>
    <w:rsid w:val="00A40AC6"/>
    <w:rsid w:val="00A412BA"/>
    <w:rsid w:val="00A418C7"/>
    <w:rsid w:val="00A42583"/>
    <w:rsid w:val="00A42AF8"/>
    <w:rsid w:val="00A43039"/>
    <w:rsid w:val="00A4368D"/>
    <w:rsid w:val="00A43E0A"/>
    <w:rsid w:val="00A43F30"/>
    <w:rsid w:val="00A44A94"/>
    <w:rsid w:val="00A44D6F"/>
    <w:rsid w:val="00A44DE1"/>
    <w:rsid w:val="00A45952"/>
    <w:rsid w:val="00A45C5E"/>
    <w:rsid w:val="00A4715E"/>
    <w:rsid w:val="00A50ABD"/>
    <w:rsid w:val="00A50D35"/>
    <w:rsid w:val="00A51501"/>
    <w:rsid w:val="00A533D4"/>
    <w:rsid w:val="00A5350F"/>
    <w:rsid w:val="00A541C1"/>
    <w:rsid w:val="00A552B9"/>
    <w:rsid w:val="00A55E81"/>
    <w:rsid w:val="00A57B71"/>
    <w:rsid w:val="00A60BFC"/>
    <w:rsid w:val="00A60C06"/>
    <w:rsid w:val="00A6125F"/>
    <w:rsid w:val="00A612C7"/>
    <w:rsid w:val="00A61CA9"/>
    <w:rsid w:val="00A626BE"/>
    <w:rsid w:val="00A62EFC"/>
    <w:rsid w:val="00A62F1D"/>
    <w:rsid w:val="00A63C45"/>
    <w:rsid w:val="00A63E01"/>
    <w:rsid w:val="00A6420B"/>
    <w:rsid w:val="00A64EFE"/>
    <w:rsid w:val="00A65D4B"/>
    <w:rsid w:val="00A65F27"/>
    <w:rsid w:val="00A6627A"/>
    <w:rsid w:val="00A6679C"/>
    <w:rsid w:val="00A669D6"/>
    <w:rsid w:val="00A671F3"/>
    <w:rsid w:val="00A67201"/>
    <w:rsid w:val="00A675DC"/>
    <w:rsid w:val="00A67CA9"/>
    <w:rsid w:val="00A7072C"/>
    <w:rsid w:val="00A70B14"/>
    <w:rsid w:val="00A71B21"/>
    <w:rsid w:val="00A7222F"/>
    <w:rsid w:val="00A72773"/>
    <w:rsid w:val="00A7292F"/>
    <w:rsid w:val="00A72C50"/>
    <w:rsid w:val="00A73047"/>
    <w:rsid w:val="00A73935"/>
    <w:rsid w:val="00A747D4"/>
    <w:rsid w:val="00A74DDA"/>
    <w:rsid w:val="00A74F99"/>
    <w:rsid w:val="00A75148"/>
    <w:rsid w:val="00A75368"/>
    <w:rsid w:val="00A753F5"/>
    <w:rsid w:val="00A7554B"/>
    <w:rsid w:val="00A75797"/>
    <w:rsid w:val="00A76082"/>
    <w:rsid w:val="00A7635D"/>
    <w:rsid w:val="00A77286"/>
    <w:rsid w:val="00A80EF7"/>
    <w:rsid w:val="00A80F1A"/>
    <w:rsid w:val="00A817C1"/>
    <w:rsid w:val="00A81854"/>
    <w:rsid w:val="00A81877"/>
    <w:rsid w:val="00A819C9"/>
    <w:rsid w:val="00A8224E"/>
    <w:rsid w:val="00A82519"/>
    <w:rsid w:val="00A82E5B"/>
    <w:rsid w:val="00A830B4"/>
    <w:rsid w:val="00A837A0"/>
    <w:rsid w:val="00A83BBF"/>
    <w:rsid w:val="00A83FE6"/>
    <w:rsid w:val="00A842B0"/>
    <w:rsid w:val="00A8447A"/>
    <w:rsid w:val="00A853C1"/>
    <w:rsid w:val="00A85925"/>
    <w:rsid w:val="00A87C06"/>
    <w:rsid w:val="00A87CA8"/>
    <w:rsid w:val="00A87D3C"/>
    <w:rsid w:val="00A92006"/>
    <w:rsid w:val="00A92447"/>
    <w:rsid w:val="00A92521"/>
    <w:rsid w:val="00A92719"/>
    <w:rsid w:val="00A932B0"/>
    <w:rsid w:val="00A93645"/>
    <w:rsid w:val="00A93671"/>
    <w:rsid w:val="00A93996"/>
    <w:rsid w:val="00A93D39"/>
    <w:rsid w:val="00A93D56"/>
    <w:rsid w:val="00A9524F"/>
    <w:rsid w:val="00A955B3"/>
    <w:rsid w:val="00A95A96"/>
    <w:rsid w:val="00A95C25"/>
    <w:rsid w:val="00A96299"/>
    <w:rsid w:val="00A97498"/>
    <w:rsid w:val="00A975C5"/>
    <w:rsid w:val="00AA00EF"/>
    <w:rsid w:val="00AA05C5"/>
    <w:rsid w:val="00AA0785"/>
    <w:rsid w:val="00AA17AB"/>
    <w:rsid w:val="00AA1AF5"/>
    <w:rsid w:val="00AA2931"/>
    <w:rsid w:val="00AA2F7D"/>
    <w:rsid w:val="00AA302D"/>
    <w:rsid w:val="00AA336F"/>
    <w:rsid w:val="00AA56BE"/>
    <w:rsid w:val="00AA5FA9"/>
    <w:rsid w:val="00AB0983"/>
    <w:rsid w:val="00AB0C58"/>
    <w:rsid w:val="00AB17FB"/>
    <w:rsid w:val="00AB1FA3"/>
    <w:rsid w:val="00AB200F"/>
    <w:rsid w:val="00AB2292"/>
    <w:rsid w:val="00AB2421"/>
    <w:rsid w:val="00AB2AD7"/>
    <w:rsid w:val="00AB4DE8"/>
    <w:rsid w:val="00AB6D56"/>
    <w:rsid w:val="00AB6FBA"/>
    <w:rsid w:val="00AB7951"/>
    <w:rsid w:val="00AB7BEE"/>
    <w:rsid w:val="00AB7E2D"/>
    <w:rsid w:val="00AB7FB0"/>
    <w:rsid w:val="00AC0482"/>
    <w:rsid w:val="00AC0D01"/>
    <w:rsid w:val="00AC17DD"/>
    <w:rsid w:val="00AC1C58"/>
    <w:rsid w:val="00AC22C4"/>
    <w:rsid w:val="00AC272C"/>
    <w:rsid w:val="00AC2A2A"/>
    <w:rsid w:val="00AC3047"/>
    <w:rsid w:val="00AC3502"/>
    <w:rsid w:val="00AC352B"/>
    <w:rsid w:val="00AC386C"/>
    <w:rsid w:val="00AC5004"/>
    <w:rsid w:val="00AC5256"/>
    <w:rsid w:val="00AC56B4"/>
    <w:rsid w:val="00AC5D49"/>
    <w:rsid w:val="00AC60E0"/>
    <w:rsid w:val="00AC653C"/>
    <w:rsid w:val="00AC6999"/>
    <w:rsid w:val="00AC6FF8"/>
    <w:rsid w:val="00AC7587"/>
    <w:rsid w:val="00AC7DF4"/>
    <w:rsid w:val="00AC7E75"/>
    <w:rsid w:val="00AD07EE"/>
    <w:rsid w:val="00AD0C5D"/>
    <w:rsid w:val="00AD0E6C"/>
    <w:rsid w:val="00AD1D13"/>
    <w:rsid w:val="00AD3A3D"/>
    <w:rsid w:val="00AD452D"/>
    <w:rsid w:val="00AD5DFD"/>
    <w:rsid w:val="00AD62AD"/>
    <w:rsid w:val="00AD6AB0"/>
    <w:rsid w:val="00AD6B74"/>
    <w:rsid w:val="00AD72AC"/>
    <w:rsid w:val="00AD7ADC"/>
    <w:rsid w:val="00AE04B0"/>
    <w:rsid w:val="00AE094C"/>
    <w:rsid w:val="00AE0DA6"/>
    <w:rsid w:val="00AE1990"/>
    <w:rsid w:val="00AE1EBF"/>
    <w:rsid w:val="00AE2DFA"/>
    <w:rsid w:val="00AE3830"/>
    <w:rsid w:val="00AE44F4"/>
    <w:rsid w:val="00AE4F72"/>
    <w:rsid w:val="00AE5FFD"/>
    <w:rsid w:val="00AE6027"/>
    <w:rsid w:val="00AE67D7"/>
    <w:rsid w:val="00AE741B"/>
    <w:rsid w:val="00AE7761"/>
    <w:rsid w:val="00AF1C5F"/>
    <w:rsid w:val="00AF1E81"/>
    <w:rsid w:val="00AF32ED"/>
    <w:rsid w:val="00AF3F2D"/>
    <w:rsid w:val="00AF4657"/>
    <w:rsid w:val="00AF5640"/>
    <w:rsid w:val="00AF612A"/>
    <w:rsid w:val="00AF6D5F"/>
    <w:rsid w:val="00AF6E5B"/>
    <w:rsid w:val="00AF7534"/>
    <w:rsid w:val="00AF7733"/>
    <w:rsid w:val="00B018DB"/>
    <w:rsid w:val="00B01D80"/>
    <w:rsid w:val="00B02287"/>
    <w:rsid w:val="00B02B94"/>
    <w:rsid w:val="00B02DE2"/>
    <w:rsid w:val="00B02F37"/>
    <w:rsid w:val="00B0352E"/>
    <w:rsid w:val="00B039C9"/>
    <w:rsid w:val="00B05E82"/>
    <w:rsid w:val="00B077B5"/>
    <w:rsid w:val="00B078AE"/>
    <w:rsid w:val="00B1015A"/>
    <w:rsid w:val="00B10680"/>
    <w:rsid w:val="00B10825"/>
    <w:rsid w:val="00B11A2A"/>
    <w:rsid w:val="00B12893"/>
    <w:rsid w:val="00B12ABC"/>
    <w:rsid w:val="00B12CEB"/>
    <w:rsid w:val="00B12E24"/>
    <w:rsid w:val="00B12E43"/>
    <w:rsid w:val="00B13B12"/>
    <w:rsid w:val="00B1412D"/>
    <w:rsid w:val="00B14591"/>
    <w:rsid w:val="00B145EA"/>
    <w:rsid w:val="00B14805"/>
    <w:rsid w:val="00B16FF6"/>
    <w:rsid w:val="00B17B59"/>
    <w:rsid w:val="00B17F11"/>
    <w:rsid w:val="00B206AD"/>
    <w:rsid w:val="00B208DB"/>
    <w:rsid w:val="00B21317"/>
    <w:rsid w:val="00B2142E"/>
    <w:rsid w:val="00B214D6"/>
    <w:rsid w:val="00B21BEF"/>
    <w:rsid w:val="00B22152"/>
    <w:rsid w:val="00B22643"/>
    <w:rsid w:val="00B2289F"/>
    <w:rsid w:val="00B22B75"/>
    <w:rsid w:val="00B24344"/>
    <w:rsid w:val="00B24D5D"/>
    <w:rsid w:val="00B25997"/>
    <w:rsid w:val="00B26688"/>
    <w:rsid w:val="00B2683F"/>
    <w:rsid w:val="00B27779"/>
    <w:rsid w:val="00B30132"/>
    <w:rsid w:val="00B30973"/>
    <w:rsid w:val="00B31A9B"/>
    <w:rsid w:val="00B337EE"/>
    <w:rsid w:val="00B34397"/>
    <w:rsid w:val="00B3582A"/>
    <w:rsid w:val="00B359E3"/>
    <w:rsid w:val="00B364C6"/>
    <w:rsid w:val="00B37EC7"/>
    <w:rsid w:val="00B40236"/>
    <w:rsid w:val="00B4079C"/>
    <w:rsid w:val="00B40B86"/>
    <w:rsid w:val="00B40BDF"/>
    <w:rsid w:val="00B41B59"/>
    <w:rsid w:val="00B41CCD"/>
    <w:rsid w:val="00B41D55"/>
    <w:rsid w:val="00B43A1A"/>
    <w:rsid w:val="00B44591"/>
    <w:rsid w:val="00B445CF"/>
    <w:rsid w:val="00B449BF"/>
    <w:rsid w:val="00B450C9"/>
    <w:rsid w:val="00B45646"/>
    <w:rsid w:val="00B46A80"/>
    <w:rsid w:val="00B47338"/>
    <w:rsid w:val="00B47346"/>
    <w:rsid w:val="00B47639"/>
    <w:rsid w:val="00B477CA"/>
    <w:rsid w:val="00B47FE8"/>
    <w:rsid w:val="00B50578"/>
    <w:rsid w:val="00B50ADF"/>
    <w:rsid w:val="00B50B79"/>
    <w:rsid w:val="00B50FFD"/>
    <w:rsid w:val="00B51AA0"/>
    <w:rsid w:val="00B51C59"/>
    <w:rsid w:val="00B51E03"/>
    <w:rsid w:val="00B525A8"/>
    <w:rsid w:val="00B52646"/>
    <w:rsid w:val="00B52FCE"/>
    <w:rsid w:val="00B5310C"/>
    <w:rsid w:val="00B53F5C"/>
    <w:rsid w:val="00B54C19"/>
    <w:rsid w:val="00B5718B"/>
    <w:rsid w:val="00B57F45"/>
    <w:rsid w:val="00B63D12"/>
    <w:rsid w:val="00B65E05"/>
    <w:rsid w:val="00B65F67"/>
    <w:rsid w:val="00B66192"/>
    <w:rsid w:val="00B6656B"/>
    <w:rsid w:val="00B66A30"/>
    <w:rsid w:val="00B66B80"/>
    <w:rsid w:val="00B67610"/>
    <w:rsid w:val="00B7087E"/>
    <w:rsid w:val="00B709BA"/>
    <w:rsid w:val="00B71222"/>
    <w:rsid w:val="00B716D0"/>
    <w:rsid w:val="00B7245E"/>
    <w:rsid w:val="00B727F8"/>
    <w:rsid w:val="00B741E1"/>
    <w:rsid w:val="00B74A2D"/>
    <w:rsid w:val="00B76AC5"/>
    <w:rsid w:val="00B77340"/>
    <w:rsid w:val="00B77825"/>
    <w:rsid w:val="00B81256"/>
    <w:rsid w:val="00B81E88"/>
    <w:rsid w:val="00B8235D"/>
    <w:rsid w:val="00B82557"/>
    <w:rsid w:val="00B84F41"/>
    <w:rsid w:val="00B8545A"/>
    <w:rsid w:val="00B8548C"/>
    <w:rsid w:val="00B864E8"/>
    <w:rsid w:val="00B867F7"/>
    <w:rsid w:val="00B87031"/>
    <w:rsid w:val="00B877AE"/>
    <w:rsid w:val="00B90B81"/>
    <w:rsid w:val="00B9124E"/>
    <w:rsid w:val="00B92CC9"/>
    <w:rsid w:val="00B9357D"/>
    <w:rsid w:val="00B93602"/>
    <w:rsid w:val="00B94233"/>
    <w:rsid w:val="00B949B8"/>
    <w:rsid w:val="00B94BC8"/>
    <w:rsid w:val="00B94C1C"/>
    <w:rsid w:val="00B94C2E"/>
    <w:rsid w:val="00B95411"/>
    <w:rsid w:val="00B9622C"/>
    <w:rsid w:val="00B97A8B"/>
    <w:rsid w:val="00B97D1A"/>
    <w:rsid w:val="00BA11E0"/>
    <w:rsid w:val="00BA1AE7"/>
    <w:rsid w:val="00BA1E0A"/>
    <w:rsid w:val="00BA2B0C"/>
    <w:rsid w:val="00BA2CF7"/>
    <w:rsid w:val="00BA3917"/>
    <w:rsid w:val="00BA3936"/>
    <w:rsid w:val="00BA3A9F"/>
    <w:rsid w:val="00BA3BCD"/>
    <w:rsid w:val="00BA4EAC"/>
    <w:rsid w:val="00BA5791"/>
    <w:rsid w:val="00BA5B3A"/>
    <w:rsid w:val="00BA6232"/>
    <w:rsid w:val="00BA6617"/>
    <w:rsid w:val="00BA6971"/>
    <w:rsid w:val="00BA7350"/>
    <w:rsid w:val="00BA74A0"/>
    <w:rsid w:val="00BA7996"/>
    <w:rsid w:val="00BB09EA"/>
    <w:rsid w:val="00BB113C"/>
    <w:rsid w:val="00BB131B"/>
    <w:rsid w:val="00BB15DB"/>
    <w:rsid w:val="00BB2BFB"/>
    <w:rsid w:val="00BB3C5F"/>
    <w:rsid w:val="00BB3D03"/>
    <w:rsid w:val="00BB3FA0"/>
    <w:rsid w:val="00BB4098"/>
    <w:rsid w:val="00BB525D"/>
    <w:rsid w:val="00BB59D3"/>
    <w:rsid w:val="00BB5DDB"/>
    <w:rsid w:val="00BB6B6C"/>
    <w:rsid w:val="00BC08B4"/>
    <w:rsid w:val="00BC0966"/>
    <w:rsid w:val="00BC0ADB"/>
    <w:rsid w:val="00BC1A98"/>
    <w:rsid w:val="00BC2C2F"/>
    <w:rsid w:val="00BC5373"/>
    <w:rsid w:val="00BC5540"/>
    <w:rsid w:val="00BC574D"/>
    <w:rsid w:val="00BC5E3A"/>
    <w:rsid w:val="00BC6E60"/>
    <w:rsid w:val="00BC724B"/>
    <w:rsid w:val="00BC7A30"/>
    <w:rsid w:val="00BD04E0"/>
    <w:rsid w:val="00BD064D"/>
    <w:rsid w:val="00BD2B0C"/>
    <w:rsid w:val="00BD2FE6"/>
    <w:rsid w:val="00BD4276"/>
    <w:rsid w:val="00BD42A1"/>
    <w:rsid w:val="00BD527F"/>
    <w:rsid w:val="00BD54B3"/>
    <w:rsid w:val="00BD54E7"/>
    <w:rsid w:val="00BD5AE9"/>
    <w:rsid w:val="00BD6E50"/>
    <w:rsid w:val="00BD7288"/>
    <w:rsid w:val="00BD76E9"/>
    <w:rsid w:val="00BE0222"/>
    <w:rsid w:val="00BE0A52"/>
    <w:rsid w:val="00BE0C9E"/>
    <w:rsid w:val="00BE0E81"/>
    <w:rsid w:val="00BE2922"/>
    <w:rsid w:val="00BE294C"/>
    <w:rsid w:val="00BE2BA1"/>
    <w:rsid w:val="00BE3476"/>
    <w:rsid w:val="00BE43FC"/>
    <w:rsid w:val="00BE4401"/>
    <w:rsid w:val="00BE4451"/>
    <w:rsid w:val="00BE49A0"/>
    <w:rsid w:val="00BE4E05"/>
    <w:rsid w:val="00BE4ED6"/>
    <w:rsid w:val="00BE566B"/>
    <w:rsid w:val="00BE56B5"/>
    <w:rsid w:val="00BE573E"/>
    <w:rsid w:val="00BE5A5D"/>
    <w:rsid w:val="00BE5C30"/>
    <w:rsid w:val="00BE5D70"/>
    <w:rsid w:val="00BE5FCC"/>
    <w:rsid w:val="00BE6AA5"/>
    <w:rsid w:val="00BE72A4"/>
    <w:rsid w:val="00BE75EB"/>
    <w:rsid w:val="00BE783B"/>
    <w:rsid w:val="00BE7CF4"/>
    <w:rsid w:val="00BF0A3D"/>
    <w:rsid w:val="00BF0B0F"/>
    <w:rsid w:val="00BF1352"/>
    <w:rsid w:val="00BF29BB"/>
    <w:rsid w:val="00BF5ABC"/>
    <w:rsid w:val="00BF72F8"/>
    <w:rsid w:val="00C01DE6"/>
    <w:rsid w:val="00C02564"/>
    <w:rsid w:val="00C0308E"/>
    <w:rsid w:val="00C03344"/>
    <w:rsid w:val="00C0432E"/>
    <w:rsid w:val="00C04354"/>
    <w:rsid w:val="00C043DB"/>
    <w:rsid w:val="00C04795"/>
    <w:rsid w:val="00C04D56"/>
    <w:rsid w:val="00C04F5E"/>
    <w:rsid w:val="00C05028"/>
    <w:rsid w:val="00C054B5"/>
    <w:rsid w:val="00C065EB"/>
    <w:rsid w:val="00C07E0B"/>
    <w:rsid w:val="00C07F1A"/>
    <w:rsid w:val="00C103CD"/>
    <w:rsid w:val="00C10834"/>
    <w:rsid w:val="00C10B5F"/>
    <w:rsid w:val="00C11726"/>
    <w:rsid w:val="00C1174A"/>
    <w:rsid w:val="00C11E5D"/>
    <w:rsid w:val="00C123E2"/>
    <w:rsid w:val="00C126F0"/>
    <w:rsid w:val="00C137BA"/>
    <w:rsid w:val="00C1429C"/>
    <w:rsid w:val="00C14CF9"/>
    <w:rsid w:val="00C1520C"/>
    <w:rsid w:val="00C1590B"/>
    <w:rsid w:val="00C15B3C"/>
    <w:rsid w:val="00C169B6"/>
    <w:rsid w:val="00C16AE5"/>
    <w:rsid w:val="00C16BE4"/>
    <w:rsid w:val="00C172A7"/>
    <w:rsid w:val="00C17412"/>
    <w:rsid w:val="00C17485"/>
    <w:rsid w:val="00C20050"/>
    <w:rsid w:val="00C20A19"/>
    <w:rsid w:val="00C21094"/>
    <w:rsid w:val="00C21C9B"/>
    <w:rsid w:val="00C22A9E"/>
    <w:rsid w:val="00C22E61"/>
    <w:rsid w:val="00C22E9B"/>
    <w:rsid w:val="00C22F4B"/>
    <w:rsid w:val="00C2330F"/>
    <w:rsid w:val="00C23B66"/>
    <w:rsid w:val="00C23C5B"/>
    <w:rsid w:val="00C259BA"/>
    <w:rsid w:val="00C25FEE"/>
    <w:rsid w:val="00C269B0"/>
    <w:rsid w:val="00C272D3"/>
    <w:rsid w:val="00C279A5"/>
    <w:rsid w:val="00C27D8B"/>
    <w:rsid w:val="00C27FB1"/>
    <w:rsid w:val="00C30567"/>
    <w:rsid w:val="00C30838"/>
    <w:rsid w:val="00C30B76"/>
    <w:rsid w:val="00C32984"/>
    <w:rsid w:val="00C32A33"/>
    <w:rsid w:val="00C331C1"/>
    <w:rsid w:val="00C33C75"/>
    <w:rsid w:val="00C348C4"/>
    <w:rsid w:val="00C350C7"/>
    <w:rsid w:val="00C360ED"/>
    <w:rsid w:val="00C37ED7"/>
    <w:rsid w:val="00C40023"/>
    <w:rsid w:val="00C403F2"/>
    <w:rsid w:val="00C4106E"/>
    <w:rsid w:val="00C41827"/>
    <w:rsid w:val="00C42607"/>
    <w:rsid w:val="00C42F52"/>
    <w:rsid w:val="00C4322D"/>
    <w:rsid w:val="00C432F1"/>
    <w:rsid w:val="00C43B8F"/>
    <w:rsid w:val="00C44B01"/>
    <w:rsid w:val="00C44D40"/>
    <w:rsid w:val="00C44E88"/>
    <w:rsid w:val="00C45620"/>
    <w:rsid w:val="00C45734"/>
    <w:rsid w:val="00C478C3"/>
    <w:rsid w:val="00C47F25"/>
    <w:rsid w:val="00C5041C"/>
    <w:rsid w:val="00C51526"/>
    <w:rsid w:val="00C519D7"/>
    <w:rsid w:val="00C521A7"/>
    <w:rsid w:val="00C52A9D"/>
    <w:rsid w:val="00C53223"/>
    <w:rsid w:val="00C53794"/>
    <w:rsid w:val="00C545EF"/>
    <w:rsid w:val="00C54E91"/>
    <w:rsid w:val="00C553D5"/>
    <w:rsid w:val="00C565EE"/>
    <w:rsid w:val="00C57DDF"/>
    <w:rsid w:val="00C602EC"/>
    <w:rsid w:val="00C60ACC"/>
    <w:rsid w:val="00C614E9"/>
    <w:rsid w:val="00C61724"/>
    <w:rsid w:val="00C61E5F"/>
    <w:rsid w:val="00C62BE6"/>
    <w:rsid w:val="00C62E10"/>
    <w:rsid w:val="00C62E30"/>
    <w:rsid w:val="00C6397E"/>
    <w:rsid w:val="00C640E7"/>
    <w:rsid w:val="00C64DE9"/>
    <w:rsid w:val="00C655CF"/>
    <w:rsid w:val="00C65C99"/>
    <w:rsid w:val="00C66398"/>
    <w:rsid w:val="00C66402"/>
    <w:rsid w:val="00C668DE"/>
    <w:rsid w:val="00C66982"/>
    <w:rsid w:val="00C669AF"/>
    <w:rsid w:val="00C66B4C"/>
    <w:rsid w:val="00C6751B"/>
    <w:rsid w:val="00C67ACC"/>
    <w:rsid w:val="00C67B3B"/>
    <w:rsid w:val="00C70175"/>
    <w:rsid w:val="00C7125F"/>
    <w:rsid w:val="00C719D0"/>
    <w:rsid w:val="00C723B6"/>
    <w:rsid w:val="00C72843"/>
    <w:rsid w:val="00C72DA8"/>
    <w:rsid w:val="00C72F3F"/>
    <w:rsid w:val="00C736CE"/>
    <w:rsid w:val="00C73990"/>
    <w:rsid w:val="00C739B6"/>
    <w:rsid w:val="00C74F3B"/>
    <w:rsid w:val="00C761CF"/>
    <w:rsid w:val="00C763F0"/>
    <w:rsid w:val="00C76604"/>
    <w:rsid w:val="00C77713"/>
    <w:rsid w:val="00C77DD2"/>
    <w:rsid w:val="00C77EFC"/>
    <w:rsid w:val="00C805A7"/>
    <w:rsid w:val="00C80EFD"/>
    <w:rsid w:val="00C81F9F"/>
    <w:rsid w:val="00C82319"/>
    <w:rsid w:val="00C82A9C"/>
    <w:rsid w:val="00C82BCE"/>
    <w:rsid w:val="00C82C61"/>
    <w:rsid w:val="00C82C79"/>
    <w:rsid w:val="00C82CF0"/>
    <w:rsid w:val="00C82E65"/>
    <w:rsid w:val="00C837EE"/>
    <w:rsid w:val="00C83F11"/>
    <w:rsid w:val="00C846B4"/>
    <w:rsid w:val="00C84A3A"/>
    <w:rsid w:val="00C84C79"/>
    <w:rsid w:val="00C85390"/>
    <w:rsid w:val="00C85C16"/>
    <w:rsid w:val="00C85DAB"/>
    <w:rsid w:val="00C866C7"/>
    <w:rsid w:val="00C86D52"/>
    <w:rsid w:val="00C8708D"/>
    <w:rsid w:val="00C9075E"/>
    <w:rsid w:val="00C909D3"/>
    <w:rsid w:val="00C90E7C"/>
    <w:rsid w:val="00C90F08"/>
    <w:rsid w:val="00C9184D"/>
    <w:rsid w:val="00C91EAA"/>
    <w:rsid w:val="00C91EBF"/>
    <w:rsid w:val="00C923FB"/>
    <w:rsid w:val="00C926E3"/>
    <w:rsid w:val="00C930DE"/>
    <w:rsid w:val="00C9311E"/>
    <w:rsid w:val="00C938E8"/>
    <w:rsid w:val="00C93D2F"/>
    <w:rsid w:val="00C94AA0"/>
    <w:rsid w:val="00C94B3C"/>
    <w:rsid w:val="00C95883"/>
    <w:rsid w:val="00C95FCE"/>
    <w:rsid w:val="00C96012"/>
    <w:rsid w:val="00C96423"/>
    <w:rsid w:val="00CA07FE"/>
    <w:rsid w:val="00CA0879"/>
    <w:rsid w:val="00CA287A"/>
    <w:rsid w:val="00CA3D2C"/>
    <w:rsid w:val="00CA3D35"/>
    <w:rsid w:val="00CA4DED"/>
    <w:rsid w:val="00CA4DFB"/>
    <w:rsid w:val="00CA5A47"/>
    <w:rsid w:val="00CA640C"/>
    <w:rsid w:val="00CA6769"/>
    <w:rsid w:val="00CA6D8C"/>
    <w:rsid w:val="00CA74D6"/>
    <w:rsid w:val="00CA77A1"/>
    <w:rsid w:val="00CB010A"/>
    <w:rsid w:val="00CB1FEA"/>
    <w:rsid w:val="00CB23F2"/>
    <w:rsid w:val="00CB2B8E"/>
    <w:rsid w:val="00CB2DB9"/>
    <w:rsid w:val="00CB2E87"/>
    <w:rsid w:val="00CB3819"/>
    <w:rsid w:val="00CB3F19"/>
    <w:rsid w:val="00CB4012"/>
    <w:rsid w:val="00CB4190"/>
    <w:rsid w:val="00CB4411"/>
    <w:rsid w:val="00CB4426"/>
    <w:rsid w:val="00CB4527"/>
    <w:rsid w:val="00CB48AF"/>
    <w:rsid w:val="00CB5272"/>
    <w:rsid w:val="00CB5BD8"/>
    <w:rsid w:val="00CB74A6"/>
    <w:rsid w:val="00CC0163"/>
    <w:rsid w:val="00CC04ED"/>
    <w:rsid w:val="00CC122F"/>
    <w:rsid w:val="00CC1FA8"/>
    <w:rsid w:val="00CC207F"/>
    <w:rsid w:val="00CC2624"/>
    <w:rsid w:val="00CC27C0"/>
    <w:rsid w:val="00CC3367"/>
    <w:rsid w:val="00CC5176"/>
    <w:rsid w:val="00CC698F"/>
    <w:rsid w:val="00CC7D2E"/>
    <w:rsid w:val="00CD1383"/>
    <w:rsid w:val="00CD1523"/>
    <w:rsid w:val="00CD156A"/>
    <w:rsid w:val="00CD2391"/>
    <w:rsid w:val="00CD2417"/>
    <w:rsid w:val="00CD2854"/>
    <w:rsid w:val="00CD2CAC"/>
    <w:rsid w:val="00CD2ECC"/>
    <w:rsid w:val="00CD3D63"/>
    <w:rsid w:val="00CD4498"/>
    <w:rsid w:val="00CD4661"/>
    <w:rsid w:val="00CD466F"/>
    <w:rsid w:val="00CD4721"/>
    <w:rsid w:val="00CD5EE2"/>
    <w:rsid w:val="00CD6011"/>
    <w:rsid w:val="00CD6520"/>
    <w:rsid w:val="00CD74E0"/>
    <w:rsid w:val="00CE0EE3"/>
    <w:rsid w:val="00CE1E68"/>
    <w:rsid w:val="00CE2999"/>
    <w:rsid w:val="00CE2CFB"/>
    <w:rsid w:val="00CE2D8A"/>
    <w:rsid w:val="00CE3277"/>
    <w:rsid w:val="00CE3B2D"/>
    <w:rsid w:val="00CE3E24"/>
    <w:rsid w:val="00CE441A"/>
    <w:rsid w:val="00CE4956"/>
    <w:rsid w:val="00CE49FA"/>
    <w:rsid w:val="00CE4DB0"/>
    <w:rsid w:val="00CE5952"/>
    <w:rsid w:val="00CE5D01"/>
    <w:rsid w:val="00CE5D3F"/>
    <w:rsid w:val="00CE6724"/>
    <w:rsid w:val="00CE6A90"/>
    <w:rsid w:val="00CE6E79"/>
    <w:rsid w:val="00CE7162"/>
    <w:rsid w:val="00CE7D7B"/>
    <w:rsid w:val="00CF0787"/>
    <w:rsid w:val="00CF0A17"/>
    <w:rsid w:val="00CF1859"/>
    <w:rsid w:val="00CF2AF3"/>
    <w:rsid w:val="00CF2DA5"/>
    <w:rsid w:val="00CF2E3A"/>
    <w:rsid w:val="00CF2F35"/>
    <w:rsid w:val="00CF37BA"/>
    <w:rsid w:val="00CF3D8F"/>
    <w:rsid w:val="00CF48CF"/>
    <w:rsid w:val="00CF50CC"/>
    <w:rsid w:val="00CF5E58"/>
    <w:rsid w:val="00CF6D66"/>
    <w:rsid w:val="00D000EE"/>
    <w:rsid w:val="00D0040A"/>
    <w:rsid w:val="00D0107C"/>
    <w:rsid w:val="00D01DB1"/>
    <w:rsid w:val="00D021E7"/>
    <w:rsid w:val="00D02A19"/>
    <w:rsid w:val="00D02EA0"/>
    <w:rsid w:val="00D0494D"/>
    <w:rsid w:val="00D07793"/>
    <w:rsid w:val="00D11B3D"/>
    <w:rsid w:val="00D11DC6"/>
    <w:rsid w:val="00D12F44"/>
    <w:rsid w:val="00D134DC"/>
    <w:rsid w:val="00D13984"/>
    <w:rsid w:val="00D13D25"/>
    <w:rsid w:val="00D14305"/>
    <w:rsid w:val="00D14CAE"/>
    <w:rsid w:val="00D15C7D"/>
    <w:rsid w:val="00D16B76"/>
    <w:rsid w:val="00D1734E"/>
    <w:rsid w:val="00D1758D"/>
    <w:rsid w:val="00D17D1E"/>
    <w:rsid w:val="00D17E1B"/>
    <w:rsid w:val="00D20DBD"/>
    <w:rsid w:val="00D22654"/>
    <w:rsid w:val="00D22958"/>
    <w:rsid w:val="00D237C0"/>
    <w:rsid w:val="00D242D1"/>
    <w:rsid w:val="00D2485D"/>
    <w:rsid w:val="00D26CC0"/>
    <w:rsid w:val="00D31264"/>
    <w:rsid w:val="00D31396"/>
    <w:rsid w:val="00D31685"/>
    <w:rsid w:val="00D3168C"/>
    <w:rsid w:val="00D331B1"/>
    <w:rsid w:val="00D3374D"/>
    <w:rsid w:val="00D34015"/>
    <w:rsid w:val="00D34F62"/>
    <w:rsid w:val="00D35380"/>
    <w:rsid w:val="00D360B8"/>
    <w:rsid w:val="00D36894"/>
    <w:rsid w:val="00D36F8A"/>
    <w:rsid w:val="00D37222"/>
    <w:rsid w:val="00D37289"/>
    <w:rsid w:val="00D376CF"/>
    <w:rsid w:val="00D377C7"/>
    <w:rsid w:val="00D3785C"/>
    <w:rsid w:val="00D37D41"/>
    <w:rsid w:val="00D40221"/>
    <w:rsid w:val="00D4258B"/>
    <w:rsid w:val="00D42B80"/>
    <w:rsid w:val="00D43399"/>
    <w:rsid w:val="00D443C0"/>
    <w:rsid w:val="00D44E24"/>
    <w:rsid w:val="00D4504B"/>
    <w:rsid w:val="00D4505B"/>
    <w:rsid w:val="00D4536C"/>
    <w:rsid w:val="00D456B9"/>
    <w:rsid w:val="00D45AD3"/>
    <w:rsid w:val="00D462A1"/>
    <w:rsid w:val="00D5043F"/>
    <w:rsid w:val="00D50821"/>
    <w:rsid w:val="00D50F63"/>
    <w:rsid w:val="00D525B4"/>
    <w:rsid w:val="00D52C70"/>
    <w:rsid w:val="00D539AF"/>
    <w:rsid w:val="00D53A05"/>
    <w:rsid w:val="00D53A47"/>
    <w:rsid w:val="00D5526A"/>
    <w:rsid w:val="00D567E9"/>
    <w:rsid w:val="00D56B6B"/>
    <w:rsid w:val="00D57579"/>
    <w:rsid w:val="00D579CC"/>
    <w:rsid w:val="00D57B91"/>
    <w:rsid w:val="00D57D48"/>
    <w:rsid w:val="00D61260"/>
    <w:rsid w:val="00D619CF"/>
    <w:rsid w:val="00D6242A"/>
    <w:rsid w:val="00D63973"/>
    <w:rsid w:val="00D63C60"/>
    <w:rsid w:val="00D63EC7"/>
    <w:rsid w:val="00D640BB"/>
    <w:rsid w:val="00D64A9C"/>
    <w:rsid w:val="00D652AE"/>
    <w:rsid w:val="00D66233"/>
    <w:rsid w:val="00D662D3"/>
    <w:rsid w:val="00D66C27"/>
    <w:rsid w:val="00D70ABC"/>
    <w:rsid w:val="00D7137D"/>
    <w:rsid w:val="00D7146B"/>
    <w:rsid w:val="00D71540"/>
    <w:rsid w:val="00D71BB2"/>
    <w:rsid w:val="00D71FC1"/>
    <w:rsid w:val="00D7294F"/>
    <w:rsid w:val="00D72DD8"/>
    <w:rsid w:val="00D73995"/>
    <w:rsid w:val="00D7423D"/>
    <w:rsid w:val="00D76862"/>
    <w:rsid w:val="00D77435"/>
    <w:rsid w:val="00D7780B"/>
    <w:rsid w:val="00D77E69"/>
    <w:rsid w:val="00D77E7F"/>
    <w:rsid w:val="00D802EC"/>
    <w:rsid w:val="00D803DC"/>
    <w:rsid w:val="00D81073"/>
    <w:rsid w:val="00D81DC3"/>
    <w:rsid w:val="00D8202F"/>
    <w:rsid w:val="00D83CC4"/>
    <w:rsid w:val="00D843D9"/>
    <w:rsid w:val="00D85514"/>
    <w:rsid w:val="00D85815"/>
    <w:rsid w:val="00D8583F"/>
    <w:rsid w:val="00D85CF9"/>
    <w:rsid w:val="00D86C49"/>
    <w:rsid w:val="00D86C5C"/>
    <w:rsid w:val="00D872CA"/>
    <w:rsid w:val="00D873FE"/>
    <w:rsid w:val="00D87617"/>
    <w:rsid w:val="00D877CF"/>
    <w:rsid w:val="00D90ED1"/>
    <w:rsid w:val="00D91DEB"/>
    <w:rsid w:val="00D920A1"/>
    <w:rsid w:val="00D9271B"/>
    <w:rsid w:val="00D9293B"/>
    <w:rsid w:val="00D93AC9"/>
    <w:rsid w:val="00D9582D"/>
    <w:rsid w:val="00D96160"/>
    <w:rsid w:val="00D964A8"/>
    <w:rsid w:val="00D965A3"/>
    <w:rsid w:val="00D96AA6"/>
    <w:rsid w:val="00D97D6E"/>
    <w:rsid w:val="00D97D9C"/>
    <w:rsid w:val="00DA074D"/>
    <w:rsid w:val="00DA110F"/>
    <w:rsid w:val="00DA277D"/>
    <w:rsid w:val="00DA2C4B"/>
    <w:rsid w:val="00DA2CD8"/>
    <w:rsid w:val="00DA32E2"/>
    <w:rsid w:val="00DA3682"/>
    <w:rsid w:val="00DA3D5B"/>
    <w:rsid w:val="00DA3DE0"/>
    <w:rsid w:val="00DA47B9"/>
    <w:rsid w:val="00DA50AB"/>
    <w:rsid w:val="00DA5D31"/>
    <w:rsid w:val="00DA6CA1"/>
    <w:rsid w:val="00DA77F1"/>
    <w:rsid w:val="00DA7982"/>
    <w:rsid w:val="00DA7BC9"/>
    <w:rsid w:val="00DA7C97"/>
    <w:rsid w:val="00DB0627"/>
    <w:rsid w:val="00DB0B56"/>
    <w:rsid w:val="00DB12F5"/>
    <w:rsid w:val="00DB1FBF"/>
    <w:rsid w:val="00DB2AAB"/>
    <w:rsid w:val="00DB3EC4"/>
    <w:rsid w:val="00DB4ABD"/>
    <w:rsid w:val="00DB507C"/>
    <w:rsid w:val="00DB54C7"/>
    <w:rsid w:val="00DB6F5D"/>
    <w:rsid w:val="00DB711A"/>
    <w:rsid w:val="00DB7161"/>
    <w:rsid w:val="00DB71C8"/>
    <w:rsid w:val="00DB7826"/>
    <w:rsid w:val="00DB7BA4"/>
    <w:rsid w:val="00DB7CE9"/>
    <w:rsid w:val="00DC08B6"/>
    <w:rsid w:val="00DC0BF2"/>
    <w:rsid w:val="00DC0E01"/>
    <w:rsid w:val="00DC1CE0"/>
    <w:rsid w:val="00DC316E"/>
    <w:rsid w:val="00DC330D"/>
    <w:rsid w:val="00DC33CE"/>
    <w:rsid w:val="00DC4307"/>
    <w:rsid w:val="00DC4521"/>
    <w:rsid w:val="00DC48DF"/>
    <w:rsid w:val="00DC55F2"/>
    <w:rsid w:val="00DC599F"/>
    <w:rsid w:val="00DC731A"/>
    <w:rsid w:val="00DC7969"/>
    <w:rsid w:val="00DC7AB8"/>
    <w:rsid w:val="00DD1BB5"/>
    <w:rsid w:val="00DD25BE"/>
    <w:rsid w:val="00DD2636"/>
    <w:rsid w:val="00DD41AD"/>
    <w:rsid w:val="00DD59F5"/>
    <w:rsid w:val="00DD5C58"/>
    <w:rsid w:val="00DD66F3"/>
    <w:rsid w:val="00DE0178"/>
    <w:rsid w:val="00DE0316"/>
    <w:rsid w:val="00DE0C59"/>
    <w:rsid w:val="00DE2AE0"/>
    <w:rsid w:val="00DE2C05"/>
    <w:rsid w:val="00DE30EA"/>
    <w:rsid w:val="00DE3496"/>
    <w:rsid w:val="00DE5899"/>
    <w:rsid w:val="00DE6128"/>
    <w:rsid w:val="00DE7EE4"/>
    <w:rsid w:val="00DF043B"/>
    <w:rsid w:val="00DF1A18"/>
    <w:rsid w:val="00DF2697"/>
    <w:rsid w:val="00DF3111"/>
    <w:rsid w:val="00DF4CAB"/>
    <w:rsid w:val="00DF4DD5"/>
    <w:rsid w:val="00DF5155"/>
    <w:rsid w:val="00DF5531"/>
    <w:rsid w:val="00DF58D0"/>
    <w:rsid w:val="00E00E2E"/>
    <w:rsid w:val="00E014FD"/>
    <w:rsid w:val="00E017CB"/>
    <w:rsid w:val="00E01C04"/>
    <w:rsid w:val="00E01D00"/>
    <w:rsid w:val="00E03116"/>
    <w:rsid w:val="00E03AD1"/>
    <w:rsid w:val="00E0459E"/>
    <w:rsid w:val="00E0496C"/>
    <w:rsid w:val="00E04ADC"/>
    <w:rsid w:val="00E05003"/>
    <w:rsid w:val="00E05144"/>
    <w:rsid w:val="00E05342"/>
    <w:rsid w:val="00E06D1D"/>
    <w:rsid w:val="00E0705D"/>
    <w:rsid w:val="00E10AF8"/>
    <w:rsid w:val="00E111F8"/>
    <w:rsid w:val="00E11204"/>
    <w:rsid w:val="00E115B0"/>
    <w:rsid w:val="00E1170B"/>
    <w:rsid w:val="00E121E7"/>
    <w:rsid w:val="00E126A8"/>
    <w:rsid w:val="00E12F85"/>
    <w:rsid w:val="00E1384A"/>
    <w:rsid w:val="00E1398E"/>
    <w:rsid w:val="00E144B9"/>
    <w:rsid w:val="00E149C7"/>
    <w:rsid w:val="00E1515E"/>
    <w:rsid w:val="00E15CA7"/>
    <w:rsid w:val="00E15CD2"/>
    <w:rsid w:val="00E171F9"/>
    <w:rsid w:val="00E1751C"/>
    <w:rsid w:val="00E17EAC"/>
    <w:rsid w:val="00E23164"/>
    <w:rsid w:val="00E23AA1"/>
    <w:rsid w:val="00E24017"/>
    <w:rsid w:val="00E24106"/>
    <w:rsid w:val="00E25D33"/>
    <w:rsid w:val="00E26124"/>
    <w:rsid w:val="00E2696C"/>
    <w:rsid w:val="00E27B6B"/>
    <w:rsid w:val="00E27E9C"/>
    <w:rsid w:val="00E30774"/>
    <w:rsid w:val="00E30D22"/>
    <w:rsid w:val="00E31045"/>
    <w:rsid w:val="00E31F58"/>
    <w:rsid w:val="00E327BD"/>
    <w:rsid w:val="00E32E94"/>
    <w:rsid w:val="00E33465"/>
    <w:rsid w:val="00E336E8"/>
    <w:rsid w:val="00E339B7"/>
    <w:rsid w:val="00E33E6C"/>
    <w:rsid w:val="00E34B8A"/>
    <w:rsid w:val="00E35357"/>
    <w:rsid w:val="00E359C3"/>
    <w:rsid w:val="00E379A0"/>
    <w:rsid w:val="00E40409"/>
    <w:rsid w:val="00E40D0D"/>
    <w:rsid w:val="00E411E7"/>
    <w:rsid w:val="00E4159B"/>
    <w:rsid w:val="00E41672"/>
    <w:rsid w:val="00E41FBE"/>
    <w:rsid w:val="00E422B0"/>
    <w:rsid w:val="00E438F8"/>
    <w:rsid w:val="00E44492"/>
    <w:rsid w:val="00E448B1"/>
    <w:rsid w:val="00E44C84"/>
    <w:rsid w:val="00E45851"/>
    <w:rsid w:val="00E4640F"/>
    <w:rsid w:val="00E46867"/>
    <w:rsid w:val="00E46D14"/>
    <w:rsid w:val="00E47F58"/>
    <w:rsid w:val="00E502D0"/>
    <w:rsid w:val="00E5119E"/>
    <w:rsid w:val="00E511A2"/>
    <w:rsid w:val="00E524B0"/>
    <w:rsid w:val="00E53329"/>
    <w:rsid w:val="00E53A5F"/>
    <w:rsid w:val="00E546C5"/>
    <w:rsid w:val="00E55B49"/>
    <w:rsid w:val="00E565C7"/>
    <w:rsid w:val="00E566C7"/>
    <w:rsid w:val="00E56DDF"/>
    <w:rsid w:val="00E56E5F"/>
    <w:rsid w:val="00E57D38"/>
    <w:rsid w:val="00E57F6D"/>
    <w:rsid w:val="00E60016"/>
    <w:rsid w:val="00E60100"/>
    <w:rsid w:val="00E6045C"/>
    <w:rsid w:val="00E60697"/>
    <w:rsid w:val="00E60829"/>
    <w:rsid w:val="00E624D1"/>
    <w:rsid w:val="00E62B8F"/>
    <w:rsid w:val="00E638B1"/>
    <w:rsid w:val="00E64A13"/>
    <w:rsid w:val="00E65343"/>
    <w:rsid w:val="00E65B5C"/>
    <w:rsid w:val="00E66383"/>
    <w:rsid w:val="00E675DB"/>
    <w:rsid w:val="00E67E97"/>
    <w:rsid w:val="00E7044B"/>
    <w:rsid w:val="00E707F6"/>
    <w:rsid w:val="00E70DB0"/>
    <w:rsid w:val="00E712D7"/>
    <w:rsid w:val="00E713BA"/>
    <w:rsid w:val="00E7147B"/>
    <w:rsid w:val="00E7234B"/>
    <w:rsid w:val="00E724DE"/>
    <w:rsid w:val="00E72857"/>
    <w:rsid w:val="00E729A3"/>
    <w:rsid w:val="00E742FE"/>
    <w:rsid w:val="00E743A0"/>
    <w:rsid w:val="00E752CC"/>
    <w:rsid w:val="00E756A0"/>
    <w:rsid w:val="00E75B15"/>
    <w:rsid w:val="00E76844"/>
    <w:rsid w:val="00E768DD"/>
    <w:rsid w:val="00E769C7"/>
    <w:rsid w:val="00E76CF0"/>
    <w:rsid w:val="00E776ED"/>
    <w:rsid w:val="00E77928"/>
    <w:rsid w:val="00E77D1D"/>
    <w:rsid w:val="00E8020A"/>
    <w:rsid w:val="00E80600"/>
    <w:rsid w:val="00E813E9"/>
    <w:rsid w:val="00E813FD"/>
    <w:rsid w:val="00E81453"/>
    <w:rsid w:val="00E81B67"/>
    <w:rsid w:val="00E82427"/>
    <w:rsid w:val="00E825D3"/>
    <w:rsid w:val="00E82809"/>
    <w:rsid w:val="00E83229"/>
    <w:rsid w:val="00E83A36"/>
    <w:rsid w:val="00E83AC5"/>
    <w:rsid w:val="00E8423C"/>
    <w:rsid w:val="00E84E28"/>
    <w:rsid w:val="00E85300"/>
    <w:rsid w:val="00E8540E"/>
    <w:rsid w:val="00E85F96"/>
    <w:rsid w:val="00E860E8"/>
    <w:rsid w:val="00E86259"/>
    <w:rsid w:val="00E87EB7"/>
    <w:rsid w:val="00E90574"/>
    <w:rsid w:val="00E90990"/>
    <w:rsid w:val="00E91BE4"/>
    <w:rsid w:val="00E928DA"/>
    <w:rsid w:val="00E93AF7"/>
    <w:rsid w:val="00E945B0"/>
    <w:rsid w:val="00E945C5"/>
    <w:rsid w:val="00E95081"/>
    <w:rsid w:val="00E958B6"/>
    <w:rsid w:val="00E95A54"/>
    <w:rsid w:val="00E96577"/>
    <w:rsid w:val="00E97358"/>
    <w:rsid w:val="00EA01B8"/>
    <w:rsid w:val="00EA08C9"/>
    <w:rsid w:val="00EA0DF7"/>
    <w:rsid w:val="00EA1A80"/>
    <w:rsid w:val="00EA294C"/>
    <w:rsid w:val="00EA296C"/>
    <w:rsid w:val="00EA2A9D"/>
    <w:rsid w:val="00EA2ADD"/>
    <w:rsid w:val="00EA2C63"/>
    <w:rsid w:val="00EA3FAE"/>
    <w:rsid w:val="00EA4972"/>
    <w:rsid w:val="00EA4E0E"/>
    <w:rsid w:val="00EA4E50"/>
    <w:rsid w:val="00EA583B"/>
    <w:rsid w:val="00EA6087"/>
    <w:rsid w:val="00EA709F"/>
    <w:rsid w:val="00EB0A87"/>
    <w:rsid w:val="00EB0AF1"/>
    <w:rsid w:val="00EB0CCE"/>
    <w:rsid w:val="00EB0DB8"/>
    <w:rsid w:val="00EB1E16"/>
    <w:rsid w:val="00EB2DB7"/>
    <w:rsid w:val="00EB2FE0"/>
    <w:rsid w:val="00EB442D"/>
    <w:rsid w:val="00EB4657"/>
    <w:rsid w:val="00EB503B"/>
    <w:rsid w:val="00EB6AC3"/>
    <w:rsid w:val="00EB6EA0"/>
    <w:rsid w:val="00EB7730"/>
    <w:rsid w:val="00EC1370"/>
    <w:rsid w:val="00EC1510"/>
    <w:rsid w:val="00EC1CC4"/>
    <w:rsid w:val="00EC2017"/>
    <w:rsid w:val="00EC2134"/>
    <w:rsid w:val="00EC25DC"/>
    <w:rsid w:val="00EC2F8C"/>
    <w:rsid w:val="00EC3A37"/>
    <w:rsid w:val="00EC3DE5"/>
    <w:rsid w:val="00EC5D46"/>
    <w:rsid w:val="00EC6631"/>
    <w:rsid w:val="00EC6BB5"/>
    <w:rsid w:val="00EC73F8"/>
    <w:rsid w:val="00EC7DCF"/>
    <w:rsid w:val="00ED1407"/>
    <w:rsid w:val="00ED1816"/>
    <w:rsid w:val="00ED2EC9"/>
    <w:rsid w:val="00ED3114"/>
    <w:rsid w:val="00ED376E"/>
    <w:rsid w:val="00ED37F3"/>
    <w:rsid w:val="00ED3E39"/>
    <w:rsid w:val="00ED5392"/>
    <w:rsid w:val="00ED5A08"/>
    <w:rsid w:val="00ED62A8"/>
    <w:rsid w:val="00ED6718"/>
    <w:rsid w:val="00ED67B1"/>
    <w:rsid w:val="00ED6D1D"/>
    <w:rsid w:val="00ED72C7"/>
    <w:rsid w:val="00ED7589"/>
    <w:rsid w:val="00ED7D87"/>
    <w:rsid w:val="00EE0B4E"/>
    <w:rsid w:val="00EE0C90"/>
    <w:rsid w:val="00EE106C"/>
    <w:rsid w:val="00EE190A"/>
    <w:rsid w:val="00EE20E5"/>
    <w:rsid w:val="00EE3375"/>
    <w:rsid w:val="00EE4D84"/>
    <w:rsid w:val="00EE5815"/>
    <w:rsid w:val="00EE6924"/>
    <w:rsid w:val="00EE70E4"/>
    <w:rsid w:val="00EE74E2"/>
    <w:rsid w:val="00EE7899"/>
    <w:rsid w:val="00EE79CE"/>
    <w:rsid w:val="00EE7AE9"/>
    <w:rsid w:val="00EE7D1C"/>
    <w:rsid w:val="00EF0BCF"/>
    <w:rsid w:val="00EF1179"/>
    <w:rsid w:val="00EF182F"/>
    <w:rsid w:val="00EF3616"/>
    <w:rsid w:val="00EF3ABE"/>
    <w:rsid w:val="00EF3D71"/>
    <w:rsid w:val="00EF438F"/>
    <w:rsid w:val="00EF493A"/>
    <w:rsid w:val="00EF55CC"/>
    <w:rsid w:val="00EF649C"/>
    <w:rsid w:val="00EF6656"/>
    <w:rsid w:val="00EF6F23"/>
    <w:rsid w:val="00F00334"/>
    <w:rsid w:val="00F003B6"/>
    <w:rsid w:val="00F010C2"/>
    <w:rsid w:val="00F0196D"/>
    <w:rsid w:val="00F02398"/>
    <w:rsid w:val="00F03768"/>
    <w:rsid w:val="00F03DBF"/>
    <w:rsid w:val="00F053E1"/>
    <w:rsid w:val="00F0566A"/>
    <w:rsid w:val="00F06296"/>
    <w:rsid w:val="00F07E28"/>
    <w:rsid w:val="00F115F6"/>
    <w:rsid w:val="00F11FD7"/>
    <w:rsid w:val="00F12BAC"/>
    <w:rsid w:val="00F13622"/>
    <w:rsid w:val="00F1375D"/>
    <w:rsid w:val="00F14182"/>
    <w:rsid w:val="00F14265"/>
    <w:rsid w:val="00F14729"/>
    <w:rsid w:val="00F150E1"/>
    <w:rsid w:val="00F15654"/>
    <w:rsid w:val="00F15928"/>
    <w:rsid w:val="00F1649D"/>
    <w:rsid w:val="00F16766"/>
    <w:rsid w:val="00F17A30"/>
    <w:rsid w:val="00F20161"/>
    <w:rsid w:val="00F21C02"/>
    <w:rsid w:val="00F21E21"/>
    <w:rsid w:val="00F23305"/>
    <w:rsid w:val="00F23991"/>
    <w:rsid w:val="00F23BF5"/>
    <w:rsid w:val="00F241FB"/>
    <w:rsid w:val="00F2559E"/>
    <w:rsid w:val="00F25A5B"/>
    <w:rsid w:val="00F26001"/>
    <w:rsid w:val="00F26CBD"/>
    <w:rsid w:val="00F27F12"/>
    <w:rsid w:val="00F30515"/>
    <w:rsid w:val="00F30C13"/>
    <w:rsid w:val="00F32025"/>
    <w:rsid w:val="00F321E6"/>
    <w:rsid w:val="00F32AA9"/>
    <w:rsid w:val="00F345BA"/>
    <w:rsid w:val="00F35787"/>
    <w:rsid w:val="00F35F25"/>
    <w:rsid w:val="00F365AC"/>
    <w:rsid w:val="00F37847"/>
    <w:rsid w:val="00F37A32"/>
    <w:rsid w:val="00F37C53"/>
    <w:rsid w:val="00F37EDD"/>
    <w:rsid w:val="00F40223"/>
    <w:rsid w:val="00F41CE2"/>
    <w:rsid w:val="00F440F9"/>
    <w:rsid w:val="00F449E7"/>
    <w:rsid w:val="00F44BCA"/>
    <w:rsid w:val="00F45603"/>
    <w:rsid w:val="00F45DC1"/>
    <w:rsid w:val="00F45F33"/>
    <w:rsid w:val="00F4683A"/>
    <w:rsid w:val="00F46ED1"/>
    <w:rsid w:val="00F47169"/>
    <w:rsid w:val="00F47335"/>
    <w:rsid w:val="00F4734E"/>
    <w:rsid w:val="00F4735F"/>
    <w:rsid w:val="00F47706"/>
    <w:rsid w:val="00F47A46"/>
    <w:rsid w:val="00F50139"/>
    <w:rsid w:val="00F50DDC"/>
    <w:rsid w:val="00F5101A"/>
    <w:rsid w:val="00F511CD"/>
    <w:rsid w:val="00F51307"/>
    <w:rsid w:val="00F5166A"/>
    <w:rsid w:val="00F516C0"/>
    <w:rsid w:val="00F517ED"/>
    <w:rsid w:val="00F51E64"/>
    <w:rsid w:val="00F5293A"/>
    <w:rsid w:val="00F52A99"/>
    <w:rsid w:val="00F52D2F"/>
    <w:rsid w:val="00F52D3C"/>
    <w:rsid w:val="00F5321B"/>
    <w:rsid w:val="00F542C6"/>
    <w:rsid w:val="00F54606"/>
    <w:rsid w:val="00F54C49"/>
    <w:rsid w:val="00F54E4B"/>
    <w:rsid w:val="00F5544C"/>
    <w:rsid w:val="00F5575A"/>
    <w:rsid w:val="00F55914"/>
    <w:rsid w:val="00F55D63"/>
    <w:rsid w:val="00F55EDD"/>
    <w:rsid w:val="00F561C6"/>
    <w:rsid w:val="00F6038E"/>
    <w:rsid w:val="00F611BE"/>
    <w:rsid w:val="00F6220D"/>
    <w:rsid w:val="00F62E3E"/>
    <w:rsid w:val="00F63020"/>
    <w:rsid w:val="00F64863"/>
    <w:rsid w:val="00F65621"/>
    <w:rsid w:val="00F65E29"/>
    <w:rsid w:val="00F6685C"/>
    <w:rsid w:val="00F66F44"/>
    <w:rsid w:val="00F6773F"/>
    <w:rsid w:val="00F67CB2"/>
    <w:rsid w:val="00F70DA2"/>
    <w:rsid w:val="00F71B73"/>
    <w:rsid w:val="00F72EEB"/>
    <w:rsid w:val="00F7317D"/>
    <w:rsid w:val="00F732BE"/>
    <w:rsid w:val="00F73553"/>
    <w:rsid w:val="00F736A0"/>
    <w:rsid w:val="00F73882"/>
    <w:rsid w:val="00F73996"/>
    <w:rsid w:val="00F73A4C"/>
    <w:rsid w:val="00F7494D"/>
    <w:rsid w:val="00F74FA6"/>
    <w:rsid w:val="00F7572F"/>
    <w:rsid w:val="00F7723C"/>
    <w:rsid w:val="00F77321"/>
    <w:rsid w:val="00F77402"/>
    <w:rsid w:val="00F775DA"/>
    <w:rsid w:val="00F77932"/>
    <w:rsid w:val="00F77F65"/>
    <w:rsid w:val="00F80BFC"/>
    <w:rsid w:val="00F80CFE"/>
    <w:rsid w:val="00F81376"/>
    <w:rsid w:val="00F81675"/>
    <w:rsid w:val="00F81A48"/>
    <w:rsid w:val="00F81D96"/>
    <w:rsid w:val="00F82204"/>
    <w:rsid w:val="00F82426"/>
    <w:rsid w:val="00F82583"/>
    <w:rsid w:val="00F82F3D"/>
    <w:rsid w:val="00F842FA"/>
    <w:rsid w:val="00F8455B"/>
    <w:rsid w:val="00F846FE"/>
    <w:rsid w:val="00F84F4B"/>
    <w:rsid w:val="00F867CC"/>
    <w:rsid w:val="00F86A62"/>
    <w:rsid w:val="00F86D2B"/>
    <w:rsid w:val="00F86E8F"/>
    <w:rsid w:val="00F86FC7"/>
    <w:rsid w:val="00F87E6E"/>
    <w:rsid w:val="00F90BB6"/>
    <w:rsid w:val="00F926E4"/>
    <w:rsid w:val="00F928F7"/>
    <w:rsid w:val="00F92945"/>
    <w:rsid w:val="00F92CFC"/>
    <w:rsid w:val="00F92F93"/>
    <w:rsid w:val="00F93F5B"/>
    <w:rsid w:val="00F9488D"/>
    <w:rsid w:val="00F94945"/>
    <w:rsid w:val="00F94C19"/>
    <w:rsid w:val="00F97E18"/>
    <w:rsid w:val="00FA09E1"/>
    <w:rsid w:val="00FA0AE3"/>
    <w:rsid w:val="00FA14E0"/>
    <w:rsid w:val="00FA1B89"/>
    <w:rsid w:val="00FA1EAD"/>
    <w:rsid w:val="00FA2DB7"/>
    <w:rsid w:val="00FA56E1"/>
    <w:rsid w:val="00FA6988"/>
    <w:rsid w:val="00FA6C4F"/>
    <w:rsid w:val="00FA765B"/>
    <w:rsid w:val="00FA7881"/>
    <w:rsid w:val="00FB093F"/>
    <w:rsid w:val="00FB0C1B"/>
    <w:rsid w:val="00FB1C97"/>
    <w:rsid w:val="00FB1E6F"/>
    <w:rsid w:val="00FB239D"/>
    <w:rsid w:val="00FB24BF"/>
    <w:rsid w:val="00FB4059"/>
    <w:rsid w:val="00FB5825"/>
    <w:rsid w:val="00FB59C8"/>
    <w:rsid w:val="00FB6D83"/>
    <w:rsid w:val="00FB74B1"/>
    <w:rsid w:val="00FC0AA6"/>
    <w:rsid w:val="00FC1046"/>
    <w:rsid w:val="00FC1349"/>
    <w:rsid w:val="00FC2860"/>
    <w:rsid w:val="00FC2DB9"/>
    <w:rsid w:val="00FC30C8"/>
    <w:rsid w:val="00FC31E0"/>
    <w:rsid w:val="00FC3BE6"/>
    <w:rsid w:val="00FC3CAD"/>
    <w:rsid w:val="00FC532B"/>
    <w:rsid w:val="00FC5FB5"/>
    <w:rsid w:val="00FC66F2"/>
    <w:rsid w:val="00FC6B44"/>
    <w:rsid w:val="00FC7641"/>
    <w:rsid w:val="00FC7D30"/>
    <w:rsid w:val="00FD04DA"/>
    <w:rsid w:val="00FD0A2D"/>
    <w:rsid w:val="00FD19ED"/>
    <w:rsid w:val="00FD2D1B"/>
    <w:rsid w:val="00FD30CD"/>
    <w:rsid w:val="00FD39A1"/>
    <w:rsid w:val="00FD3D3F"/>
    <w:rsid w:val="00FD4187"/>
    <w:rsid w:val="00FD4406"/>
    <w:rsid w:val="00FD4899"/>
    <w:rsid w:val="00FD4A35"/>
    <w:rsid w:val="00FD4C26"/>
    <w:rsid w:val="00FD5D9F"/>
    <w:rsid w:val="00FD608D"/>
    <w:rsid w:val="00FD78EF"/>
    <w:rsid w:val="00FE0012"/>
    <w:rsid w:val="00FE03C1"/>
    <w:rsid w:val="00FE078F"/>
    <w:rsid w:val="00FE2196"/>
    <w:rsid w:val="00FE25A7"/>
    <w:rsid w:val="00FE27CA"/>
    <w:rsid w:val="00FE2C07"/>
    <w:rsid w:val="00FE2E89"/>
    <w:rsid w:val="00FE3E4E"/>
    <w:rsid w:val="00FE3FDC"/>
    <w:rsid w:val="00FE4266"/>
    <w:rsid w:val="00FE4AE5"/>
    <w:rsid w:val="00FE6247"/>
    <w:rsid w:val="00FE62D9"/>
    <w:rsid w:val="00FE68FD"/>
    <w:rsid w:val="00FE728A"/>
    <w:rsid w:val="00FE75AA"/>
    <w:rsid w:val="00FE76CF"/>
    <w:rsid w:val="00FE7856"/>
    <w:rsid w:val="00FE7B9F"/>
    <w:rsid w:val="00FF041E"/>
    <w:rsid w:val="00FF0AEC"/>
    <w:rsid w:val="00FF3D50"/>
    <w:rsid w:val="00FF5577"/>
    <w:rsid w:val="00FF58B3"/>
    <w:rsid w:val="00FF6018"/>
    <w:rsid w:val="00FF6B14"/>
    <w:rsid w:val="00FF6EDA"/>
    <w:rsid w:val="03C0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 w:type="character" w:styleId="Hyperlink">
    <w:name w:val="Hyperlink"/>
    <w:basedOn w:val="DefaultParagraphFont"/>
    <w:uiPriority w:val="99"/>
    <w:unhideWhenUsed/>
    <w:rsid w:val="008A3015"/>
    <w:rPr>
      <w:color w:val="0000FF"/>
      <w:u w:val="single"/>
    </w:rPr>
  </w:style>
  <w:style w:type="character" w:styleId="UnresolvedMention">
    <w:name w:val="Unresolved Mention"/>
    <w:basedOn w:val="DefaultParagraphFont"/>
    <w:uiPriority w:val="99"/>
    <w:semiHidden/>
    <w:unhideWhenUsed/>
    <w:rsid w:val="008A3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5442">
      <w:bodyDiv w:val="1"/>
      <w:marLeft w:val="0"/>
      <w:marRight w:val="0"/>
      <w:marTop w:val="0"/>
      <w:marBottom w:val="0"/>
      <w:divBdr>
        <w:top w:val="none" w:sz="0" w:space="0" w:color="auto"/>
        <w:left w:val="none" w:sz="0" w:space="0" w:color="auto"/>
        <w:bottom w:val="none" w:sz="0" w:space="0" w:color="auto"/>
        <w:right w:val="none" w:sz="0" w:space="0" w:color="auto"/>
      </w:divBdr>
    </w:div>
    <w:div w:id="231819980">
      <w:bodyDiv w:val="1"/>
      <w:marLeft w:val="0"/>
      <w:marRight w:val="0"/>
      <w:marTop w:val="0"/>
      <w:marBottom w:val="0"/>
      <w:divBdr>
        <w:top w:val="none" w:sz="0" w:space="0" w:color="auto"/>
        <w:left w:val="none" w:sz="0" w:space="0" w:color="auto"/>
        <w:bottom w:val="none" w:sz="0" w:space="0" w:color="auto"/>
        <w:right w:val="none" w:sz="0" w:space="0" w:color="auto"/>
      </w:divBdr>
    </w:div>
    <w:div w:id="245577358">
      <w:bodyDiv w:val="1"/>
      <w:marLeft w:val="0"/>
      <w:marRight w:val="0"/>
      <w:marTop w:val="0"/>
      <w:marBottom w:val="0"/>
      <w:divBdr>
        <w:top w:val="none" w:sz="0" w:space="0" w:color="auto"/>
        <w:left w:val="none" w:sz="0" w:space="0" w:color="auto"/>
        <w:bottom w:val="none" w:sz="0" w:space="0" w:color="auto"/>
        <w:right w:val="none" w:sz="0" w:space="0" w:color="auto"/>
      </w:divBdr>
    </w:div>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270358299">
      <w:bodyDiv w:val="1"/>
      <w:marLeft w:val="0"/>
      <w:marRight w:val="0"/>
      <w:marTop w:val="0"/>
      <w:marBottom w:val="0"/>
      <w:divBdr>
        <w:top w:val="none" w:sz="0" w:space="0" w:color="auto"/>
        <w:left w:val="none" w:sz="0" w:space="0" w:color="auto"/>
        <w:bottom w:val="none" w:sz="0" w:space="0" w:color="auto"/>
        <w:right w:val="none" w:sz="0" w:space="0" w:color="auto"/>
      </w:divBdr>
    </w:div>
    <w:div w:id="535234501">
      <w:bodyDiv w:val="1"/>
      <w:marLeft w:val="0"/>
      <w:marRight w:val="0"/>
      <w:marTop w:val="0"/>
      <w:marBottom w:val="0"/>
      <w:divBdr>
        <w:top w:val="none" w:sz="0" w:space="0" w:color="auto"/>
        <w:left w:val="none" w:sz="0" w:space="0" w:color="auto"/>
        <w:bottom w:val="none" w:sz="0" w:space="0" w:color="auto"/>
        <w:right w:val="none" w:sz="0" w:space="0" w:color="auto"/>
      </w:divBdr>
    </w:div>
    <w:div w:id="771585438">
      <w:bodyDiv w:val="1"/>
      <w:marLeft w:val="0"/>
      <w:marRight w:val="0"/>
      <w:marTop w:val="0"/>
      <w:marBottom w:val="0"/>
      <w:divBdr>
        <w:top w:val="none" w:sz="0" w:space="0" w:color="auto"/>
        <w:left w:val="none" w:sz="0" w:space="0" w:color="auto"/>
        <w:bottom w:val="none" w:sz="0" w:space="0" w:color="auto"/>
        <w:right w:val="none" w:sz="0" w:space="0" w:color="auto"/>
      </w:divBdr>
    </w:div>
    <w:div w:id="772746834">
      <w:bodyDiv w:val="1"/>
      <w:marLeft w:val="0"/>
      <w:marRight w:val="0"/>
      <w:marTop w:val="0"/>
      <w:marBottom w:val="0"/>
      <w:divBdr>
        <w:top w:val="none" w:sz="0" w:space="0" w:color="auto"/>
        <w:left w:val="none" w:sz="0" w:space="0" w:color="auto"/>
        <w:bottom w:val="none" w:sz="0" w:space="0" w:color="auto"/>
        <w:right w:val="none" w:sz="0" w:space="0" w:color="auto"/>
      </w:divBdr>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036735680">
      <w:bodyDiv w:val="1"/>
      <w:marLeft w:val="0"/>
      <w:marRight w:val="0"/>
      <w:marTop w:val="0"/>
      <w:marBottom w:val="0"/>
      <w:divBdr>
        <w:top w:val="none" w:sz="0" w:space="0" w:color="auto"/>
        <w:left w:val="none" w:sz="0" w:space="0" w:color="auto"/>
        <w:bottom w:val="none" w:sz="0" w:space="0" w:color="auto"/>
        <w:right w:val="none" w:sz="0" w:space="0" w:color="auto"/>
      </w:divBdr>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352416504">
      <w:bodyDiv w:val="1"/>
      <w:marLeft w:val="0"/>
      <w:marRight w:val="0"/>
      <w:marTop w:val="0"/>
      <w:marBottom w:val="0"/>
      <w:divBdr>
        <w:top w:val="none" w:sz="0" w:space="0" w:color="auto"/>
        <w:left w:val="none" w:sz="0" w:space="0" w:color="auto"/>
        <w:bottom w:val="none" w:sz="0" w:space="0" w:color="auto"/>
        <w:right w:val="none" w:sz="0" w:space="0" w:color="auto"/>
      </w:divBdr>
      <w:divsChild>
        <w:div w:id="543761104">
          <w:marLeft w:val="0"/>
          <w:marRight w:val="-12435"/>
          <w:marTop w:val="0"/>
          <w:marBottom w:val="0"/>
          <w:divBdr>
            <w:top w:val="none" w:sz="0" w:space="0" w:color="auto"/>
            <w:left w:val="none" w:sz="0" w:space="0" w:color="auto"/>
            <w:bottom w:val="none" w:sz="0" w:space="0" w:color="auto"/>
            <w:right w:val="none" w:sz="0" w:space="0" w:color="auto"/>
          </w:divBdr>
        </w:div>
        <w:div w:id="102771544">
          <w:marLeft w:val="0"/>
          <w:marRight w:val="-12435"/>
          <w:marTop w:val="0"/>
          <w:marBottom w:val="0"/>
          <w:divBdr>
            <w:top w:val="none" w:sz="0" w:space="0" w:color="auto"/>
            <w:left w:val="none" w:sz="0" w:space="0" w:color="auto"/>
            <w:bottom w:val="none" w:sz="0" w:space="0" w:color="auto"/>
            <w:right w:val="none" w:sz="0" w:space="0" w:color="auto"/>
          </w:divBdr>
        </w:div>
        <w:div w:id="1419718947">
          <w:marLeft w:val="0"/>
          <w:marRight w:val="-12435"/>
          <w:marTop w:val="0"/>
          <w:marBottom w:val="0"/>
          <w:divBdr>
            <w:top w:val="none" w:sz="0" w:space="0" w:color="auto"/>
            <w:left w:val="none" w:sz="0" w:space="0" w:color="auto"/>
            <w:bottom w:val="none" w:sz="0" w:space="0" w:color="auto"/>
            <w:right w:val="none" w:sz="0" w:space="0" w:color="auto"/>
          </w:divBdr>
        </w:div>
        <w:div w:id="287518776">
          <w:marLeft w:val="0"/>
          <w:marRight w:val="-12435"/>
          <w:marTop w:val="0"/>
          <w:marBottom w:val="0"/>
          <w:divBdr>
            <w:top w:val="none" w:sz="0" w:space="0" w:color="auto"/>
            <w:left w:val="none" w:sz="0" w:space="0" w:color="auto"/>
            <w:bottom w:val="none" w:sz="0" w:space="0" w:color="auto"/>
            <w:right w:val="none" w:sz="0" w:space="0" w:color="auto"/>
          </w:divBdr>
        </w:div>
        <w:div w:id="1842424148">
          <w:marLeft w:val="0"/>
          <w:marRight w:val="-12435"/>
          <w:marTop w:val="0"/>
          <w:marBottom w:val="0"/>
          <w:divBdr>
            <w:top w:val="none" w:sz="0" w:space="0" w:color="auto"/>
            <w:left w:val="none" w:sz="0" w:space="0" w:color="auto"/>
            <w:bottom w:val="none" w:sz="0" w:space="0" w:color="auto"/>
            <w:right w:val="none" w:sz="0" w:space="0" w:color="auto"/>
          </w:divBdr>
        </w:div>
        <w:div w:id="24332580">
          <w:marLeft w:val="0"/>
          <w:marRight w:val="-12435"/>
          <w:marTop w:val="0"/>
          <w:marBottom w:val="0"/>
          <w:divBdr>
            <w:top w:val="none" w:sz="0" w:space="0" w:color="auto"/>
            <w:left w:val="none" w:sz="0" w:space="0" w:color="auto"/>
            <w:bottom w:val="none" w:sz="0" w:space="0" w:color="auto"/>
            <w:right w:val="none" w:sz="0" w:space="0" w:color="auto"/>
          </w:divBdr>
        </w:div>
        <w:div w:id="172693020">
          <w:marLeft w:val="0"/>
          <w:marRight w:val="-12435"/>
          <w:marTop w:val="0"/>
          <w:marBottom w:val="0"/>
          <w:divBdr>
            <w:top w:val="none" w:sz="0" w:space="0" w:color="auto"/>
            <w:left w:val="none" w:sz="0" w:space="0" w:color="auto"/>
            <w:bottom w:val="none" w:sz="0" w:space="0" w:color="auto"/>
            <w:right w:val="none" w:sz="0" w:space="0" w:color="auto"/>
          </w:divBdr>
        </w:div>
      </w:divsChild>
    </w:div>
    <w:div w:id="1365593298">
      <w:bodyDiv w:val="1"/>
      <w:marLeft w:val="0"/>
      <w:marRight w:val="0"/>
      <w:marTop w:val="0"/>
      <w:marBottom w:val="0"/>
      <w:divBdr>
        <w:top w:val="none" w:sz="0" w:space="0" w:color="auto"/>
        <w:left w:val="none" w:sz="0" w:space="0" w:color="auto"/>
        <w:bottom w:val="none" w:sz="0" w:space="0" w:color="auto"/>
        <w:right w:val="none" w:sz="0" w:space="0" w:color="auto"/>
      </w:divBdr>
    </w:div>
    <w:div w:id="1410686969">
      <w:bodyDiv w:val="1"/>
      <w:marLeft w:val="0"/>
      <w:marRight w:val="0"/>
      <w:marTop w:val="0"/>
      <w:marBottom w:val="0"/>
      <w:divBdr>
        <w:top w:val="none" w:sz="0" w:space="0" w:color="auto"/>
        <w:left w:val="none" w:sz="0" w:space="0" w:color="auto"/>
        <w:bottom w:val="none" w:sz="0" w:space="0" w:color="auto"/>
        <w:right w:val="none" w:sz="0" w:space="0" w:color="auto"/>
      </w:divBdr>
    </w:div>
    <w:div w:id="1458135165">
      <w:bodyDiv w:val="1"/>
      <w:marLeft w:val="0"/>
      <w:marRight w:val="0"/>
      <w:marTop w:val="0"/>
      <w:marBottom w:val="0"/>
      <w:divBdr>
        <w:top w:val="none" w:sz="0" w:space="0" w:color="auto"/>
        <w:left w:val="none" w:sz="0" w:space="0" w:color="auto"/>
        <w:bottom w:val="none" w:sz="0" w:space="0" w:color="auto"/>
        <w:right w:val="none" w:sz="0" w:space="0" w:color="auto"/>
      </w:divBdr>
    </w:div>
    <w:div w:id="1546942218">
      <w:bodyDiv w:val="1"/>
      <w:marLeft w:val="0"/>
      <w:marRight w:val="0"/>
      <w:marTop w:val="0"/>
      <w:marBottom w:val="0"/>
      <w:divBdr>
        <w:top w:val="none" w:sz="0" w:space="0" w:color="auto"/>
        <w:left w:val="none" w:sz="0" w:space="0" w:color="auto"/>
        <w:bottom w:val="none" w:sz="0" w:space="0" w:color="auto"/>
        <w:right w:val="none" w:sz="0" w:space="0" w:color="auto"/>
      </w:divBdr>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612273520">
      <w:bodyDiv w:val="1"/>
      <w:marLeft w:val="0"/>
      <w:marRight w:val="0"/>
      <w:marTop w:val="0"/>
      <w:marBottom w:val="0"/>
      <w:divBdr>
        <w:top w:val="none" w:sz="0" w:space="0" w:color="auto"/>
        <w:left w:val="none" w:sz="0" w:space="0" w:color="auto"/>
        <w:bottom w:val="none" w:sz="0" w:space="0" w:color="auto"/>
        <w:right w:val="none" w:sz="0" w:space="0" w:color="auto"/>
      </w:divBdr>
    </w:div>
    <w:div w:id="1714618396">
      <w:bodyDiv w:val="1"/>
      <w:marLeft w:val="0"/>
      <w:marRight w:val="0"/>
      <w:marTop w:val="0"/>
      <w:marBottom w:val="0"/>
      <w:divBdr>
        <w:top w:val="none" w:sz="0" w:space="0" w:color="auto"/>
        <w:left w:val="none" w:sz="0" w:space="0" w:color="auto"/>
        <w:bottom w:val="none" w:sz="0" w:space="0" w:color="auto"/>
        <w:right w:val="none" w:sz="0" w:space="0" w:color="auto"/>
      </w:divBdr>
    </w:div>
    <w:div w:id="1781220434">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42D84-1275-4C0D-9B62-345722B9F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40744</Words>
  <Characters>232242</Characters>
  <Application>Microsoft Office Word</Application>
  <DocSecurity>0</DocSecurity>
  <Lines>1935</Lines>
  <Paragraphs>544</Paragraphs>
  <ScaleCrop>false</ScaleCrop>
  <Company/>
  <LinksUpToDate>false</LinksUpToDate>
  <CharactersWithSpaces>272442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90</cp:revision>
  <dcterms:created xsi:type="dcterms:W3CDTF">2020-02-24T23:36:00Z</dcterms:created>
  <dcterms:modified xsi:type="dcterms:W3CDTF">2020-03-03T21:44:00Z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id="nci0zzfT"/&gt;&lt;style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