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8"/>
          <w:szCs w:val="48"/>
        </w:rPr>
        <w:t xml:space="preserve">Sepsis Bundle Agent</w:t>
      </w:r>
    </w:p>
    <w:p>
      <w:pPr>
        <w:spacing w:after="40"/>
      </w:pPr>
      <w:r>
        <w:rPr>
          <w:i/>
          <w:iCs/>
          <w:color w:val="B8860B"/>
          <w:sz w:val="28"/>
          <w:szCs w:val="28"/>
        </w:rPr>
        <w:t xml:space="preserve">Egypt Regulatory Pathway Overview</w:t>
      </w:r>
    </w:p>
    <w:p>
      <w:pPr>
        <w:spacing w:after="200"/>
      </w:pPr>
      <w:r>
        <w:rPr>
          <w:color w:val="555555"/>
          <w:sz w:val="18"/>
          <w:szCs w:val="18"/>
        </w:rPr>
        <w:t xml:space="preserve">Reference current as of August 2026</w:t>
      </w:r>
    </w:p>
    <w:p>
      <w:pPr>
        <w:spacing w:after="300"/>
      </w:pPr>
      <w:r>
        <w:rPr>
          <w:i/>
          <w:iCs/>
          <w:color w:val="9B2C2C"/>
          <w:sz w:val="20"/>
          <w:szCs w:val="20"/>
        </w:rPr>
        <w:t xml:space="preserve">This document is a general informational overview, not legal advice. Confirm current requirements directly with the Egyptian Drug Authority (EDA) or licensed Egyptian regulatory counsel before taking any action based on it.</w:t>
      </w:r>
    </w:p>
    <w:p>
      <w:pPr>
        <w:pStyle w:val="Heading1"/>
        <w:spacing w:after="160" w:before="320"/>
      </w:pPr>
      <w:r>
        <w:t xml:space="preserve">1. Governing Authority</w:t>
      </w:r>
    </w:p>
    <w:p>
      <w:pPr>
        <w:spacing w:after="140"/>
      </w:pPr>
      <w:r>
        <w:t xml:space="preserve">The Egyptian Drug Authority (EDA) is the national body responsible for regulating medical devices in Egypt, established under Law No. 151 of 2019. Device-specific regulatory activity is managed by the EDA's Central Administration of Medical Devices, with the Central Administration of Pharmaceutical Affairs (CAPA) providing additional oversight for device-related matters.</w:t>
      </w:r>
    </w:p>
    <w:p>
      <w:pPr>
        <w:pStyle w:val="Heading1"/>
        <w:spacing w:after="160" w:before="320"/>
      </w:pPr>
      <w:r>
        <w:t xml:space="preserve">2. Legal Basis and Registration Requirement</w:t>
      </w:r>
    </w:p>
    <w:p>
      <w:pPr>
        <w:spacing w:after="140"/>
      </w:pPr>
      <w:r>
        <w:t xml:space="preserve">Medical device regulation in Egypt rests on the Egyptian Medical Device Law No. 10 of 2003. Registration with the EDA became mandatory for essentially all device categories in September 2018; some Class A (lowest-risk) devices are exempt from full registration but must still be listed in the importer's EDA record. Submissions are made electronically through the EDA's MeDevice portal, introduced in 2021, which replaced the earlier paper-based process.</w:t>
      </w:r>
    </w:p>
    <w:p>
      <w:pPr>
        <w:pStyle w:val="Heading1"/>
        <w:spacing w:after="160" w:before="320"/>
      </w:pPr>
      <w:r>
        <w:t xml:space="preserve">3. Risk Classification</w:t>
      </w:r>
    </w:p>
    <w:p>
      <w:pPr>
        <w:spacing w:after="140"/>
      </w:pPr>
      <w:r>
        <w:t xml:space="preserve">Egypt's framework aligns with EU MDR-style risk classification, sorting devices into four classes (A through D) based on intended use and risk to the patient. Higher-risk classes face materially stricter scrutiny, including mandatory conformity assessment by notified bodies or the EDA itself.</w:t>
      </w:r>
    </w:p>
    <w:p>
      <w:pPr>
        <w:spacing w:after="140"/>
      </w:pPr>
      <w:r>
        <w:rPr>
          <w:b w:val="false"/>
          <w:bCs w:val="false"/>
        </w:rPr>
        <w:t xml:space="preserve">Where clinical decision support software like the Sepsis Bundle Agent falls in this scheme is not something to assume — software that only displays already-computed values with no autonomous action is often treated differently from software that could be read as directing therapy. This determination should be sought directly from the EDA (or a regulatory consultant) early, since it drives every downstream requirement.</w:t>
      </w:r>
    </w:p>
    <w:p>
      <w:pPr>
        <w:pStyle w:val="Heading1"/>
        <w:spacing w:after="160" w:before="320"/>
      </w:pPr>
      <w:r>
        <w:t xml:space="preserve">4. Core Requirements for Registration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2A44" w:val="clear"/>
          </w:tcPr>
          <w:p>
            <w:r>
              <w:rPr>
                <w:b/>
                <w:bCs/>
                <w:color w:val="FFFFFF"/>
                <w:sz w:val="19"/>
                <w:szCs w:val="19"/>
              </w:rPr>
              <w:t xml:space="preserve">Requirement</w:t>
            </w:r>
          </w:p>
        </w:tc>
        <w:tc>
          <w:tcPr>
            <w:tcW w:type="dxa" w:w="6400"/>
            <w:shd w:fill="1F2A44" w:val="clear"/>
          </w:tcPr>
          <w:p>
            <w:r>
              <w:rPr>
                <w:b/>
                <w:bCs/>
                <w:color w:val="FFFFFF"/>
                <w:sz w:val="19"/>
                <w:szCs w:val="19"/>
              </w:rPr>
              <w:t xml:space="preserve">Note</w:t>
            </w:r>
          </w:p>
        </w:tc>
      </w:tr>
      <w:tr>
        <w:tc>
          <w:tcPr>
            <w:tcW w:type="dxa" w:w="2600"/>
          </w:tcPr>
          <w:p>
            <w:r>
              <w:rPr>
                <w:b w:val="false"/>
                <w:bCs w:val="false"/>
                <w:color w:val="000000"/>
                <w:sz w:val="19"/>
                <w:szCs w:val="19"/>
              </w:rPr>
              <w:t xml:space="preserve">Quality Management System</w:t>
            </w:r>
          </w:p>
        </w:tc>
        <w:tc>
          <w:tcPr>
            <w:tcW w:type="dxa" w:w="6400"/>
          </w:tcPr>
          <w:p>
            <w:r>
              <w:rPr>
                <w:b w:val="false"/>
                <w:bCs w:val="false"/>
                <w:color w:val="000000"/>
                <w:sz w:val="19"/>
                <w:szCs w:val="19"/>
              </w:rPr>
              <w:t xml:space="preserve">A valid ISO 13485:2016 certificate is the standard expectation; a US FDA Certificate to Foreign Government (CFG) is sometimes accepted as an equivalent, but this should be confirmed case by case.</w:t>
            </w:r>
          </w:p>
        </w:tc>
      </w:tr>
      <w:tr>
        <w:tc>
          <w:tcPr>
            <w:tcW w:type="dxa" w:w="2600"/>
          </w:tcPr>
          <w:p>
            <w:r>
              <w:rPr>
                <w:b w:val="false"/>
                <w:bCs w:val="false"/>
                <w:color w:val="000000"/>
                <w:sz w:val="19"/>
                <w:szCs w:val="19"/>
              </w:rPr>
              <w:t xml:space="preserve">Free Sale Certificate (FSC)</w:t>
            </w:r>
          </w:p>
        </w:tc>
        <w:tc>
          <w:tcPr>
            <w:tcW w:type="dxa" w:w="6400"/>
          </w:tcPr>
          <w:p>
            <w:r>
              <w:rPr>
                <w:b w:val="false"/>
                <w:bCs w:val="false"/>
                <w:color w:val="000000"/>
                <w:sz w:val="19"/>
                <w:szCs w:val="19"/>
              </w:rPr>
              <w:t xml:space="preserve">Typically required for imported devices; as of a February 2026 facilitation measure, a valid FSC is accepted regardless of remaining validity period at submission (previously required ≥ 3 months remaining).</w:t>
            </w:r>
          </w:p>
        </w:tc>
      </w:tr>
      <w:tr>
        <w:tc>
          <w:tcPr>
            <w:tcW w:type="dxa" w:w="2600"/>
          </w:tcPr>
          <w:p>
            <w:r>
              <w:rPr>
                <w:b w:val="false"/>
                <w:bCs w:val="false"/>
                <w:color w:val="000000"/>
                <w:sz w:val="19"/>
                <w:szCs w:val="19"/>
              </w:rPr>
              <w:t xml:space="preserve">Local representation</w:t>
            </w:r>
          </w:p>
        </w:tc>
        <w:tc>
          <w:tcPr>
            <w:tcW w:type="dxa" w:w="6400"/>
          </w:tcPr>
          <w:p>
            <w:r>
              <w:rPr>
                <w:b w:val="false"/>
                <w:bCs w:val="false"/>
                <w:color w:val="000000"/>
                <w:sz w:val="19"/>
                <w:szCs w:val="19"/>
              </w:rPr>
              <w:t xml:space="preserve">Manufacturers without an Egyptian presence must appoint an Egypt Registration Holder (ERH) to handle submission and post-market responsibilities. For a domestically developed clinical tool, this may not apply in the same way — confirm directly with EDA.</w:t>
            </w:r>
          </w:p>
        </w:tc>
      </w:tr>
      <w:tr>
        <w:tc>
          <w:tcPr>
            <w:tcW w:type="dxa" w:w="2600"/>
          </w:tcPr>
          <w:p>
            <w:r>
              <w:rPr>
                <w:b w:val="false"/>
                <w:bCs w:val="false"/>
                <w:color w:val="000000"/>
                <w:sz w:val="19"/>
                <w:szCs w:val="19"/>
              </w:rPr>
              <w:t xml:space="preserve">Technical documentation</w:t>
            </w:r>
          </w:p>
        </w:tc>
        <w:tc>
          <w:tcPr>
            <w:tcW w:type="dxa" w:w="6400"/>
          </w:tcPr>
          <w:p>
            <w:r>
              <w:rPr>
                <w:b w:val="false"/>
                <w:bCs w:val="false"/>
                <w:color w:val="000000"/>
                <w:sz w:val="19"/>
                <w:szCs w:val="19"/>
              </w:rPr>
              <w:t xml:space="preserve">Full technical file describing intended use, risk classification rationale, verification/validation evidence, and labeling.</w:t>
            </w:r>
          </w:p>
        </w:tc>
      </w:tr>
      <w:tr>
        <w:tc>
          <w:tcPr>
            <w:tcW w:type="dxa" w:w="2600"/>
          </w:tcPr>
          <w:p>
            <w:r>
              <w:rPr>
                <w:b w:val="false"/>
                <w:bCs w:val="false"/>
                <w:color w:val="000000"/>
                <w:sz w:val="19"/>
                <w:szCs w:val="19"/>
              </w:rPr>
              <w:t xml:space="preserve">Digital submission</w:t>
            </w:r>
          </w:p>
        </w:tc>
        <w:tc>
          <w:tcPr>
            <w:tcW w:type="dxa" w:w="6400"/>
          </w:tcPr>
          <w:p>
            <w:r>
              <w:rPr>
                <w:b w:val="false"/>
                <w:bCs w:val="false"/>
                <w:color w:val="000000"/>
                <w:sz w:val="19"/>
                <w:szCs w:val="19"/>
              </w:rPr>
              <w:t xml:space="preserve">Via the MeDevice portal.</w:t>
            </w:r>
          </w:p>
        </w:tc>
      </w:tr>
    </w:tbl>
    <w:p>
      <w:pPr>
        <w:pStyle w:val="Heading1"/>
        <w:spacing w:after="160" w:before="320"/>
      </w:pPr>
      <w:r>
        <w:t xml:space="preserve">5. Recent Procedural Changes (February 2026)</w:t>
      </w:r>
    </w:p>
    <w:p>
      <w:pPr>
        <w:spacing w:after="140"/>
      </w:pPr>
      <w:r>
        <w:t xml:space="preserve">On 12 February 2026, the EDA's Central Administration of Medical Devices announced facilitation measures relevant to document preparation: the FSC validity requirement was relaxed as noted above, and relationship letters between manufacturer branches can now be submitted via authenticated email rather than requiring prior legalization, provided a commitment is made to submit the legalized version within a specified timeframe.</w:t>
      </w:r>
    </w:p>
    <w:p>
      <w:pPr>
        <w:pStyle w:val="Heading1"/>
        <w:spacing w:after="160" w:before="320"/>
      </w:pPr>
      <w:r>
        <w:t xml:space="preserve">6. Considerations Specific to This Project</w:t>
      </w:r>
    </w:p>
    <w:p>
      <w:pPr>
        <w:pStyle w:val="ListParagraph"/>
        <w:numPr>
          <w:ilvl w:val="0"/>
          <w:numId w:val="1"/>
        </w:numPr>
        <w:spacing w:after="80"/>
      </w:pPr>
      <w:r>
        <w:t xml:space="preserve">Software-as-a-Medical-Device (SaMD) status: this is the single most consequential open question. It should be resolved with the EDA before any pilot planning proceeds, since it determines whether full device registration applies at all, and if so, at what class.</w:t>
      </w:r>
    </w:p>
    <w:p>
      <w:pPr>
        <w:pStyle w:val="ListParagraph"/>
        <w:numPr>
          <w:ilvl w:val="0"/>
          <w:numId w:val="1"/>
        </w:numPr>
        <w:spacing w:after="80"/>
      </w:pPr>
      <w:r>
        <w:t xml:space="preserve">Institutional/hospital-level approval is a separate track from national device registration — even a registered device still requires the hospital's own clinical governance and ethics committee sign-off before use on patients (see the companion Shadow_Mode_Validation_Plan.docx).</w:t>
      </w:r>
    </w:p>
    <w:p>
      <w:pPr>
        <w:pStyle w:val="ListParagraph"/>
        <w:numPr>
          <w:ilvl w:val="0"/>
          <w:numId w:val="1"/>
        </w:numPr>
        <w:spacing w:after="80"/>
      </w:pPr>
      <w:r>
        <w:t xml:space="preserve">Patient data protection: any live use involves identifiable patient health data, which falls under Egypt's Personal Data Protection Law (Law No. 151 of 2020). This is a separate compliance track from device registration and should be reviewed alongside it, particularly given the system's audit logging and any future storage of patient values.</w:t>
      </w:r>
    </w:p>
    <w:p>
      <w:pPr>
        <w:pStyle w:val="ListParagraph"/>
        <w:numPr>
          <w:ilvl w:val="0"/>
          <w:numId w:val="1"/>
        </w:numPr>
        <w:spacing w:after="80"/>
      </w:pPr>
      <w:r>
        <w:t xml:space="preserve">Because this project originated as an academic/portfolio project (Shura, EpiLink, and this Sepsis Bundle Agent), none of the above registration steps have been pursued yet. That is appropriate at this stage — they become relevant only once there is a genuine intent to deploy in a real clinical setting, consistent with the phased approach in the Shadow-Mode Validation Plan.</w:t>
      </w:r>
    </w:p>
    <w:p>
      <w:pPr>
        <w:pStyle w:val="Heading1"/>
        <w:spacing w:after="160" w:before="320"/>
      </w:pPr>
      <w:r>
        <w:t xml:space="preserve">7. Recommended Next Steps, If Real Deployment Is Ever Pursued</w:t>
      </w:r>
    </w:p>
    <w:p>
      <w:pPr>
        <w:pStyle w:val="ListParagraph"/>
        <w:numPr>
          <w:ilvl w:val="0"/>
          <w:numId w:val="1"/>
        </w:numPr>
        <w:spacing w:after="80"/>
      </w:pPr>
      <w:r>
        <w:t xml:space="preserve">Contact the EDA's Central Administration of Medical Devices directly (or a regulatory consulting firm operating in Egypt) to seek a formal classification determination for the specific software as built.</w:t>
      </w:r>
    </w:p>
    <w:p>
      <w:pPr>
        <w:pStyle w:val="ListParagraph"/>
        <w:numPr>
          <w:ilvl w:val="0"/>
          <w:numId w:val="1"/>
        </w:numPr>
        <w:spacing w:after="80"/>
      </w:pPr>
      <w:r>
        <w:t xml:space="preserve">In parallel, begin the hospital-level ethics/IRB conversation described in the Shadow-Mode Validation Plan — this can often proceed before full device registration, since Phase 0–1 validation does not require a registered, marketed product.</w:t>
      </w:r>
    </w:p>
    <w:p>
      <w:pPr>
        <w:pStyle w:val="ListParagraph"/>
        <w:numPr>
          <w:ilvl w:val="0"/>
          <w:numId w:val="1"/>
        </w:numPr>
        <w:spacing w:after="80"/>
      </w:pPr>
      <w:r>
        <w:t xml:space="preserve">Budget realistic time for this track: device registration processes, even with the 2026 facilitation measures, typically run to months rather than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2026-08-12T10:49:15.910Z</dcterms:created>
  <dcterms:modified xsi:type="dcterms:W3CDTF">2026-08-12T10:49:15.910Z</dcterms:modified>
</cp:coreProperties>
</file>

<file path=docProps/custom.xml><?xml version="1.0" encoding="utf-8"?>
<Properties xmlns="http://schemas.openxmlformats.org/officeDocument/2006/custom-properties" xmlns:vt="http://schemas.openxmlformats.org/officeDocument/2006/docPropsVTypes"/>
</file>