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2A44"/>
          <w:sz w:val="48"/>
          <w:szCs w:val="48"/>
        </w:rPr>
        <w:t xml:space="preserve">Sepsis Bundle Agent</w:t>
      </w:r>
    </w:p>
    <w:p>
      <w:pPr>
        <w:spacing w:after="40"/>
      </w:pPr>
      <w:r>
        <w:rPr>
          <w:i/>
          <w:iCs/>
          <w:color w:val="B8860B"/>
          <w:sz w:val="28"/>
          <w:szCs w:val="28"/>
        </w:rPr>
        <w:t xml:space="preserve">Product Requirements Document</w:t>
      </w:r>
    </w:p>
    <w:p>
      <w:pPr>
        <w:spacing w:after="400"/>
      </w:pPr>
      <w:r>
        <w:rPr>
          <w:color w:val="555555"/>
          <w:sz w:val="22"/>
          <w:szCs w:val="22"/>
        </w:rPr>
        <w:t xml:space="preserve">A component of the Shura ICU Clinical Decision Support System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2A4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000"/>
            <w:shd w:fill="1F2A4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Sarah — Clinical Architecture Lead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Contributors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Hasan (Backend/AI), Nosa (Frontend)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Related Systems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Shura (parent system), Consensus AI / Majlis (multi-specialty consultation platform)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40"/>
      </w:pPr>
      <w:r>
        <w:t xml:space="preserve">The Sepsis Bundle Agent is a clinical decision support component that tracks and supports adherence to the Surviving Sepsis Campaign Hour-1 Bundle, using a deterministic SOFA (Sequential Organ Failure Assessment) calculator paired with an LLM narration layer. It extends Shura's multi-agent architecture into a focused, high-acuity ICU workflow.</w:t>
      </w:r>
    </w:p>
    <w:p>
      <w:pPr>
        <w:pStyle w:val="Heading1"/>
        <w:spacing w:after="160" w:before="320"/>
      </w:pPr>
      <w:r>
        <w:t xml:space="preserve">2. Governing Principle</w:t>
      </w:r>
    </w:p>
    <w:p>
      <w:pPr>
        <w:spacing w:after="140"/>
      </w:pPr>
      <w:r>
        <w:t xml:space="preserve">“AI proposes, physician decides.” This principle, inherited from Shura, is enforced structurally: all scoring and bundle-timer logic is deterministic Python with no model involvement; the LLM layer only narrates values it is handed and can never alter, recalculate, or auto-execute a clinical action. Every action that changes patient-facing state requires explicit physician confirmation.</w:t>
      </w:r>
    </w:p>
    <w:p>
      <w:pPr>
        <w:pStyle w:val="Heading1"/>
        <w:spacing w:after="160" w:before="320"/>
      </w:pPr>
      <w:r>
        <w:t xml:space="preserve">3. Background</w:t>
      </w:r>
    </w:p>
    <w:p>
      <w:pPr>
        <w:spacing w:after="140"/>
      </w:pPr>
      <w:r>
        <w:t xml:space="preserve">Sepsis remains a leading cause of preventable ICU mortality, and outcomes are time-sensitive: delays in the Hour-1 Bundle (blood cultures, antibiotics, lactate, fluids, vasopressors as indicated) are associated with increased mortality. Prior work on Shura identified a broader pattern — a knowledge translation gap where standardized protocols exist but are not reliably operationalized at the bedside, leaving clinicians to track multi-element, time-critical checklists manually under cognitive load. The Sepsis Bundle Agent targets this specific gap.</w:t>
      </w:r>
    </w:p>
    <w:p>
      <w:pPr>
        <w:pStyle w:val="Heading1"/>
        <w:spacing w:after="160" w:before="320"/>
      </w:pPr>
      <w:r>
        <w:t xml:space="preserve">4. Scope</w:t>
      </w:r>
    </w:p>
    <w:p>
      <w:pPr>
        <w:pStyle w:val="Heading2"/>
        <w:spacing w:after="120" w:before="240"/>
      </w:pPr>
      <w:r>
        <w:t xml:space="preserve">4.1 In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Deterministic SOFA score calculation across all 6 organ-system domains, with partial-data handling and completeness reporting.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ΔSOFA tracking against a patient baseline and automatic Sepsis-3 criteria flagging (Δ ≥ 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Hour-1 Bundle timer with condition-aware item relevance (e.g., vasopressors only required if MAP &lt; 65 after fluids).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Lactate trend tracking with clearance percentage calculation.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Physician confirmation workflow, including dual sign-off for high-risk actions (antibiotics, fluids, vasopressors).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LLM-generated clinical narration of already-computed values (organ-system interpretation, likely source correlation, overdue-item flagging).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Append-only audit logging of all confirmations and system events.</w:t>
      </w:r>
    </w:p>
    <w:p>
      <w:pPr>
        <w:pStyle w:val="Heading2"/>
        <w:spacing w:after="120" w:before="240"/>
      </w:pPr>
      <w:r>
        <w:t xml:space="preserve">4.2 Out of Scope (this iteration)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Direct integration with bedside monitors / lab interfaces (data entry is manual or simulated in the current prototype).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Authentication, encryption, and access-control implementation (see TDD § Security — tracked as a pre-deployment requirement, informed by FMEA failure mode FM-04).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Automated medication ordering or CPOE integration.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Multi-patient ward-level dashboard (single-patient session model only).</w:t>
      </w:r>
    </w:p>
    <w:p>
      <w:pPr>
        <w:pStyle w:val="Heading1"/>
        <w:spacing w:after="160" w:before="320"/>
      </w:pPr>
      <w:r>
        <w:t xml:space="preserve">5. User Personas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2A4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6000"/>
            <w:shd w:fill="1F2A4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ICU Attending / Resident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Fast, trustworthy visibility into bundle status and SOFA trend without manual tallying; final authority on every action.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Charge Nurse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Clear, time-stamped view of which bundle elements are outstanding and how overdue they are.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Clinical Governance / QI Reviewer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Auditable record of bundle timing and confirmation attribution for post-hoc review and KPI reporting.</w:t>
            </w:r>
          </w:p>
        </w:tc>
      </w:tr>
    </w:tbl>
    <w:p>
      <w:pPr>
        <w:pStyle w:val="Heading1"/>
        <w:spacing w:after="160" w:before="320"/>
      </w:pPr>
      <w:r>
        <w:t xml:space="preserve">6. Functional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00"/>
        <w:gridCol w:w="1500"/>
      </w:tblGrid>
      <w:tr>
        <w:tc>
          <w:tcPr>
            <w:tcW w:type="dxa" w:w="1200"/>
            <w:shd w:fill="1F2A4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300"/>
            <w:shd w:fill="1F2A4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500"/>
            <w:shd w:fill="1F2A4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Calculate SOFA score deterministically from up to 6 organ-system inputs; compute correctly with partial data.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FR-2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Track ΔSOFA from a recorded baseline and flag Sepsis-3 criteria (Δ ≥ 2).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FR-3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 a hour-1 recognition clock and track elapsed time per bundle item.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FR-4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Determine bundle item relevance conditionally based on MAP and lactate.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FR-5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Flag bundle items that exceed the 60-minute target and are not yet confirmed.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FR-6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 two distinct clinician sign-offs for high-risk actions (antibiotics, fluids, pressors).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FR-7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Validate incoming clinical values against physiologic range, freshness window, and plausible rate-of-change before use.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FR-8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Generate a physician-facing narrative interpretation from already-computed values only.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FR-9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Maintain an append-only audit log of all confirmations and system events.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FR-10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 data completeness and any DRAFT/STALE flags alongside the SOFA score.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1"/>
        <w:spacing w:after="160" w:before="320"/>
      </w:pPr>
      <w:r>
        <w:t xml:space="preserve">7. Non-Functional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Deterministic components must be independently unit-testable without any network or LLM dependency.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interpretation endpoint must degrade gracefully (clear error, not a stalled UI) if the LLM API is unavailable.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timestamps stored and compared in UTC to avoid drift across care team shifts and time zones.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UI must remain usable on a bedside tablet / mobile viewport (single-column responsive layout).</w:t>
      </w:r>
    </w:p>
    <w:p>
      <w:pPr>
        <w:pStyle w:val="Heading1"/>
        <w:spacing w:after="160" w:before="320"/>
      </w:pPr>
      <w:r>
        <w:t xml:space="preserve">8. KPIs</w:t>
      </w:r>
    </w:p>
    <w:p>
      <w:pPr>
        <w:spacing w:after="140"/>
      </w:pPr>
      <w:r>
        <w:rPr>
          <w:i/>
          <w:iCs/>
        </w:rPr>
        <w:t xml:space="preserve">Tracked using a balanced-scorecard structure, consistent with the broader Shura program evaluation approach: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1F2A4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400"/>
            <w:shd w:fill="1F2A4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KPIs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Financial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Cost per patient encounter (LLM API usage); ICU length-of-stay change; cost avoided via reduced complications.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(physician/patient)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Physician override rate; physician trust/satisfaction; safety incidents linked to delayed recognition.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Internal Process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% Hour-1 Bundle completed on time; time-to-antibiotics; SOFA data completeness rate; triage sensitivity/specificity.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Learning &amp; Sustainability</w:t>
            </w:r>
          </w:p>
        </w:tc>
        <w:tc>
          <w:tcPr>
            <w:tcW w:type="dxa" w:w="64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Knowledge base update cadence; model drift monitoring; audit attribution completeness; architectural reuse across new specialties.</w:t>
            </w:r>
          </w:p>
        </w:tc>
      </w:tr>
    </w:tbl>
    <w:p>
      <w:pPr>
        <w:pStyle w:val="Heading1"/>
        <w:spacing w:after="160" w:before="320"/>
      </w:pPr>
      <w:r>
        <w:t xml:space="preserve">9. Risks</w:t>
      </w:r>
    </w:p>
    <w:p>
      <w:pPr>
        <w:spacing w:after="140"/>
      </w:pPr>
      <w:r>
        <w:t xml:space="preserve">A full FMEA (Failure Mode and Effects Analysis) was conducted covering sample contamination/mix-up, manual data entry error, data transfer error, unauthorized access, and insufficient double-checking before high-risk actions. See the accompanying ICU_Agent_FMEA.xlsx and TDD § 6 for the mapping of each failure mode to a specific design mitigation.</w:t>
      </w:r>
    </w:p>
    <w:p>
      <w:pPr>
        <w:pStyle w:val="Heading1"/>
        <w:spacing w:after="160" w:before="320"/>
      </w:pPr>
      <w:r>
        <w:t xml:space="preserve">10. Success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100% of SOFA calculations trace to deterministic, unit-tested logic with zero LLM involvement in the score itself.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high-risk bundle actions carry dual-clinician attribution in the audit log.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Bundle overdue detection fires automatically with no manual polling required by clinical staff.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Prototype validated against the 5 FMEA failure modes with a documented mitigation for each in-scope mode.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2026-08-11T21:05:49.151Z</dcterms:created>
  <dcterms:modified xsi:type="dcterms:W3CDTF">2026-08-11T21:05:49.169Z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