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A44"/>
          <w:sz w:val="48"/>
          <w:szCs w:val="48"/>
        </w:rPr>
        <w:t xml:space="preserve">Sepsis Bundle Agent</w:t>
      </w:r>
    </w:p>
    <w:p>
      <w:pPr>
        <w:spacing w:after="40"/>
      </w:pPr>
      <w:r>
        <w:rPr>
          <w:i/>
          <w:iCs/>
          <w:color w:val="B8860B"/>
          <w:sz w:val="28"/>
          <w:szCs w:val="28"/>
        </w:rPr>
        <w:t xml:space="preserve">Shadow-Mode Validation Plan</w:t>
      </w:r>
    </w:p>
    <w:p>
      <w:pPr>
        <w:spacing w:after="400"/>
      </w:pPr>
      <w:r>
        <w:rPr>
          <w:color w:val="555555"/>
          <w:sz w:val="20"/>
          <w:szCs w:val="20"/>
        </w:rPr>
        <w:t xml:space="preserve">Pre-deployment safety validation pathway — no real-time clinical use until Phase 3 sign-off</w:t>
      </w:r>
    </w:p>
    <w:p>
      <w:pPr>
        <w:pStyle w:val="Heading1"/>
        <w:spacing w:after="160" w:before="320"/>
      </w:pPr>
      <w:r>
        <w:t xml:space="preserve">1. Purpose</w:t>
      </w:r>
    </w:p>
    <w:p>
      <w:pPr>
        <w:spacing w:after="140"/>
      </w:pPr>
      <w:r>
        <w:t xml:space="preserve">This document defines how the Sepsis Bundle Agent must be validated before it is used to influence care for any real patient. It is not a claim that the system is ready for clinical use — it is the plan for finding out whether, and under what conditions, it could become ready.</w:t>
      </w:r>
    </w:p>
    <w:p>
      <w:pPr>
        <w:pStyle w:val="Heading1"/>
        <w:spacing w:after="160" w:before="320"/>
      </w:pPr>
      <w:r>
        <w:t xml:space="preserve">2. What “Shadow Mode” Means Here</w:t>
      </w:r>
    </w:p>
    <w:p>
      <w:pPr>
        <w:spacing w:after="140"/>
      </w:pPr>
      <w:r>
        <w:t xml:space="preserve">Shadow mode means the system runs alongside real clinical care without being visible to, or influencing, the clinicians providing that care. Its outputs are logged and compared retrospectively against what clinicians actually did, with no feedback loop back into practice until a phase explicitly permits it.</w:t>
      </w:r>
    </w:p>
    <w:p>
      <w:pPr>
        <w:pStyle w:val="Heading1"/>
        <w:spacing w:after="160" w:before="320"/>
      </w:pPr>
      <w:r>
        <w:t xml:space="preserve">3. Validation Phases</w:t>
      </w:r>
    </w:p>
    <w:p>
      <w:pPr>
        <w:pStyle w:val="Heading2"/>
        <w:spacing w:after="100" w:before="220"/>
      </w:pPr>
      <w:r>
        <w:t xml:space="preserve">Phase 0 — Retrospective / Offline Testing</w:t>
      </w:r>
    </w:p>
    <w:p>
      <w:pPr>
        <w:spacing w:after="140"/>
      </w:pPr>
      <w:r>
        <w:t xml:space="preserve">Run the deterministic SOFA calculator and bundle-relevance logic against de-identified historical ICU cases (chart review data, not live systems). No live patient data, no clinicians involved as subjects.</w:t>
      </w:r>
    </w:p>
    <w:p>
      <w:pPr>
        <w:pStyle w:val="ListParagraph"/>
        <w:numPr>
          <w:ilvl w:val="0"/>
          <w:numId w:val="1"/>
        </w:numPr>
        <w:spacing w:after="80"/>
      </w:pPr>
      <w:r>
        <w:t xml:space="preserve">Compare calculated SOFA scores against scores documented in the historical record by treating clinicians.</w:t>
      </w:r>
    </w:p>
    <w:p>
      <w:pPr>
        <w:pStyle w:val="ListParagraph"/>
        <w:numPr>
          <w:ilvl w:val="0"/>
          <w:numId w:val="1"/>
        </w:numPr>
        <w:spacing w:after="80"/>
      </w:pPr>
      <w:r>
        <w:t xml:space="preserve">Compare bundle-item relevance flags (fluids/pressors/repeat lactate) against what was clinically indicated in retrospect.</w:t>
      </w:r>
    </w:p>
    <w:p>
      <w:pPr>
        <w:pStyle w:val="ListParagraph"/>
        <w:numPr>
          <w:ilvl w:val="0"/>
          <w:numId w:val="1"/>
        </w:numPr>
        <w:spacing w:after="80"/>
      </w:pPr>
      <w:r>
        <w:t xml:space="preserve">Exit criterion: scoring logic matches retrospective physician-documented SOFA in ≥ 95% of cases; all discrepancies reviewed and explained (data entry vs. genuine logic gap) before proceeding.</w:t>
      </w:r>
    </w:p>
    <w:p>
      <w:pPr>
        <w:pStyle w:val="Heading2"/>
        <w:spacing w:after="100" w:before="220"/>
      </w:pPr>
      <w:r>
        <w:t xml:space="preserve">Phase 1 — Silent Shadow (Live, Not Visible)</w:t>
      </w:r>
    </w:p>
    <w:p>
      <w:pPr>
        <w:spacing w:after="140"/>
      </w:pPr>
      <w:r>
        <w:t xml:space="preserve">The system runs in parallel with real, ongoing ICU care using live (but access-controlled) data. Outputs are logged but never shown to the treating team. Care proceeds exactly as it would without the system.</w:t>
      </w:r>
    </w:p>
    <w:p>
      <w:pPr>
        <w:pStyle w:val="ListParagraph"/>
        <w:numPr>
          <w:ilvl w:val="0"/>
          <w:numId w:val="1"/>
        </w:numPr>
        <w:spacing w:after="80"/>
      </w:pPr>
      <w:r>
        <w:t xml:space="preserve">Track: sensitivity/specificity of sepsis flagging vs. actual clinical diagnosis; ΔSOFA concordance; false positive/negative rate.</w:t>
      </w:r>
    </w:p>
    <w:p>
      <w:pPr>
        <w:pStyle w:val="ListParagraph"/>
        <w:numPr>
          <w:ilvl w:val="0"/>
          <w:numId w:val="1"/>
        </w:numPr>
        <w:spacing w:after="80"/>
      </w:pPr>
      <w:r>
        <w:t xml:space="preserve">No patient safety risk is possible in this phase because nothing reaches a clinician — this is the phase to run the longest if timeline allows.</w:t>
      </w:r>
    </w:p>
    <w:p>
      <w:pPr>
        <w:pStyle w:val="ListParagraph"/>
        <w:numPr>
          <w:ilvl w:val="0"/>
          <w:numId w:val="1"/>
        </w:numPr>
        <w:spacing w:after="80"/>
      </w:pPr>
      <w:r>
        <w:t xml:space="preserve">Exit criterion: performance stable across ≥ 100 consecutive cases (or a locally agreed minimum) with no systematic bias by patient subgroup (age, admission diagnosis, unit).</w:t>
      </w:r>
    </w:p>
    <w:p>
      <w:pPr>
        <w:pStyle w:val="Heading2"/>
        <w:spacing w:after="100" w:before="220"/>
      </w:pPr>
      <w:r>
        <w:t xml:space="preserve">Phase 2 — Visible, Advisory Only</w:t>
      </w:r>
    </w:p>
    <w:p>
      <w:pPr>
        <w:spacing w:after="140"/>
      </w:pPr>
      <w:r>
        <w:t xml:space="preserve">Clinicians can see the system's output (SOFA readout, bundle timer, interpretation) but it carries no authority — explicitly labeled as advisory, and clinical decisions are documented independently of it.</w:t>
      </w:r>
    </w:p>
    <w:p>
      <w:pPr>
        <w:pStyle w:val="ListParagraph"/>
        <w:numPr>
          <w:ilvl w:val="0"/>
          <w:numId w:val="1"/>
        </w:numPr>
        <w:spacing w:after="80"/>
      </w:pPr>
      <w:r>
        <w:t xml:space="preserve">Track: physician override rate and the reasons given for overrides (this is a feature, not a failure — it calibrates trust).</w:t>
      </w:r>
    </w:p>
    <w:p>
      <w:pPr>
        <w:pStyle w:val="ListParagraph"/>
        <w:numPr>
          <w:ilvl w:val="0"/>
          <w:numId w:val="1"/>
        </w:numPr>
        <w:spacing w:after="80"/>
      </w:pPr>
      <w:r>
        <w:t xml:space="preserve">Track: any instance where the tool's output could plausibly have influenced a decision, even though it was labeled advisory — review for automation bias.</w:t>
      </w:r>
    </w:p>
    <w:p>
      <w:pPr>
        <w:pStyle w:val="ListParagraph"/>
        <w:numPr>
          <w:ilvl w:val="0"/>
          <w:numId w:val="1"/>
        </w:numPr>
        <w:spacing w:after="80"/>
      </w:pPr>
      <w:r>
        <w:t xml:space="preserve">Exit criterion: governance committee reviews override patterns and confirms no safety signal; clinician feedback collected structurally (not just informally).</w:t>
      </w:r>
    </w:p>
    <w:p>
      <w:pPr>
        <w:pStyle w:val="Heading2"/>
        <w:spacing w:after="100" w:before="220"/>
      </w:pPr>
      <w:r>
        <w:t xml:space="preserve">Phase 3 — Limited Pilot</w:t>
      </w:r>
    </w:p>
    <w:p>
      <w:pPr>
        <w:spacing w:after="140"/>
      </w:pPr>
      <w:r>
        <w:t xml:space="preserve">Only after Phases 0–2 are complete and reviewed: a limited, time-boxed pilot in a single unit with explicit institutional governance sign-off, informed consent processes as required by the hospital's ethics committee, and a predefined rollback plan.</w:t>
      </w:r>
    </w:p>
    <w:p>
      <w:pPr>
        <w:pStyle w:val="ListParagraph"/>
        <w:numPr>
          <w:ilvl w:val="0"/>
          <w:numId w:val="1"/>
        </w:numPr>
        <w:spacing w:after="80"/>
      </w:pPr>
      <w:r>
        <w:t xml:space="preserve">Requires: IRB/ethics committee approval, hospital IT security sign-off, clinical department head sign-off.</w:t>
      </w:r>
    </w:p>
    <w:p>
      <w:pPr>
        <w:pStyle w:val="ListParagraph"/>
        <w:numPr>
          <w:ilvl w:val="0"/>
          <w:numId w:val="1"/>
        </w:numPr>
        <w:spacing w:after="80"/>
      </w:pPr>
      <w:r>
        <w:t xml:space="preserve">Requires: the security gaps identified in the project FMEA (FM-04) fully closed — authentication, encryption, and audit trail hardened beyond the current prototype baseline.</w:t>
      </w:r>
    </w:p>
    <w:p>
      <w:pPr>
        <w:pStyle w:val="Heading1"/>
        <w:spacing w:after="160" w:before="320"/>
      </w:pPr>
      <w:r>
        <w:t xml:space="preserve">4. Metrics Tracked Across All Phases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c>
          <w:tcPr>
            <w:tcW w:type="dxa" w:w="4600"/>
            <w:shd w:fill="1F2A44" w:val="clear"/>
          </w:tcPr>
          <w:p>
            <w:r>
              <w:rPr>
                <w:b/>
                <w:bCs/>
                <w:color w:val="FFFFFF"/>
                <w:sz w:val="19"/>
                <w:szCs w:val="19"/>
              </w:rPr>
              <w:t xml:space="preserve">Metric</w:t>
            </w:r>
          </w:p>
        </w:tc>
        <w:tc>
          <w:tcPr>
            <w:tcW w:type="dxa" w:w="4400"/>
            <w:shd w:fill="1F2A44" w:val="clear"/>
          </w:tcPr>
          <w:p>
            <w:r>
              <w:rPr>
                <w:b/>
                <w:bCs/>
                <w:color w:val="FFFFFF"/>
                <w:sz w:val="19"/>
                <w:szCs w:val="19"/>
              </w:rPr>
              <w:t xml:space="preserve">Target / Threshold</w:t>
            </w:r>
          </w:p>
        </w:tc>
      </w:tr>
      <w:tr>
        <w:tc>
          <w:tcPr>
            <w:tcW w:type="dxa" w:w="4600"/>
          </w:tcPr>
          <w:p>
            <w:r>
              <w:rPr>
                <w:b w:val="false"/>
                <w:bCs w:val="false"/>
                <w:color w:val="000000"/>
                <w:sz w:val="19"/>
                <w:szCs w:val="19"/>
              </w:rPr>
              <w:t xml:space="preserve">SOFA calculation agreement with physician-documented score</w:t>
            </w:r>
          </w:p>
        </w:tc>
        <w:tc>
          <w:tcPr>
            <w:tcW w:type="dxa" w:w="4400"/>
          </w:tcPr>
          <w:p>
            <w:r>
              <w:rPr>
                <w:b w:val="false"/>
                <w:bCs w:val="false"/>
                <w:color w:val="000000"/>
                <w:sz w:val="19"/>
                <w:szCs w:val="19"/>
              </w:rPr>
              <w:t xml:space="preserve">≥ 95% concordance</w:t>
            </w:r>
          </w:p>
        </w:tc>
      </w:tr>
      <w:tr>
        <w:tc>
          <w:tcPr>
            <w:tcW w:type="dxa" w:w="4600"/>
          </w:tcPr>
          <w:p>
            <w:r>
              <w:rPr>
                <w:b w:val="false"/>
                <w:bCs w:val="false"/>
                <w:color w:val="000000"/>
                <w:sz w:val="19"/>
                <w:szCs w:val="19"/>
              </w:rPr>
              <w:t xml:space="preserve">Sepsis-3 flagging sensitivity / specificity</w:t>
            </w:r>
          </w:p>
        </w:tc>
        <w:tc>
          <w:tcPr>
            <w:tcW w:type="dxa" w:w="4400"/>
          </w:tcPr>
          <w:p>
            <w:r>
              <w:rPr>
                <w:b w:val="false"/>
                <w:bCs w:val="false"/>
                <w:color w:val="000000"/>
                <w:sz w:val="19"/>
                <w:szCs w:val="19"/>
              </w:rPr>
              <w:t xml:space="preserve">Locally validated against gold-standard physician diagnosis before any phase advances</w:t>
            </w:r>
          </w:p>
        </w:tc>
      </w:tr>
      <w:tr>
        <w:tc>
          <w:tcPr>
            <w:tcW w:type="dxa" w:w="4600"/>
          </w:tcPr>
          <w:p>
            <w:r>
              <w:rPr>
                <w:b w:val="false"/>
                <w:bCs w:val="false"/>
                <w:color w:val="000000"/>
                <w:sz w:val="19"/>
                <w:szCs w:val="19"/>
              </w:rPr>
              <w:t xml:space="preserve">Data completeness rate (all 6 SOFA domains present)</w:t>
            </w:r>
          </w:p>
        </w:tc>
        <w:tc>
          <w:tcPr>
            <w:tcW w:type="dxa" w:w="4400"/>
          </w:tcPr>
          <w:p>
            <w:r>
              <w:rPr>
                <w:b w:val="false"/>
                <w:bCs w:val="false"/>
                <w:color w:val="000000"/>
                <w:sz w:val="19"/>
                <w:szCs w:val="19"/>
              </w:rPr>
              <w:t xml:space="preserve">Tracked and reported; incomplete data must never silently default to a false-normal score</w:t>
            </w:r>
          </w:p>
        </w:tc>
      </w:tr>
      <w:tr>
        <w:tc>
          <w:tcPr>
            <w:tcW w:type="dxa" w:w="4600"/>
          </w:tcPr>
          <w:p>
            <w:r>
              <w:rPr>
                <w:b w:val="false"/>
                <w:bCs w:val="false"/>
                <w:color w:val="000000"/>
                <w:sz w:val="19"/>
                <w:szCs w:val="19"/>
              </w:rPr>
              <w:t xml:space="preserve">Physician override rate (Phase 2+)</w:t>
            </w:r>
          </w:p>
        </w:tc>
        <w:tc>
          <w:tcPr>
            <w:tcW w:type="dxa" w:w="4400"/>
          </w:tcPr>
          <w:p>
            <w:r>
              <w:rPr>
                <w:b w:val="false"/>
                <w:bCs w:val="false"/>
                <w:color w:val="000000"/>
                <w:sz w:val="19"/>
                <w:szCs w:val="19"/>
              </w:rPr>
              <w:t xml:space="preserve">Reviewed, not minimized — a stable non-zero rate indicates healthy calibration, not failure</w:t>
            </w:r>
          </w:p>
        </w:tc>
      </w:tr>
      <w:tr>
        <w:tc>
          <w:tcPr>
            <w:tcW w:type="dxa" w:w="4600"/>
          </w:tcPr>
          <w:p>
            <w:r>
              <w:rPr>
                <w:b w:val="false"/>
                <w:bCs w:val="false"/>
                <w:color w:val="000000"/>
                <w:sz w:val="19"/>
                <w:szCs w:val="19"/>
              </w:rPr>
              <w:t xml:space="preserve">High-risk action dual-confirmation completeness</w:t>
            </w:r>
          </w:p>
        </w:tc>
        <w:tc>
          <w:tcPr>
            <w:tcW w:type="dxa" w:w="4400"/>
          </w:tcPr>
          <w:p>
            <w:r>
              <w:rPr>
                <w:b w:val="false"/>
                <w:bCs w:val="false"/>
                <w:color w:val="000000"/>
                <w:sz w:val="19"/>
                <w:szCs w:val="19"/>
              </w:rPr>
              <w:t xml:space="preserve">100% for pressors, fluids, antibiotics</w:t>
            </w:r>
          </w:p>
        </w:tc>
      </w:tr>
      <w:tr>
        <w:tc>
          <w:tcPr>
            <w:tcW w:type="dxa" w:w="4600"/>
          </w:tcPr>
          <w:p>
            <w:r>
              <w:rPr>
                <w:b w:val="false"/>
                <w:bCs w:val="false"/>
                <w:color w:val="000000"/>
                <w:sz w:val="19"/>
                <w:szCs w:val="19"/>
              </w:rPr>
              <w:t xml:space="preserve">Patient safety incidents attributable to the tool</w:t>
            </w:r>
          </w:p>
        </w:tc>
        <w:tc>
          <w:tcPr>
            <w:tcW w:type="dxa" w:w="4400"/>
          </w:tcPr>
          <w:p>
            <w:r>
              <w:rPr>
                <w:b w:val="false"/>
                <w:bCs w:val="false"/>
                <w:color w:val="000000"/>
                <w:sz w:val="19"/>
                <w:szCs w:val="19"/>
              </w:rPr>
              <w:t xml:space="preserve">Zero tolerance — any credible signal halts advancement to the next phase</w:t>
            </w:r>
          </w:p>
        </w:tc>
      </w:tr>
    </w:tbl>
    <w:p>
      <w:pPr>
        <w:pStyle w:val="Heading1"/>
        <w:spacing w:after="160" w:before="320"/>
      </w:pPr>
      <w:r>
        <w:t xml:space="preserve">5. Governance &amp; Oversight</w:t>
      </w:r>
    </w:p>
    <w:p>
      <w:pPr>
        <w:pStyle w:val="ListParagraph"/>
        <w:numPr>
          <w:ilvl w:val="0"/>
          <w:numId w:val="1"/>
        </w:numPr>
        <w:spacing w:after="80"/>
      </w:pPr>
      <w:r>
        <w:t xml:space="preserve">A named clinical owner (distinct from the development team) responsible for reviewing validation data at each phase gate.</w:t>
      </w:r>
    </w:p>
    <w:p>
      <w:pPr>
        <w:pStyle w:val="ListParagraph"/>
        <w:numPr>
          <w:ilvl w:val="0"/>
          <w:numId w:val="1"/>
        </w:numPr>
        <w:spacing w:after="80"/>
      </w:pPr>
      <w:r>
        <w:t xml:space="preserve">A named technical owner responsible for system behavior, logging integrity, and incident response.</w:t>
      </w:r>
    </w:p>
    <w:p>
      <w:pPr>
        <w:pStyle w:val="ListParagraph"/>
        <w:numPr>
          <w:ilvl w:val="0"/>
          <w:numId w:val="1"/>
        </w:numPr>
        <w:spacing w:after="80"/>
      </w:pPr>
      <w:r>
        <w:t xml:space="preserve">Institutional ethics/IRB approval before Phase 3, at minimum — earlier phases may still require notification depending on local hospital policy, since even de-identified data use and shadow logging against live systems often falls under research governance.</w:t>
      </w:r>
    </w:p>
    <w:p>
      <w:pPr>
        <w:pStyle w:val="Heading1"/>
        <w:spacing w:after="160" w:before="320"/>
      </w:pPr>
      <w:r>
        <w:t xml:space="preserve">6. Stop / Rollback Conditions</w:t>
      </w:r>
    </w:p>
    <w:p>
      <w:pPr>
        <w:pStyle w:val="ListParagraph"/>
        <w:numPr>
          <w:ilvl w:val="0"/>
          <w:numId w:val="1"/>
        </w:numPr>
        <w:spacing w:after="80"/>
      </w:pPr>
      <w:r>
        <w:t xml:space="preserve">Any patient safety incident plausibly linked to the tool — immediate halt, root-cause review before any resumption.</w:t>
      </w:r>
    </w:p>
    <w:p>
      <w:pPr>
        <w:pStyle w:val="ListParagraph"/>
        <w:numPr>
          <w:ilvl w:val="0"/>
          <w:numId w:val="1"/>
        </w:numPr>
        <w:spacing w:after="80"/>
      </w:pPr>
      <w:r>
        <w:t xml:space="preserve">Sustained performance degradation (drift) against the metrics in § 4.</w:t>
      </w:r>
    </w:p>
    <w:p>
      <w:pPr>
        <w:pStyle w:val="ListParagraph"/>
        <w:numPr>
          <w:ilvl w:val="0"/>
          <w:numId w:val="1"/>
        </w:numPr>
        <w:spacing w:after="80"/>
      </w:pPr>
      <w:r>
        <w:t xml:space="preserve">Security incident of any kind, including near-misses (e.g., failed unauthorized access attempts) — triggers a security review before the next phase, not just a log entry.</w:t>
      </w:r>
    </w:p>
    <w:p>
      <w:pPr>
        <w:pStyle w:val="ListParagraph"/>
        <w:numPr>
          <w:ilvl w:val="0"/>
          <w:numId w:val="1"/>
        </w:numPr>
        <w:spacing w:after="80"/>
      </w:pPr>
      <w:r>
        <w:t xml:space="preserve">Clinician-reported loss of trust or workflow disruption significant enough to affect care quality independent of the tool's technical accuracy.</w:t>
      </w:r>
    </w:p>
    <w:p>
      <w:pPr>
        <w:pStyle w:val="Heading1"/>
        <w:spacing w:after="160" w:before="320"/>
      </w:pPr>
      <w:r>
        <w:t xml:space="preserve">7. Data Handling During Validation</w:t>
      </w:r>
    </w:p>
    <w:p>
      <w:pPr>
        <w:spacing w:after="140"/>
      </w:pPr>
      <w:r>
        <w:t xml:space="preserve">Phase 0 must use de-identified data only. Phases 1–2 involve live patient data and therefore require the same data protection standard as any other clinical system handling identifiable health information, consistent with Egypt's Personal Data Protection Law (Law No. 151 of 2020) — see the companion Egypt_Regulatory_Pathway_Overview.docx for the broader regulatory context.</w:t>
      </w:r>
    </w:p>
    <w:p>
      <w:pPr>
        <w:pStyle w:val="Heading1"/>
        <w:spacing w:after="160" w:before="320"/>
      </w:pPr>
      <w:r>
        <w:t xml:space="preserve">8. Illustrative Timeline</w:t>
      </w:r>
    </w:p>
    <w:p>
      <w:pPr>
        <w:spacing w:after="140"/>
      </w:pPr>
      <w:r>
        <w:rPr>
          <w:i/>
          <w:iCs/>
        </w:rPr>
        <w:t xml:space="preserve">Timelines depend entirely on case volume and institutional review cycles; the sequence below is illustrative, not a commitment.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1F2A44" w:val="clear"/>
          </w:tcPr>
          <w:p>
            <w:r>
              <w:rPr>
                <w:b/>
                <w:bCs/>
                <w:color w:val="FFFFFF"/>
                <w:sz w:val="19"/>
                <w:szCs w:val="19"/>
              </w:rPr>
              <w:t xml:space="preserve">Phase</w:t>
            </w:r>
          </w:p>
        </w:tc>
        <w:tc>
          <w:tcPr>
            <w:tcW w:type="dxa" w:w="5600"/>
            <w:shd w:fill="1F2A44" w:val="clear"/>
          </w:tcPr>
          <w:p>
            <w:r>
              <w:rPr>
                <w:b/>
                <w:bCs/>
                <w:color w:val="FFFFFF"/>
                <w:sz w:val="19"/>
                <w:szCs w:val="19"/>
              </w:rPr>
              <w:t xml:space="preserve">Illustrative Duration</w:t>
            </w:r>
          </w:p>
        </w:tc>
      </w:tr>
      <w:tr>
        <w:tc>
          <w:tcPr>
            <w:tcW w:type="dxa" w:w="3400"/>
          </w:tcPr>
          <w:p>
            <w:r>
              <w:rPr>
                <w:b w:val="false"/>
                <w:bCs w:val="false"/>
                <w:color w:val="000000"/>
                <w:sz w:val="19"/>
                <w:szCs w:val="19"/>
              </w:rPr>
              <w:t xml:space="preserve">Phase 0 — Retrospective</w:t>
            </w:r>
          </w:p>
        </w:tc>
        <w:tc>
          <w:tcPr>
            <w:tcW w:type="dxa" w:w="5600"/>
          </w:tcPr>
          <w:p>
            <w:r>
              <w:rPr>
                <w:b w:val="false"/>
                <w:bCs w:val="false"/>
                <w:color w:val="000000"/>
                <w:sz w:val="19"/>
                <w:szCs w:val="19"/>
              </w:rPr>
              <w:t xml:space="preserve">4–6 weeks (dependent on chart access)</w:t>
            </w:r>
          </w:p>
        </w:tc>
      </w:tr>
      <w:tr>
        <w:tc>
          <w:tcPr>
            <w:tcW w:type="dxa" w:w="3400"/>
          </w:tcPr>
          <w:p>
            <w:r>
              <w:rPr>
                <w:b w:val="false"/>
                <w:bCs w:val="false"/>
                <w:color w:val="000000"/>
                <w:sz w:val="19"/>
                <w:szCs w:val="19"/>
              </w:rPr>
              <w:t xml:space="preserve">Phase 1 — Silent shadow</w:t>
            </w:r>
          </w:p>
        </w:tc>
        <w:tc>
          <w:tcPr>
            <w:tcW w:type="dxa" w:w="5600"/>
          </w:tcPr>
          <w:p>
            <w:r>
              <w:rPr>
                <w:b w:val="false"/>
                <w:bCs w:val="false"/>
                <w:color w:val="000000"/>
                <w:sz w:val="19"/>
                <w:szCs w:val="19"/>
              </w:rPr>
              <w:t xml:space="preserve">8–12 weeks minimum, or until the case-count threshold is met</w:t>
            </w:r>
          </w:p>
        </w:tc>
      </w:tr>
      <w:tr>
        <w:tc>
          <w:tcPr>
            <w:tcW w:type="dxa" w:w="3400"/>
          </w:tcPr>
          <w:p>
            <w:r>
              <w:rPr>
                <w:b w:val="false"/>
                <w:bCs w:val="false"/>
                <w:color w:val="000000"/>
                <w:sz w:val="19"/>
                <w:szCs w:val="19"/>
              </w:rPr>
              <w:t xml:space="preserve">Phase 2 — Visible advisory</w:t>
            </w:r>
          </w:p>
        </w:tc>
        <w:tc>
          <w:tcPr>
            <w:tcW w:type="dxa" w:w="5600"/>
          </w:tcPr>
          <w:p>
            <w:r>
              <w:rPr>
                <w:b w:val="false"/>
                <w:bCs w:val="false"/>
                <w:color w:val="000000"/>
                <w:sz w:val="19"/>
                <w:szCs w:val="19"/>
              </w:rPr>
              <w:t xml:space="preserve">8–12 weeks, with a mid-point governance review</w:t>
            </w:r>
          </w:p>
        </w:tc>
      </w:tr>
      <w:tr>
        <w:tc>
          <w:tcPr>
            <w:tcW w:type="dxa" w:w="3400"/>
          </w:tcPr>
          <w:p>
            <w:r>
              <w:rPr>
                <w:b w:val="false"/>
                <w:bCs w:val="false"/>
                <w:color w:val="000000"/>
                <w:sz w:val="19"/>
                <w:szCs w:val="19"/>
              </w:rPr>
              <w:t xml:space="preserve">Phase 3 — Limited pilot</w:t>
            </w:r>
          </w:p>
        </w:tc>
        <w:tc>
          <w:tcPr>
            <w:tcW w:type="dxa" w:w="5600"/>
          </w:tcPr>
          <w:p>
            <w:r>
              <w:rPr>
                <w:b w:val="false"/>
                <w:bCs w:val="false"/>
                <w:color w:val="000000"/>
                <w:sz w:val="19"/>
                <w:szCs w:val="19"/>
              </w:rPr>
              <w:t xml:space="preserve">Not scheduled until Phases 0–2 pass their exit criteria and full institutional sign-off is obtained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2026-08-12T10:49:15.765Z</dcterms:created>
  <dcterms:modified xsi:type="dcterms:W3CDTF">2026-08-12T10:49:15.765Z</dcterms:modified>
</cp:coreProperties>
</file>

<file path=docProps/custom.xml><?xml version="1.0" encoding="utf-8"?>
<Properties xmlns="http://schemas.openxmlformats.org/officeDocument/2006/custom-properties" xmlns:vt="http://schemas.openxmlformats.org/officeDocument/2006/docPropsVTypes"/>
</file>