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A44"/>
          <w:sz w:val="48"/>
          <w:szCs w:val="48"/>
        </w:rPr>
        <w:t xml:space="preserve">Sepsis Bundle Agent</w:t>
      </w:r>
    </w:p>
    <w:p>
      <w:pPr>
        <w:spacing w:after="40"/>
      </w:pPr>
      <w:r>
        <w:rPr>
          <w:i/>
          <w:iCs/>
          <w:color w:val="B8860B"/>
          <w:sz w:val="28"/>
          <w:szCs w:val="28"/>
        </w:rPr>
        <w:t xml:space="preserve">Technical Design Document</w:t>
      </w:r>
    </w:p>
    <w:p>
      <w:pPr>
        <w:spacing w:after="400"/>
      </w:pPr>
      <w:r>
        <w:rPr>
          <w:color w:val="555555"/>
          <w:sz w:val="22"/>
          <w:szCs w:val="22"/>
        </w:rPr>
        <w:t xml:space="preserve">A component of the Shura ICU Clinical Decision Support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2A44" w:val="clear"/>
          </w:tcPr>
          <w:p>
            <w:r>
              <w:rPr>
                <w:b/>
                <w:bCs/>
                <w:color w:val="FFFFFF"/>
                <w:sz w:val="19"/>
                <w:szCs w:val="19"/>
              </w:rPr>
              <w:t xml:space="preserve">Field</w:t>
            </w:r>
          </w:p>
        </w:tc>
        <w:tc>
          <w:tcPr>
            <w:tcW w:type="dxa" w:w="6000"/>
            <w:shd w:fill="1F2A44" w:val="clear"/>
          </w:tcPr>
          <w:p>
            <w:r>
              <w:rPr>
                <w:b/>
                <w:bCs/>
                <w:color w:val="FFFFFF"/>
                <w:sz w:val="19"/>
                <w:szCs w:val="19"/>
              </w:rPr>
              <w:t xml:space="preserve">Value</w:t>
            </w:r>
          </w:p>
        </w:tc>
      </w:tr>
      <w:tr>
        <w:tc>
          <w:tcPr>
            <w:tcW w:type="dxa" w:w="3000"/>
          </w:tcPr>
          <w:p>
            <w:r>
              <w:rPr>
                <w:b w:val="false"/>
                <w:bCs w:val="false"/>
                <w:color w:val="000000"/>
                <w:sz w:val="19"/>
                <w:szCs w:val="19"/>
              </w:rPr>
              <w:t xml:space="preserve">Document Status</w:t>
            </w:r>
          </w:p>
        </w:tc>
        <w:tc>
          <w:tcPr>
            <w:tcW w:type="dxa" w:w="6000"/>
          </w:tcPr>
          <w:p>
            <w:r>
              <w:rPr>
                <w:b w:val="false"/>
                <w:bCs w:val="false"/>
                <w:color w:val="000000"/>
                <w:sz w:val="19"/>
                <w:szCs w:val="19"/>
              </w:rPr>
              <w:t xml:space="preserve">Draft</w:t>
            </w:r>
          </w:p>
        </w:tc>
      </w:tr>
      <w:tr>
        <w:tc>
          <w:tcPr>
            <w:tcW w:type="dxa" w:w="3000"/>
          </w:tcPr>
          <w:p>
            <w:r>
              <w:rPr>
                <w:b w:val="false"/>
                <w:bCs w:val="false"/>
                <w:color w:val="000000"/>
                <w:sz w:val="19"/>
                <w:szCs w:val="19"/>
              </w:rPr>
              <w:t xml:space="preserve">Version</w:t>
            </w:r>
          </w:p>
        </w:tc>
        <w:tc>
          <w:tcPr>
            <w:tcW w:type="dxa" w:w="6000"/>
          </w:tcPr>
          <w:p>
            <w:r>
              <w:rPr>
                <w:b w:val="false"/>
                <w:bCs w:val="false"/>
                <w:color w:val="000000"/>
                <w:sz w:val="19"/>
                <w:szCs w:val="19"/>
              </w:rPr>
              <w:t xml:space="preserve">1.0</w:t>
            </w:r>
          </w:p>
        </w:tc>
      </w:tr>
      <w:tr>
        <w:tc>
          <w:tcPr>
            <w:tcW w:type="dxa" w:w="3000"/>
          </w:tcPr>
          <w:p>
            <w:r>
              <w:rPr>
                <w:b w:val="false"/>
                <w:bCs w:val="false"/>
                <w:color w:val="000000"/>
                <w:sz w:val="19"/>
                <w:szCs w:val="19"/>
              </w:rPr>
              <w:t xml:space="preserve">Companion Document</w:t>
            </w:r>
          </w:p>
        </w:tc>
        <w:tc>
          <w:tcPr>
            <w:tcW w:type="dxa" w:w="6000"/>
          </w:tcPr>
          <w:p>
            <w:r>
              <w:rPr>
                <w:b w:val="false"/>
                <w:bCs w:val="false"/>
                <w:color w:val="000000"/>
                <w:sz w:val="19"/>
                <w:szCs w:val="19"/>
              </w:rPr>
              <w:t xml:space="preserve">PRD_Sepsis_Bundle_Agent.docx</w:t>
            </w:r>
          </w:p>
        </w:tc>
      </w:tr>
      <w:tr>
        <w:tc>
          <w:tcPr>
            <w:tcW w:type="dxa" w:w="3000"/>
          </w:tcPr>
          <w:p>
            <w:r>
              <w:rPr>
                <w:b w:val="false"/>
                <w:bCs w:val="false"/>
                <w:color w:val="000000"/>
                <w:sz w:val="19"/>
                <w:szCs w:val="19"/>
              </w:rPr>
              <w:t xml:space="preserve">Companion Artifact</w:t>
            </w:r>
          </w:p>
        </w:tc>
        <w:tc>
          <w:tcPr>
            <w:tcW w:type="dxa" w:w="6000"/>
          </w:tcPr>
          <w:p>
            <w:r>
              <w:rPr>
                <w:b w:val="false"/>
                <w:bCs w:val="false"/>
                <w:color w:val="000000"/>
                <w:sz w:val="19"/>
                <w:szCs w:val="19"/>
              </w:rPr>
              <w:t xml:space="preserve">ICU_Agent_FMEA.xlsx</w:t>
            </w:r>
          </w:p>
        </w:tc>
      </w:tr>
    </w:tbl>
    <w:p>
      <w:r>
        <w:br w:type="page"/>
      </w:r>
    </w:p>
    <w:p>
      <w:pPr>
        <w:pStyle w:val="Heading1"/>
        <w:spacing w:after="160" w:before="320"/>
      </w:pPr>
      <w:r>
        <w:t xml:space="preserve">1. Architecture Overview</w:t>
      </w:r>
    </w:p>
    <w:p>
      <w:pPr>
        <w:spacing w:after="140"/>
      </w:pPr>
      <w:r>
        <w:t xml:space="preserve">The system follows Shura's separation between deterministic computation and LLM narration. Three layers:</w:t>
      </w:r>
    </w:p>
    <w:p>
      <w:pPr>
        <w:pStyle w:val="ListParagraph"/>
        <w:numPr>
          <w:ilvl w:val="0"/>
          <w:numId w:val="1"/>
        </w:numPr>
        <w:spacing w:after="80"/>
      </w:pPr>
      <w:r>
        <w:t xml:space="preserve">Deterministic core (Python): sofa_calculator.py, bundle_tracker.py, data_validation.py, provenance_log.py. No network calls, no LLM calls, fully unit-testable in isolation.</w:t>
      </w:r>
    </w:p>
    <w:p>
      <w:pPr>
        <w:pStyle w:val="ListParagraph"/>
        <w:numPr>
          <w:ilvl w:val="0"/>
          <w:numId w:val="1"/>
        </w:numPr>
        <w:spacing w:after="80"/>
      </w:pPr>
      <w:r>
        <w:t xml:space="preserve">API layer (FastAPI, api/main.py): orchestrates the deterministic core and is the only place that calls the Claude API, and only for the /interpretation endpoint.</w:t>
      </w:r>
    </w:p>
    <w:p>
      <w:pPr>
        <w:pStyle w:val="ListParagraph"/>
        <w:numPr>
          <w:ilvl w:val="0"/>
          <w:numId w:val="1"/>
        </w:numPr>
        <w:spacing w:after="80"/>
      </w:pPr>
      <w:r>
        <w:t xml:space="preserve">Frontend (React, single-file artifact): patient value entry, live SOFA readout, bundle timer UI, calls the API/Claude directly in the current prototype build.</w:t>
      </w:r>
    </w:p>
    <w:p>
      <w:pPr>
        <w:shd w:fill="F2F4F8" w:val="clear"/>
        <w:spacing w:after="200"/>
      </w:pPr>
      <w:r>
        <w:rPr>
          <w:rFonts w:ascii="Consolas" w:cs="Consolas" w:eastAsia="Consolas" w:hAnsi="Consolas"/>
          <w:sz w:val="18"/>
          <w:szCs w:val="18"/>
        </w:rPr>
        <w:t xml:space="preserve">Clinician input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[data_validation]  --(range / staleness / plausibility gates, FMEA FM-01/02/03)</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[sofa_calculator]  --(deterministic, no LLM)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[bundle_tracker]   --(conditional relevance + timers, deterministic)</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[provenance_log]   --(append-only audit)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/interpretation ---&gt; Claude API (narration ONLY, receives computed values)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Physician confirms action  --(dual sign-off for high-risk items, FM-05)</w:t>
      </w:r>
    </w:p>
    <w:p>
      <w:pPr>
        <w:pStyle w:val="Heading1"/>
        <w:spacing w:after="160" w:before="320"/>
      </w:pPr>
      <w:r>
        <w:t xml:space="preserve">2. Module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2A44" w:val="clear"/>
          </w:tcPr>
          <w:p>
            <w:r>
              <w:rPr>
                <w:b/>
                <w:bCs/>
                <w:color w:val="FFFFFF"/>
                <w:sz w:val="19"/>
                <w:szCs w:val="19"/>
              </w:rPr>
              <w:t xml:space="preserve">Module</w:t>
            </w:r>
          </w:p>
        </w:tc>
        <w:tc>
          <w:tcPr>
            <w:tcW w:type="dxa" w:w="6600"/>
            <w:shd w:fill="1F2A44" w:val="clear"/>
          </w:tcPr>
          <w:p>
            <w:r>
              <w:rPr>
                <w:b/>
                <w:bCs/>
                <w:color w:val="FFFFFF"/>
                <w:sz w:val="19"/>
                <w:szCs w:val="19"/>
              </w:rPr>
              <w:t xml:space="preserve">Responsibility</w:t>
            </w:r>
          </w:p>
        </w:tc>
      </w:tr>
      <w:tr>
        <w:tc>
          <w:tcPr>
            <w:tcW w:type="dxa" w:w="2400"/>
          </w:tcPr>
          <w:p>
            <w:r>
              <w:rPr>
                <w:b w:val="false"/>
                <w:bCs w:val="false"/>
                <w:color w:val="000000"/>
                <w:sz w:val="19"/>
                <w:szCs w:val="19"/>
              </w:rPr>
              <w:t xml:space="preserve">models.py</w:t>
            </w:r>
          </w:p>
        </w:tc>
        <w:tc>
          <w:tcPr>
            <w:tcW w:type="dxa" w:w="6600"/>
          </w:tcPr>
          <w:p>
            <w:r>
              <w:rPr>
                <w:b w:val="false"/>
                <w:bCs w:val="false"/>
                <w:color w:val="000000"/>
                <w:sz w:val="19"/>
                <w:szCs w:val="19"/>
              </w:rPr>
              <w:t xml:space="preserve">Dataclasses: ClinicalValue, SofaInput, SofaResult, BundleItemState, AuditEvent, enums for DataStatus and PressorDrug.</w:t>
            </w:r>
          </w:p>
        </w:tc>
      </w:tr>
      <w:tr>
        <w:tc>
          <w:tcPr>
            <w:tcW w:type="dxa" w:w="2400"/>
          </w:tcPr>
          <w:p>
            <w:r>
              <w:rPr>
                <w:b w:val="false"/>
                <w:bCs w:val="false"/>
                <w:color w:val="000000"/>
                <w:sz w:val="19"/>
                <w:szCs w:val="19"/>
              </w:rPr>
              <w:t xml:space="preserve">sofa_calculator.py</w:t>
            </w:r>
          </w:p>
        </w:tc>
        <w:tc>
          <w:tcPr>
            <w:tcW w:type="dxa" w:w="6600"/>
          </w:tcPr>
          <w:p>
            <w:r>
              <w:rPr>
                <w:b w:val="false"/>
                <w:bCs w:val="false"/>
                <w:color w:val="000000"/>
                <w:sz w:val="19"/>
                <w:szCs w:val="19"/>
              </w:rPr>
              <w:t xml:space="preserve">Per-domain threshold functions (respiratory, coagulation, liver, cardiovascular, CNS, renal); calculate_sofa(); delta_sofa(); meets_sepsis3_criteria().</w:t>
            </w:r>
          </w:p>
        </w:tc>
      </w:tr>
      <w:tr>
        <w:tc>
          <w:tcPr>
            <w:tcW w:type="dxa" w:w="2400"/>
          </w:tcPr>
          <w:p>
            <w:r>
              <w:rPr>
                <w:b w:val="false"/>
                <w:bCs w:val="false"/>
                <w:color w:val="000000"/>
                <w:sz w:val="19"/>
                <w:szCs w:val="19"/>
              </w:rPr>
              <w:t xml:space="preserve">bundle_tracker.py</w:t>
            </w:r>
          </w:p>
        </w:tc>
        <w:tc>
          <w:tcPr>
            <w:tcW w:type="dxa" w:w="6600"/>
          </w:tcPr>
          <w:p>
            <w:r>
              <w:rPr>
                <w:b w:val="false"/>
                <w:bCs w:val="false"/>
                <w:color w:val="000000"/>
                <w:sz w:val="19"/>
                <w:szCs w:val="19"/>
              </w:rPr>
              <w:t xml:space="preserve">BUNDLE_DEFINITIONS; evaluate_relevance() for conditional items; build_bundle_state(); elapsed_minutes(); overdue_items(); bundle_summary().</w:t>
            </w:r>
          </w:p>
        </w:tc>
      </w:tr>
      <w:tr>
        <w:tc>
          <w:tcPr>
            <w:tcW w:type="dxa" w:w="2400"/>
          </w:tcPr>
          <w:p>
            <w:r>
              <w:rPr>
                <w:b w:val="false"/>
                <w:bCs w:val="false"/>
                <w:color w:val="000000"/>
                <w:sz w:val="19"/>
                <w:szCs w:val="19"/>
              </w:rPr>
              <w:t xml:space="preserve">data_validation.py</w:t>
            </w:r>
          </w:p>
        </w:tc>
        <w:tc>
          <w:tcPr>
            <w:tcW w:type="dxa" w:w="6600"/>
          </w:tcPr>
          <w:p>
            <w:r>
              <w:rPr>
                <w:b w:val="false"/>
                <w:bCs w:val="false"/>
                <w:color w:val="000000"/>
                <w:sz w:val="19"/>
                <w:szCs w:val="19"/>
              </w:rPr>
              <w:t xml:space="preserve">PLAUSIBLE_RANGES, FRESHNESS_WINDOW, MAX_PLAUSIBLE_DELTA; range_check(); staleness_check(); plausibility_check(); evaluate_clinical_value(); requires_dual_confirmation().</w:t>
            </w:r>
          </w:p>
        </w:tc>
      </w:tr>
      <w:tr>
        <w:tc>
          <w:tcPr>
            <w:tcW w:type="dxa" w:w="2400"/>
          </w:tcPr>
          <w:p>
            <w:r>
              <w:rPr>
                <w:b w:val="false"/>
                <w:bCs w:val="false"/>
                <w:color w:val="000000"/>
                <w:sz w:val="19"/>
                <w:szCs w:val="19"/>
              </w:rPr>
              <w:t xml:space="preserve">provenance_log.py</w:t>
            </w:r>
          </w:p>
        </w:tc>
        <w:tc>
          <w:tcPr>
            <w:tcW w:type="dxa" w:w="6600"/>
          </w:tcPr>
          <w:p>
            <w:r>
              <w:rPr>
                <w:b w:val="false"/>
                <w:bCs w:val="false"/>
                <w:color w:val="000000"/>
                <w:sz w:val="19"/>
                <w:szCs w:val="19"/>
              </w:rPr>
              <w:t xml:space="preserve">ProvenanceLog class: append-only record(), all_events(), completeness_rate() KPI.</w:t>
            </w:r>
          </w:p>
        </w:tc>
      </w:tr>
      <w:tr>
        <w:tc>
          <w:tcPr>
            <w:tcW w:type="dxa" w:w="2400"/>
          </w:tcPr>
          <w:p>
            <w:r>
              <w:rPr>
                <w:b w:val="false"/>
                <w:bCs w:val="false"/>
                <w:color w:val="000000"/>
                <w:sz w:val="19"/>
                <w:szCs w:val="19"/>
              </w:rPr>
              <w:t xml:space="preserve">api/main.py</w:t>
            </w:r>
          </w:p>
        </w:tc>
        <w:tc>
          <w:tcPr>
            <w:tcW w:type="dxa" w:w="6600"/>
          </w:tcPr>
          <w:p>
            <w:r>
              <w:rPr>
                <w:b w:val="false"/>
                <w:bCs w:val="false"/>
                <w:color w:val="000000"/>
                <w:sz w:val="19"/>
                <w:szCs w:val="19"/>
              </w:rPr>
              <w:t xml:space="preserve">FastAPI endpoints wiring the above modules together; the sole caller of the Claude API.</w:t>
            </w:r>
          </w:p>
        </w:tc>
      </w:tr>
    </w:tbl>
    <w:p>
      <w:pPr>
        <w:pStyle w:val="Heading1"/>
        <w:spacing w:after="160" w:before="320"/>
      </w:pPr>
      <w:r>
        <w:t xml:space="preserve">3. Data Model</w:t>
      </w:r>
    </w:p>
    <w:p>
      <w:pPr>
        <w:spacing w:after="140"/>
      </w:pPr>
      <w:r>
        <w:t xml:space="preserve">Key types (see models.py for full definitions):</w:t>
      </w:r>
    </w:p>
    <w:p>
      <w:pPr>
        <w:shd w:fill="F2F4F8" w:val="clear"/>
        <w:spacing w:after="200"/>
      </w:pPr>
      <w:r>
        <w:rPr>
          <w:rFonts w:ascii="Consolas" w:cs="Consolas" w:eastAsia="Consolas" w:hAnsi="Consolas"/>
          <w:sz w:val="18"/>
          <w:szCs w:val="18"/>
        </w:rPr>
        <w:t xml:space="preserve">ClinicalValue(value, unit, source, timestamp, status, flag_reason)</w:t>
      </w:r>
      <w:r>
        <w:br/>
        <w:t xml:space="preserve"/>
      </w:r>
      <w:r>
        <w:rPr>
          <w:rFonts w:ascii="Consolas" w:cs="Consolas" w:eastAsia="Consolas" w:hAnsi="Consolas"/>
          <w:sz w:val="18"/>
          <w:szCs w:val="18"/>
        </w:rPr>
        <w:t xml:space="preserve">SofaInput(pao2_fio2, platelets, bilirubin, map_mmhg, pressor, gcs, creatinine, urine_output_24h)</w:t>
      </w:r>
      <w:r>
        <w:br/>
        <w:t xml:space="preserve"/>
      </w:r>
      <w:r>
        <w:rPr>
          <w:rFonts w:ascii="Consolas" w:cs="Consolas" w:eastAsia="Consolas" w:hAnsi="Consolas"/>
          <w:sz w:val="18"/>
          <w:szCs w:val="18"/>
        </w:rPr>
        <w:t xml:space="preserve">SofaResult(components: dict, total: int, completeness: float, missing_domains: list, timestamp)</w:t>
      </w:r>
      <w:r>
        <w:br/>
        <w:t xml:space="preserve"/>
      </w:r>
      <w:r>
        <w:rPr>
          <w:rFonts w:ascii="Consolas" w:cs="Consolas" w:eastAsia="Consolas" w:hAnsi="Consolas"/>
          <w:sz w:val="18"/>
          <w:szCs w:val="18"/>
        </w:rPr>
        <w:t xml:space="preserve">BundleItemState(key, label, required, reason_if_not_required, done, confirmed_at,</w:t>
      </w:r>
      <w:r>
        <w:br/>
        <w:t xml:space="preserve"/>
      </w:r>
      <w:r>
        <w:rPr>
          <w:rFonts w:ascii="Consolas" w:cs="Consolas" w:eastAsia="Consolas" w:hAnsi="Consolas"/>
          <w:sz w:val="18"/>
          <w:szCs w:val="18"/>
        </w:rPr>
        <w:t xml:space="preserve">                 acknowledged_by, confirmed_by)</w:t>
      </w:r>
      <w:r>
        <w:br/>
        <w:t xml:space="preserve"/>
      </w:r>
      <w:r>
        <w:rPr>
          <w:rFonts w:ascii="Consolas" w:cs="Consolas" w:eastAsia="Consolas" w:hAnsi="Consolas"/>
          <w:sz w:val="18"/>
          <w:szCs w:val="18"/>
        </w:rPr>
        <w:t xml:space="preserve">AuditEvent(event_id, timestamp, actor, action, detail)</w:t>
      </w:r>
    </w:p>
    <w:p>
      <w:pPr>
        <w:spacing w:after="140"/>
      </w:pPr>
      <w:r>
        <w:t xml:space="preserve">DataStatus is a three-state enum — CONFIRMED, DRAFT, STALE — mirroring Shura's existing provenance model. Only CONFIRMED values are permitted into a SOFA calculation; DRAFT and STALE values are surfaced to the clinician but excluded from live scoring until resolved.</w:t>
      </w:r>
    </w:p>
    <w:p>
      <w:pPr>
        <w:pStyle w:val="Heading1"/>
        <w:spacing w:after="160" w:before="320"/>
      </w:pPr>
      <w:r>
        <w:t xml:space="preserve">4. API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600"/>
        <w:gridCol w:w="1500"/>
      </w:tblGrid>
      <w:tr>
        <w:tc>
          <w:tcPr>
            <w:tcW w:type="dxa" w:w="2200"/>
            <w:shd w:fill="1F2A44" w:val="clear"/>
          </w:tcPr>
          <w:p>
            <w:r>
              <w:rPr>
                <w:b/>
                <w:bCs/>
                <w:color w:val="FFFFFF"/>
                <w:sz w:val="19"/>
                <w:szCs w:val="19"/>
              </w:rPr>
              <w:t xml:space="preserve">Endpoint</w:t>
            </w:r>
          </w:p>
        </w:tc>
        <w:tc>
          <w:tcPr>
            <w:tcW w:type="dxa" w:w="1200"/>
            <w:shd w:fill="1F2A44" w:val="clear"/>
          </w:tcPr>
          <w:p>
            <w:r>
              <w:rPr>
                <w:b/>
                <w:bCs/>
                <w:color w:val="FFFFFF"/>
                <w:sz w:val="19"/>
                <w:szCs w:val="19"/>
              </w:rPr>
              <w:t xml:space="preserve">Method</w:t>
            </w:r>
          </w:p>
        </w:tc>
        <w:tc>
          <w:tcPr>
            <w:tcW w:type="dxa" w:w="4600"/>
            <w:shd w:fill="1F2A44" w:val="clear"/>
          </w:tcPr>
          <w:p>
            <w:r>
              <w:rPr>
                <w:b/>
                <w:bCs/>
                <w:color w:val="FFFFFF"/>
                <w:sz w:val="19"/>
                <w:szCs w:val="19"/>
              </w:rPr>
              <w:t xml:space="preserve">Purpose</w:t>
            </w:r>
          </w:p>
        </w:tc>
        <w:tc>
          <w:tcPr>
            <w:tcW w:type="dxa" w:w="1500"/>
            <w:shd w:fill="1F2A44" w:val="clear"/>
          </w:tcPr>
          <w:p>
            <w:r>
              <w:rPr>
                <w:b/>
                <w:bCs/>
                <w:color w:val="FFFFFF"/>
                <w:sz w:val="19"/>
                <w:szCs w:val="19"/>
              </w:rPr>
              <w:t xml:space="preserve">Calls LLM?</w:t>
            </w:r>
          </w:p>
        </w:tc>
      </w:tr>
      <w:tr>
        <w:tc>
          <w:tcPr>
            <w:tcW w:type="dxa" w:w="2200"/>
          </w:tcPr>
          <w:p>
            <w:r>
              <w:rPr>
                <w:b w:val="false"/>
                <w:bCs w:val="false"/>
                <w:color w:val="000000"/>
                <w:sz w:val="19"/>
                <w:szCs w:val="19"/>
              </w:rPr>
              <w:t xml:space="preserve">/sofa/calculate</w:t>
            </w:r>
          </w:p>
        </w:tc>
        <w:tc>
          <w:tcPr>
            <w:tcW w:type="dxa" w:w="1200"/>
          </w:tcPr>
          <w:p>
            <w:r>
              <w:rPr>
                <w:b w:val="false"/>
                <w:bCs w:val="false"/>
                <w:color w:val="000000"/>
                <w:sz w:val="19"/>
                <w:szCs w:val="19"/>
              </w:rPr>
              <w:t xml:space="preserve">POST</w:t>
            </w:r>
          </w:p>
        </w:tc>
        <w:tc>
          <w:tcPr>
            <w:tcW w:type="dxa" w:w="4600"/>
          </w:tcPr>
          <w:p>
            <w:r>
              <w:rPr>
                <w:b w:val="false"/>
                <w:bCs w:val="false"/>
                <w:color w:val="000000"/>
                <w:sz w:val="19"/>
                <w:szCs w:val="19"/>
              </w:rPr>
              <w:t xml:space="preserve">Validate inputs, compute SOFA total + breakdown + Δ vs baseline.</w:t>
            </w:r>
          </w:p>
        </w:tc>
        <w:tc>
          <w:tcPr>
            <w:tcW w:type="dxa" w:w="1500"/>
          </w:tcPr>
          <w:p>
            <w:r>
              <w:rPr>
                <w:b w:val="false"/>
                <w:bCs w:val="false"/>
                <w:color w:val="000000"/>
                <w:sz w:val="19"/>
                <w:szCs w:val="19"/>
              </w:rPr>
              <w:t xml:space="preserve">No</w:t>
            </w:r>
          </w:p>
        </w:tc>
      </w:tr>
      <w:tr>
        <w:tc>
          <w:tcPr>
            <w:tcW w:type="dxa" w:w="2200"/>
          </w:tcPr>
          <w:p>
            <w:r>
              <w:rPr>
                <w:b w:val="false"/>
                <w:bCs w:val="false"/>
                <w:color w:val="000000"/>
                <w:sz w:val="19"/>
                <w:szCs w:val="19"/>
              </w:rPr>
              <w:t xml:space="preserve">/bundle/start</w:t>
            </w:r>
          </w:p>
        </w:tc>
        <w:tc>
          <w:tcPr>
            <w:tcW w:type="dxa" w:w="1200"/>
          </w:tcPr>
          <w:p>
            <w:r>
              <w:rPr>
                <w:b w:val="false"/>
                <w:bCs w:val="false"/>
                <w:color w:val="000000"/>
                <w:sz w:val="19"/>
                <w:szCs w:val="19"/>
              </w:rPr>
              <w:t xml:space="preserve">POST</w:t>
            </w:r>
          </w:p>
        </w:tc>
        <w:tc>
          <w:tcPr>
            <w:tcW w:type="dxa" w:w="4600"/>
          </w:tcPr>
          <w:p>
            <w:r>
              <w:rPr>
                <w:b w:val="false"/>
                <w:bCs w:val="false"/>
                <w:color w:val="000000"/>
                <w:sz w:val="19"/>
                <w:szCs w:val="19"/>
              </w:rPr>
              <w:t xml:space="preserve">Start the Hour-1 recognition clock for a patient session.</w:t>
            </w:r>
          </w:p>
        </w:tc>
        <w:tc>
          <w:tcPr>
            <w:tcW w:type="dxa" w:w="1500"/>
          </w:tcPr>
          <w:p>
            <w:r>
              <w:rPr>
                <w:b w:val="false"/>
                <w:bCs w:val="false"/>
                <w:color w:val="000000"/>
                <w:sz w:val="19"/>
                <w:szCs w:val="19"/>
              </w:rPr>
              <w:t xml:space="preserve">No</w:t>
            </w:r>
          </w:p>
        </w:tc>
      </w:tr>
      <w:tr>
        <w:tc>
          <w:tcPr>
            <w:tcW w:type="dxa" w:w="2200"/>
          </w:tcPr>
          <w:p>
            <w:r>
              <w:rPr>
                <w:b w:val="false"/>
                <w:bCs w:val="false"/>
                <w:color w:val="000000"/>
                <w:sz w:val="19"/>
                <w:szCs w:val="19"/>
              </w:rPr>
              <w:t xml:space="preserve">/bundle/status</w:t>
            </w:r>
          </w:p>
        </w:tc>
        <w:tc>
          <w:tcPr>
            <w:tcW w:type="dxa" w:w="1200"/>
          </w:tcPr>
          <w:p>
            <w:r>
              <w:rPr>
                <w:b w:val="false"/>
                <w:bCs w:val="false"/>
                <w:color w:val="000000"/>
                <w:sz w:val="19"/>
                <w:szCs w:val="19"/>
              </w:rPr>
              <w:t xml:space="preserve">GET</w:t>
            </w:r>
          </w:p>
        </w:tc>
        <w:tc>
          <w:tcPr>
            <w:tcW w:type="dxa" w:w="4600"/>
          </w:tcPr>
          <w:p>
            <w:r>
              <w:rPr>
                <w:b w:val="false"/>
                <w:bCs w:val="false"/>
                <w:color w:val="000000"/>
                <w:sz w:val="19"/>
                <w:szCs w:val="19"/>
              </w:rPr>
              <w:t xml:space="preserve">Current bundle item states, elapsed time, overdue items.</w:t>
            </w:r>
          </w:p>
        </w:tc>
        <w:tc>
          <w:tcPr>
            <w:tcW w:type="dxa" w:w="1500"/>
          </w:tcPr>
          <w:p>
            <w:r>
              <w:rPr>
                <w:b w:val="false"/>
                <w:bCs w:val="false"/>
                <w:color w:val="000000"/>
                <w:sz w:val="19"/>
                <w:szCs w:val="19"/>
              </w:rPr>
              <w:t xml:space="preserve">No</w:t>
            </w:r>
          </w:p>
        </w:tc>
      </w:tr>
      <w:tr>
        <w:tc>
          <w:tcPr>
            <w:tcW w:type="dxa" w:w="2200"/>
          </w:tcPr>
          <w:p>
            <w:r>
              <w:rPr>
                <w:b w:val="false"/>
                <w:bCs w:val="false"/>
                <w:color w:val="000000"/>
                <w:sz w:val="19"/>
                <w:szCs w:val="19"/>
              </w:rPr>
              <w:t xml:space="preserve">/bundle/confirm</w:t>
            </w:r>
          </w:p>
        </w:tc>
        <w:tc>
          <w:tcPr>
            <w:tcW w:type="dxa" w:w="1200"/>
          </w:tcPr>
          <w:p>
            <w:r>
              <w:rPr>
                <w:b w:val="false"/>
                <w:bCs w:val="false"/>
                <w:color w:val="000000"/>
                <w:sz w:val="19"/>
                <w:szCs w:val="19"/>
              </w:rPr>
              <w:t xml:space="preserve">POST</w:t>
            </w:r>
          </w:p>
        </w:tc>
        <w:tc>
          <w:tcPr>
            <w:tcW w:type="dxa" w:w="4600"/>
          </w:tcPr>
          <w:p>
            <w:r>
              <w:rPr>
                <w:b w:val="false"/>
                <w:bCs w:val="false"/>
                <w:color w:val="000000"/>
                <w:sz w:val="19"/>
                <w:szCs w:val="19"/>
              </w:rPr>
              <w:t xml:space="preserve">Physician confirms a bundle item; enforces dual sign-off for high-risk items.</w:t>
            </w:r>
          </w:p>
        </w:tc>
        <w:tc>
          <w:tcPr>
            <w:tcW w:type="dxa" w:w="1500"/>
          </w:tcPr>
          <w:p>
            <w:r>
              <w:rPr>
                <w:b w:val="false"/>
                <w:bCs w:val="false"/>
                <w:color w:val="000000"/>
                <w:sz w:val="19"/>
                <w:szCs w:val="19"/>
              </w:rPr>
              <w:t xml:space="preserve">No</w:t>
            </w:r>
          </w:p>
        </w:tc>
      </w:tr>
      <w:tr>
        <w:tc>
          <w:tcPr>
            <w:tcW w:type="dxa" w:w="2200"/>
          </w:tcPr>
          <w:p>
            <w:r>
              <w:rPr>
                <w:b w:val="false"/>
                <w:bCs w:val="false"/>
                <w:color w:val="000000"/>
                <w:sz w:val="19"/>
                <w:szCs w:val="19"/>
              </w:rPr>
              <w:t xml:space="preserve">/interpretation</w:t>
            </w:r>
          </w:p>
        </w:tc>
        <w:tc>
          <w:tcPr>
            <w:tcW w:type="dxa" w:w="1200"/>
          </w:tcPr>
          <w:p>
            <w:r>
              <w:rPr>
                <w:b w:val="false"/>
                <w:bCs w:val="false"/>
                <w:color w:val="000000"/>
                <w:sz w:val="19"/>
                <w:szCs w:val="19"/>
              </w:rPr>
              <w:t xml:space="preserve">POST</w:t>
            </w:r>
          </w:p>
        </w:tc>
        <w:tc>
          <w:tcPr>
            <w:tcW w:type="dxa" w:w="4600"/>
          </w:tcPr>
          <w:p>
            <w:r>
              <w:rPr>
                <w:b w:val="false"/>
                <w:bCs w:val="false"/>
                <w:color w:val="000000"/>
                <w:sz w:val="19"/>
                <w:szCs w:val="19"/>
              </w:rPr>
              <w:t xml:space="preserve">Sends already-computed values to Claude for narration only.</w:t>
            </w:r>
          </w:p>
        </w:tc>
        <w:tc>
          <w:tcPr>
            <w:tcW w:type="dxa" w:w="1500"/>
          </w:tcPr>
          <w:p>
            <w:r>
              <w:rPr>
                <w:b w:val="false"/>
                <w:bCs w:val="false"/>
                <w:color w:val="000000"/>
                <w:sz w:val="19"/>
                <w:szCs w:val="19"/>
              </w:rPr>
              <w:t xml:space="preserve">Yes — only endpoint</w:t>
            </w:r>
          </w:p>
        </w:tc>
      </w:tr>
      <w:tr>
        <w:tc>
          <w:tcPr>
            <w:tcW w:type="dxa" w:w="2200"/>
          </w:tcPr>
          <w:p>
            <w:r>
              <w:rPr>
                <w:b w:val="false"/>
                <w:bCs w:val="false"/>
                <w:color w:val="000000"/>
                <w:sz w:val="19"/>
                <w:szCs w:val="19"/>
              </w:rPr>
              <w:t xml:space="preserve">/audit/events</w:t>
            </w:r>
          </w:p>
        </w:tc>
        <w:tc>
          <w:tcPr>
            <w:tcW w:type="dxa" w:w="1200"/>
          </w:tcPr>
          <w:p>
            <w:r>
              <w:rPr>
                <w:b w:val="false"/>
                <w:bCs w:val="false"/>
                <w:color w:val="000000"/>
                <w:sz w:val="19"/>
                <w:szCs w:val="19"/>
              </w:rPr>
              <w:t xml:space="preserve">GET</w:t>
            </w:r>
          </w:p>
        </w:tc>
        <w:tc>
          <w:tcPr>
            <w:tcW w:type="dxa" w:w="4600"/>
          </w:tcPr>
          <w:p>
            <w:r>
              <w:rPr>
                <w:b w:val="false"/>
                <w:bCs w:val="false"/>
                <w:color w:val="000000"/>
                <w:sz w:val="19"/>
                <w:szCs w:val="19"/>
              </w:rPr>
              <w:t xml:space="preserve">Full append-only audit log + attribution completeness KPI.</w:t>
            </w:r>
          </w:p>
        </w:tc>
        <w:tc>
          <w:tcPr>
            <w:tcW w:type="dxa" w:w="1500"/>
          </w:tcPr>
          <w:p>
            <w:r>
              <w:rPr>
                <w:b w:val="false"/>
                <w:bCs w:val="false"/>
                <w:color w:val="000000"/>
                <w:sz w:val="19"/>
                <w:szCs w:val="19"/>
              </w:rPr>
              <w:t xml:space="preserve">No</w:t>
            </w:r>
          </w:p>
        </w:tc>
      </w:tr>
    </w:tbl>
    <w:p>
      <w:pPr>
        <w:pStyle w:val="Heading1"/>
        <w:spacing w:after="160" w:before="320"/>
      </w:pPr>
      <w:r>
        <w:t xml:space="preserve">5. FMEA-to-Design Mapping</w:t>
      </w:r>
    </w:p>
    <w:p>
      <w:pPr>
        <w:spacing w:after="140"/>
      </w:pPr>
      <w:r>
        <w:t xml:space="preserve">Each in-scope failure mode identified in ICU_Agent_FMEA.xlsx maps to a specific, testable mitigation: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4000"/>
        <w:gridCol w:w="1700"/>
      </w:tblGrid>
      <w:tr>
        <w:tc>
          <w:tcPr>
            <w:tcW w:type="dxa" w:w="2900"/>
            <w:shd w:fill="1F2A44" w:val="clear"/>
          </w:tcPr>
          <w:p>
            <w:r>
              <w:rPr>
                <w:b/>
                <w:bCs/>
                <w:color w:val="FFFFFF"/>
                <w:sz w:val="19"/>
                <w:szCs w:val="19"/>
              </w:rPr>
              <w:t xml:space="preserve">Failure Mode</w:t>
            </w:r>
          </w:p>
        </w:tc>
        <w:tc>
          <w:tcPr>
            <w:tcW w:type="dxa" w:w="900"/>
            <w:shd w:fill="1F2A44" w:val="clear"/>
          </w:tcPr>
          <w:p>
            <w:r>
              <w:rPr>
                <w:b/>
                <w:bCs/>
                <w:color w:val="FFFFFF"/>
                <w:sz w:val="19"/>
                <w:szCs w:val="19"/>
              </w:rPr>
              <w:t xml:space="preserve">RPN</w:t>
            </w:r>
          </w:p>
        </w:tc>
        <w:tc>
          <w:tcPr>
            <w:tcW w:type="dxa" w:w="4000"/>
            <w:shd w:fill="1F2A44" w:val="clear"/>
          </w:tcPr>
          <w:p>
            <w:r>
              <w:rPr>
                <w:b/>
                <w:bCs/>
                <w:color w:val="FFFFFF"/>
                <w:sz w:val="19"/>
                <w:szCs w:val="19"/>
              </w:rPr>
              <w:t xml:space="preserve">Mitigation</w:t>
            </w:r>
          </w:p>
        </w:tc>
        <w:tc>
          <w:tcPr>
            <w:tcW w:type="dxa" w:w="1700"/>
            <w:shd w:fill="1F2A44" w:val="clear"/>
          </w:tcPr>
          <w:p>
            <w:r>
              <w:rPr>
                <w:b/>
                <w:bCs/>
                <w:color w:val="FFFFFF"/>
                <w:sz w:val="19"/>
                <w:szCs w:val="19"/>
              </w:rPr>
              <w:t xml:space="preserve">Implemented In</w:t>
            </w:r>
          </w:p>
        </w:tc>
      </w:tr>
      <w:tr>
        <w:tc>
          <w:tcPr>
            <w:tcW w:type="dxa" w:w="2900"/>
          </w:tcPr>
          <w:p>
            <w:r>
              <w:rPr>
                <w:b w:val="false"/>
                <w:bCs w:val="false"/>
                <w:color w:val="000000"/>
                <w:sz w:val="19"/>
                <w:szCs w:val="19"/>
              </w:rPr>
              <w:t xml:space="preserve">FM-01 Contaminated / swapped sample</w:t>
            </w:r>
          </w:p>
        </w:tc>
        <w:tc>
          <w:tcPr>
            <w:tcW w:type="dxa" w:w="900"/>
          </w:tcPr>
          <w:p>
            <w:r>
              <w:rPr>
                <w:b w:val="false"/>
                <w:bCs w:val="false"/>
                <w:color w:val="000000"/>
                <w:sz w:val="19"/>
                <w:szCs w:val="19"/>
              </w:rPr>
              <w:t xml:space="preserve">252</w:t>
            </w:r>
          </w:p>
        </w:tc>
        <w:tc>
          <w:tcPr>
            <w:tcW w:type="dxa" w:w="4000"/>
          </w:tcPr>
          <w:p>
            <w:r>
              <w:rPr>
                <w:b w:val="false"/>
                <w:bCs w:val="false"/>
                <w:color w:val="000000"/>
                <w:sz w:val="19"/>
                <w:szCs w:val="19"/>
              </w:rPr>
              <w:t xml:space="preserve">Rate-of-change plausibility check; implausible jumps routed to DRAFT for manual re-verification.</w:t>
            </w:r>
          </w:p>
        </w:tc>
        <w:tc>
          <w:tcPr>
            <w:tcW w:type="dxa" w:w="1700"/>
          </w:tcPr>
          <w:p>
            <w:r>
              <w:rPr>
                <w:b w:val="false"/>
                <w:bCs w:val="false"/>
                <w:color w:val="000000"/>
                <w:sz w:val="19"/>
                <w:szCs w:val="19"/>
              </w:rPr>
              <w:t xml:space="preserve">data_validation.plausibility_check()</w:t>
            </w:r>
          </w:p>
        </w:tc>
      </w:tr>
      <w:tr>
        <w:tc>
          <w:tcPr>
            <w:tcW w:type="dxa" w:w="2900"/>
          </w:tcPr>
          <w:p>
            <w:r>
              <w:rPr>
                <w:b w:val="false"/>
                <w:bCs w:val="false"/>
                <w:color w:val="000000"/>
                <w:sz w:val="19"/>
                <w:szCs w:val="19"/>
              </w:rPr>
              <w:t xml:space="preserve">FM-03 Data transfer error</w:t>
            </w:r>
          </w:p>
        </w:tc>
        <w:tc>
          <w:tcPr>
            <w:tcW w:type="dxa" w:w="900"/>
          </w:tcPr>
          <w:p>
            <w:r>
              <w:rPr>
                <w:b w:val="false"/>
                <w:bCs w:val="false"/>
                <w:color w:val="000000"/>
                <w:sz w:val="19"/>
                <w:szCs w:val="19"/>
              </w:rPr>
              <w:t xml:space="preserve">210</w:t>
            </w:r>
          </w:p>
        </w:tc>
        <w:tc>
          <w:tcPr>
            <w:tcW w:type="dxa" w:w="4000"/>
          </w:tcPr>
          <w:p>
            <w:r>
              <w:rPr>
                <w:b w:val="false"/>
                <w:bCs w:val="false"/>
                <w:color w:val="000000"/>
                <w:sz w:val="19"/>
                <w:szCs w:val="19"/>
              </w:rPr>
              <w:t xml:space="preserve">Per-domain freshness window; stale values excluded from live SOFA scoring.</w:t>
            </w:r>
          </w:p>
        </w:tc>
        <w:tc>
          <w:tcPr>
            <w:tcW w:type="dxa" w:w="1700"/>
          </w:tcPr>
          <w:p>
            <w:r>
              <w:rPr>
                <w:b w:val="false"/>
                <w:bCs w:val="false"/>
                <w:color w:val="000000"/>
                <w:sz w:val="19"/>
                <w:szCs w:val="19"/>
              </w:rPr>
              <w:t xml:space="preserve">data_validation.staleness_check()</w:t>
            </w:r>
          </w:p>
        </w:tc>
      </w:tr>
      <w:tr>
        <w:tc>
          <w:tcPr>
            <w:tcW w:type="dxa" w:w="2900"/>
          </w:tcPr>
          <w:p>
            <w:r>
              <w:rPr>
                <w:b w:val="false"/>
                <w:bCs w:val="false"/>
                <w:color w:val="000000"/>
                <w:sz w:val="19"/>
                <w:szCs w:val="19"/>
              </w:rPr>
              <w:t xml:space="preserve">FM-05 No double-check before high-risk action</w:t>
            </w:r>
          </w:p>
        </w:tc>
        <w:tc>
          <w:tcPr>
            <w:tcW w:type="dxa" w:w="900"/>
          </w:tcPr>
          <w:p>
            <w:r>
              <w:rPr>
                <w:b w:val="false"/>
                <w:bCs w:val="false"/>
                <w:color w:val="000000"/>
                <w:sz w:val="19"/>
                <w:szCs w:val="19"/>
              </w:rPr>
              <w:t xml:space="preserve">200</w:t>
            </w:r>
          </w:p>
        </w:tc>
        <w:tc>
          <w:tcPr>
            <w:tcW w:type="dxa" w:w="4000"/>
          </w:tcPr>
          <w:p>
            <w:r>
              <w:rPr>
                <w:b w:val="false"/>
                <w:bCs w:val="false"/>
                <w:color w:val="000000"/>
                <w:sz w:val="19"/>
                <w:szCs w:val="19"/>
              </w:rPr>
              <w:t xml:space="preserve">Dual clinician sign-off (acknowledged_by + confirmed_by) required for antibiotics, fluids, pressors.</w:t>
            </w:r>
          </w:p>
        </w:tc>
        <w:tc>
          <w:tcPr>
            <w:tcW w:type="dxa" w:w="1700"/>
          </w:tcPr>
          <w:p>
            <w:r>
              <w:rPr>
                <w:b w:val="false"/>
                <w:bCs w:val="false"/>
                <w:color w:val="000000"/>
                <w:sz w:val="19"/>
                <w:szCs w:val="19"/>
              </w:rPr>
              <w:t xml:space="preserve">data_validation.requires_dual_confirmation(), api/main.bundle_confirm()</w:t>
            </w:r>
          </w:p>
        </w:tc>
      </w:tr>
      <w:tr>
        <w:tc>
          <w:tcPr>
            <w:tcW w:type="dxa" w:w="2900"/>
          </w:tcPr>
          <w:p>
            <w:r>
              <w:rPr>
                <w:b w:val="false"/>
                <w:bCs w:val="false"/>
                <w:color w:val="000000"/>
                <w:sz w:val="19"/>
                <w:szCs w:val="19"/>
              </w:rPr>
              <w:t xml:space="preserve">FM-02 Manual data entry error</w:t>
            </w:r>
          </w:p>
        </w:tc>
        <w:tc>
          <w:tcPr>
            <w:tcW w:type="dxa" w:w="900"/>
          </w:tcPr>
          <w:p>
            <w:r>
              <w:rPr>
                <w:b w:val="false"/>
                <w:bCs w:val="false"/>
                <w:color w:val="000000"/>
                <w:sz w:val="19"/>
                <w:szCs w:val="19"/>
              </w:rPr>
              <w:t xml:space="preserve">168</w:t>
            </w:r>
          </w:p>
        </w:tc>
        <w:tc>
          <w:tcPr>
            <w:tcW w:type="dxa" w:w="4000"/>
          </w:tcPr>
          <w:p>
            <w:r>
              <w:rPr>
                <w:b w:val="false"/>
                <w:bCs w:val="false"/>
                <w:color w:val="000000"/>
                <w:sz w:val="19"/>
                <w:szCs w:val="19"/>
              </w:rPr>
              <w:t xml:space="preserve">Physiologic range check flags implausible values as DRAFT before use.</w:t>
            </w:r>
          </w:p>
        </w:tc>
        <w:tc>
          <w:tcPr>
            <w:tcW w:type="dxa" w:w="1700"/>
          </w:tcPr>
          <w:p>
            <w:r>
              <w:rPr>
                <w:b w:val="false"/>
                <w:bCs w:val="false"/>
                <w:color w:val="000000"/>
                <w:sz w:val="19"/>
                <w:szCs w:val="19"/>
              </w:rPr>
              <w:t xml:space="preserve">data_validation.range_check()</w:t>
            </w:r>
          </w:p>
        </w:tc>
      </w:tr>
      <w:tr>
        <w:tc>
          <w:tcPr>
            <w:tcW w:type="dxa" w:w="2900"/>
          </w:tcPr>
          <w:p>
            <w:r>
              <w:rPr>
                <w:b w:val="false"/>
                <w:bCs w:val="false"/>
                <w:color w:val="000000"/>
                <w:sz w:val="19"/>
                <w:szCs w:val="19"/>
              </w:rPr>
              <w:t xml:space="preserve">FM-04 Hacking / unauthorized access</w:t>
            </w:r>
          </w:p>
        </w:tc>
        <w:tc>
          <w:tcPr>
            <w:tcW w:type="dxa" w:w="900"/>
          </w:tcPr>
          <w:p>
            <w:r>
              <w:rPr>
                <w:b w:val="false"/>
                <w:bCs w:val="false"/>
                <w:color w:val="000000"/>
                <w:sz w:val="19"/>
                <w:szCs w:val="19"/>
              </w:rPr>
              <w:t xml:space="preserve">160</w:t>
            </w:r>
          </w:p>
        </w:tc>
        <w:tc>
          <w:tcPr>
            <w:tcW w:type="dxa" w:w="4000"/>
          </w:tcPr>
          <w:p>
            <w:r>
              <w:rPr>
                <w:b w:val="false"/>
                <w:bCs w:val="false"/>
                <w:color w:val="000000"/>
                <w:sz w:val="19"/>
                <w:szCs w:val="19"/>
              </w:rPr>
              <w:t xml:space="preserve">Out of scope for this prototype — see § 8 Security &amp; Deployment.</w:t>
            </w:r>
          </w:p>
        </w:tc>
        <w:tc>
          <w:tcPr>
            <w:tcW w:type="dxa" w:w="1700"/>
          </w:tcPr>
          <w:p>
            <w:r>
              <w:rPr>
                <w:b w:val="false"/>
                <w:bCs w:val="false"/>
                <w:color w:val="000000"/>
                <w:sz w:val="19"/>
                <w:szCs w:val="19"/>
              </w:rPr>
              <w:t xml:space="preserve">Tracked as pre-deployment requirement</w:t>
            </w:r>
          </w:p>
        </w:tc>
      </w:tr>
    </w:tbl>
    <w:p>
      <w:pPr>
        <w:pStyle w:val="Heading1"/>
        <w:spacing w:after="160" w:before="320"/>
      </w:pPr>
      <w:r>
        <w:t xml:space="preserve">6. Testing Strategy</w:t>
      </w:r>
    </w:p>
    <w:p>
      <w:pPr>
        <w:pStyle w:val="ListParagraph"/>
        <w:numPr>
          <w:ilvl w:val="0"/>
          <w:numId w:val="1"/>
        </w:numPr>
        <w:spacing w:after="80"/>
      </w:pPr>
      <w:r>
        <w:t xml:space="preserve">Unit tests for every deterministic threshold function in sofa_calculator.py, including boundary values and invalid/negative inputs.</w:t>
      </w:r>
    </w:p>
    <w:p>
      <w:pPr>
        <w:pStyle w:val="ListParagraph"/>
        <w:numPr>
          <w:ilvl w:val="0"/>
          <w:numId w:val="1"/>
        </w:numPr>
        <w:spacing w:after="80"/>
      </w:pPr>
      <w:r>
        <w:t xml:space="preserve">Unit tests for bundle_tracker.py covering conditional relevance (stable vs. hypotensive vs. high-lactate patients) and overdue detection.</w:t>
      </w:r>
    </w:p>
    <w:p>
      <w:pPr>
        <w:pStyle w:val="ListParagraph"/>
        <w:numPr>
          <w:ilvl w:val="0"/>
          <w:numId w:val="1"/>
        </w:numPr>
        <w:spacing w:after="80"/>
      </w:pPr>
      <w:r>
        <w:t xml:space="preserve">Unit tests for data_validation.py covering all three gates (range, staleness, plausibility) and the dual-confirmation rule.</w:t>
      </w:r>
    </w:p>
    <w:p>
      <w:pPr>
        <w:pStyle w:val="ListParagraph"/>
        <w:numPr>
          <w:ilvl w:val="0"/>
          <w:numId w:val="1"/>
        </w:numPr>
        <w:spacing w:after="80"/>
      </w:pPr>
      <w:r>
        <w:t xml:space="preserve">No test depends on network access or the Claude API — the LLM boundary is isolated to api/main.py and is mocked or excluded from the deterministic test suite.</w:t>
      </w:r>
    </w:p>
    <w:p>
      <w:pPr>
        <w:pStyle w:val="ListParagraph"/>
        <w:numPr>
          <w:ilvl w:val="0"/>
          <w:numId w:val="1"/>
        </w:numPr>
        <w:spacing w:after="80"/>
      </w:pPr>
      <w:r>
        <w:t xml:space="preserve">Current status: 25/25 tests passing (tests/test_sofa_calculator.py, test_bundle_tracker.py, test_data_validation.py).</w:t>
      </w:r>
    </w:p>
    <w:p>
      <w:pPr>
        <w:pStyle w:val="Heading1"/>
        <w:spacing w:after="160" w:before="320"/>
      </w:pPr>
      <w:r>
        <w:t xml:space="preserve">7. Security &amp; Deployment (Future Work)</w:t>
      </w:r>
    </w:p>
    <w:p>
      <w:pPr>
        <w:spacing w:after="140"/>
      </w:pPr>
      <w:r>
        <w:t xml:space="preserve">Directly informed by FM-04 in the FMEA. Required before any clinical deployment, not implemented in this prototype:</w:t>
      </w:r>
    </w:p>
    <w:p>
      <w:pPr>
        <w:pStyle w:val="ListParagraph"/>
        <w:numPr>
          <w:ilvl w:val="0"/>
          <w:numId w:val="1"/>
        </w:numPr>
        <w:spacing w:after="80"/>
      </w:pPr>
      <w:r>
        <w:t xml:space="preserve">Role-based authentication for all API endpoints.</w:t>
      </w:r>
    </w:p>
    <w:p>
      <w:pPr>
        <w:pStyle w:val="ListParagraph"/>
        <w:numPr>
          <w:ilvl w:val="0"/>
          <w:numId w:val="1"/>
        </w:numPr>
        <w:spacing w:after="80"/>
      </w:pPr>
      <w:r>
        <w:t xml:space="preserve">TLS-encrypted transport end-to-end; no plaintext patient data in transit.</w:t>
      </w:r>
    </w:p>
    <w:p>
      <w:pPr>
        <w:pStyle w:val="ListParagraph"/>
        <w:numPr>
          <w:ilvl w:val="0"/>
          <w:numId w:val="1"/>
        </w:numPr>
        <w:spacing w:after="80"/>
      </w:pPr>
      <w:r>
        <w:t xml:space="preserve">API key rotation and secrets management (the prototype reads ANTHROPIC_API_KEY from environment only).</w:t>
      </w:r>
    </w:p>
    <w:p>
      <w:pPr>
        <w:pStyle w:val="ListParagraph"/>
        <w:numPr>
          <w:ilvl w:val="0"/>
          <w:numId w:val="1"/>
        </w:numPr>
        <w:spacing w:after="80"/>
      </w:pPr>
      <w:r>
        <w:t xml:space="preserve">Persistent, tamper-evident audit storage (e.g., append-only table with no UPDATE/DELETE grants) replacing the in-memory ProvenanceLog used in this prototype.</w:t>
      </w:r>
    </w:p>
    <w:p>
      <w:pPr>
        <w:pStyle w:val="ListParagraph"/>
        <w:numPr>
          <w:ilvl w:val="0"/>
          <w:numId w:val="1"/>
        </w:numPr>
        <w:spacing w:after="80"/>
      </w:pPr>
      <w:r>
        <w:t xml:space="preserve">Rate limiting and anomaly detection on the API layer.</w:t>
      </w:r>
    </w:p>
    <w:p>
      <w:pPr>
        <w:pStyle w:val="Heading1"/>
        <w:spacing w:after="160" w:before="320"/>
      </w:pPr>
      <w:r>
        <w:t xml:space="preserve">8. Frontend Notes</w:t>
      </w:r>
    </w:p>
    <w:p>
      <w:pPr>
        <w:spacing w:after="140"/>
      </w:pPr>
      <w:r>
        <w:t xml:space="preserve">The current frontend is a single-file React artifact (sepsis-bundle-agent.jsx) that duplicates the deterministic SOFA/bundle logic in JavaScript for a standalone demo experience, and calls the Claude API directly for interpretation. For the production integration with the FastAPI backend described above, the frontend's local calculation logic should be replaced with calls to /sofa/calculate and /bundle/status so there is a single source of truth for scoring — avoiding drift between the two implementations.</w:t>
      </w:r>
    </w:p>
    <w:p>
      <w:pPr>
        <w:pStyle w:val="Heading1"/>
        <w:spacing w:after="160" w:before="320"/>
      </w:pPr>
      <w:r>
        <w:t xml:space="preserve">9. Open Questions / Future Work</w:t>
      </w:r>
    </w:p>
    <w:p>
      <w:pPr>
        <w:pStyle w:val="ListParagraph"/>
        <w:numPr>
          <w:ilvl w:val="0"/>
          <w:numId w:val="1"/>
        </w:numPr>
        <w:spacing w:after="80"/>
      </w:pPr>
      <w:r>
        <w:t xml:space="preserve">Bedside monitor / lab interface integration (HL7/FHIR) to replace manual entry.</w:t>
      </w:r>
    </w:p>
    <w:p>
      <w:pPr>
        <w:pStyle w:val="ListParagraph"/>
        <w:numPr>
          <w:ilvl w:val="0"/>
          <w:numId w:val="1"/>
        </w:numPr>
        <w:spacing w:after="80"/>
      </w:pPr>
      <w:r>
        <w:t xml:space="preserve">Persistent multi-session storage keyed by patient MRN rather than the in-memory prototype store.</w:t>
      </w:r>
    </w:p>
    <w:p>
      <w:pPr>
        <w:pStyle w:val="ListParagraph"/>
        <w:numPr>
          <w:ilvl w:val="0"/>
          <w:numId w:val="1"/>
        </w:numPr>
        <w:spacing w:after="80"/>
      </w:pPr>
      <w:r>
        <w:t xml:space="preserve">Cross-agent trigger to the Nephrology specialist agent when renal SOFA component indicates AKI, consistent with Shura's existing consultation-trigger pattern.</w:t>
      </w:r>
    </w:p>
    <w:p>
      <w:pPr>
        <w:pStyle w:val="ListParagraph"/>
        <w:numPr>
          <w:ilvl w:val="0"/>
          <w:numId w:val="1"/>
        </w:numPr>
        <w:spacing w:after="80"/>
      </w:pPr>
      <w:r>
        <w:t xml:space="preserve">KPI dashboard surfacing the process/outcome/system metrics defined in the PRD §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2026-08-11T21:06:55.546Z</dcterms:created>
  <dcterms:modified xsi:type="dcterms:W3CDTF">2026-08-11T21:06:55.547Z</dcterms:modified>
</cp:coreProperties>
</file>

<file path=docProps/custom.xml><?xml version="1.0" encoding="utf-8"?>
<Properties xmlns="http://schemas.openxmlformats.org/officeDocument/2006/custom-properties" xmlns:vt="http://schemas.openxmlformats.org/officeDocument/2006/docPropsVTypes"/>
</file>