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6E7B04F9" w:rsidP="6E7B04F9" w:rsidRDefault="6E7B04F9" w14:noSpellErr="1" w14:paraId="1198DE04" w14:textId="5680E68D">
      <w:pPr>
        <w:jc w:val="center"/>
      </w:pPr>
      <w:r w:rsidRPr="6E7B04F9" w:rsidR="6E7B04F9">
        <w:rPr>
          <w:b w:val="1"/>
          <w:bCs w:val="1"/>
          <w:color w:val="C00000"/>
          <w:sz w:val="20"/>
          <w:szCs w:val="20"/>
        </w:rPr>
        <w:t>FICTIONAL – FOR TRAINING USE ONLY</w:t>
      </w:r>
    </w:p>
    <w:p w:rsidR="6E7B04F9" w:rsidP="6E7B04F9" w:rsidRDefault="6E7B04F9" w14:noSpellErr="1" w14:paraId="2BFBD3CA" w14:textId="16564210">
      <w:pPr>
        <w:jc w:val="center"/>
      </w:pPr>
      <w:r w:rsidRPr="6E7B04F9" w:rsidR="6E7B04F9">
        <w:rPr>
          <w:i w:val="1"/>
          <w:iCs w:val="1"/>
          <w:color w:val="595959"/>
          <w:sz w:val="18"/>
          <w:szCs w:val="18"/>
        </w:rPr>
        <w:t>Trainer note: Example of a reviewed, Copilot-assisted output for comparison in the Word session.</w:t>
      </w:r>
    </w:p>
    <w:p w:rsidR="6E7B04F9" w:rsidP="6E7B04F9" w:rsidRDefault="6E7B04F9" w14:paraId="3DBE5168" w14:textId="2C1125D3" w14:noSpellErr="1">
      <w:pPr>
        <w:pStyle w:val="Title"/>
      </w:pPr>
      <w:r w:rsidR="16454B98">
        <w:rPr/>
        <w:t>Indicative Financing Approach</w:t>
      </w:r>
    </w:p>
    <w:p w:rsidR="6E7B04F9" w:rsidP="6E7B04F9" w:rsidRDefault="6E7B04F9" w14:paraId="2E4FFE89" w14:textId="2A0F244D" w14:noSpellErr="1">
      <w:pPr>
        <w:pStyle w:val="Subtitle"/>
        <w:rPr/>
      </w:pPr>
      <w:r w:rsidRPr="7C2CDCB8" w:rsidR="16454B98">
        <w:rPr>
          <w:color w:val="1B4E71"/>
        </w:rPr>
        <w:t>Project Contoso – acquisition financing for Fabrikam</w:t>
      </w:r>
    </w:p>
    <w:p w:rsidR="6E7B04F9" w:rsidRDefault="6E7B04F9" w14:paraId="260A70C8" w14:textId="2C4C7219" w14:noSpellErr="1">
      <w:r w:rsidRPr="7C2CDCB8" w:rsidR="16454B98">
        <w:rPr>
          <w:color w:val="595959"/>
          <w:sz w:val="20"/>
          <w:szCs w:val="20"/>
        </w:rPr>
        <w:t>To: Yuki Hayashi, Chief Financial Officer, Fabrikam Industries Co., Ltd., and Markus Brandt, Group Treasurer Europe, Fabrikam Europe GmbH</w:t>
      </w:r>
    </w:p>
    <w:p w:rsidR="6E7B04F9" w:rsidRDefault="6E7B04F9" w14:paraId="4A21F2ED" w14:textId="4B15FDC2" w14:noSpellErr="1">
      <w:r w:rsidRPr="7C2CDCB8" w:rsidR="16454B98">
        <w:rPr>
          <w:color w:val="595959"/>
          <w:sz w:val="20"/>
          <w:szCs w:val="20"/>
        </w:rPr>
        <w:t>From: Thomas Brennan, MUFG EMEA  |  Friday 6 November 2026  |  Strictly confidential</w:t>
      </w:r>
    </w:p>
    <w:p w:rsidR="6E7B04F9" w:rsidP="6E7B04F9" w:rsidRDefault="6E7B04F9" w14:noSpellErr="1" w14:paraId="3C75563B" w14:textId="2D1B073F">
      <w:pPr>
        <w:pStyle w:val="Heading1"/>
      </w:pPr>
      <w:r w:rsidR="6E7B04F9">
        <w:rPr/>
        <w:t>Purpose</w:t>
      </w:r>
    </w:p>
    <w:p w:rsidR="6E7B04F9" w:rsidRDefault="6E7B04F9" w14:paraId="12470345" w14:textId="5EB1E452" w14:noSpellErr="1">
      <w:r w:rsidR="16454B98">
        <w:rPr/>
        <w:t>Thank you for inviting MUFG to support Fabrikam’s proposed acquisition of Contoso Energy Materials B.V., and for our constructive meeting in London on 13 October. As requested on 5 October, this note sets out our indicative financing approach and how we would support hedging, cash management and onboarding through to closing.</w:t>
      </w:r>
    </w:p>
    <w:p w:rsidR="6E7B04F9" w:rsidP="6E7B04F9" w:rsidRDefault="6E7B04F9" w14:noSpellErr="1" w14:paraId="38D1ABB6" w14:textId="33BC0067">
      <w:pPr>
        <w:pStyle w:val="Heading1"/>
      </w:pPr>
      <w:r w:rsidR="6E7B04F9">
        <w:rPr/>
        <w:t>Our understanding of the acquisition</w:t>
      </w:r>
    </w:p>
    <w:p w:rsidR="6E7B04F9" w:rsidRDefault="6E7B04F9" w14:paraId="333FE757" w14:textId="4B704DB4" w14:noSpellErr="1">
      <w:r w:rsidR="16454B98">
        <w:rPr/>
        <w:t>Fabrikam Europe GmbH intends to acquire 100% of Contoso Energy Materials B.V. (Eindhoven, with plants in Eindhoven and Dunkirk) at an enterprise value of €1.2bn, securing recycled nickel, cobalt and lithium for Fabrikam’s electric-vehicle components business. We understand the price will be funded by a new Term Loan A and existing cash, with closing expected in the first quarter of 2027, subject to merger-control approvals.</w:t>
      </w:r>
    </w:p>
    <w:p w:rsidR="6E7B04F9" w:rsidP="6E7B04F9" w:rsidRDefault="6E7B04F9" w14:noSpellErr="1" w14:paraId="634EDD01" w14:textId="5FEC03A5">
      <w:pPr>
        <w:pStyle w:val="Heading1"/>
      </w:pPr>
      <w:r w:rsidR="6E7B04F9">
        <w:rPr/>
        <w:t>Proposed structure and indicative pricing</w:t>
      </w:r>
    </w:p>
    <w:tbl>
      <w:tblPr>
        <w:tblStyle w:val="MediumShading1-Accent1"/>
        <w:tblW w:w="9638" w:type="dxa"/>
        <w:tblLook w:val="04A0" w:firstRow="1" w:lastRow="0" w:firstColumn="1" w:lastColumn="0" w:noHBand="0" w:noVBand="1"/>
      </w:tblPr>
      <w:tblGrid>
        <w:gridCol w:w="2900"/>
        <w:gridCol w:w="6738"/>
      </w:tblGrid>
      <w:tr w:rsidR="6E7B04F9" w:rsidTr="7C2CDCB8" w14:paraId="740B5B69">
        <w:trPr>
          <w:trHeight w:val="300"/>
          <w:tblHeader/>
        </w:trPr>
        <w:tc>
          <w:tcPr>
            <w:tcW w:w="2900" w:type="dxa"/>
            <w:tcMar/>
          </w:tcPr>
          <w:p w:rsidR="6E7B04F9" w:rsidRDefault="6E7B04F9" w14:noSpellErr="1" w14:paraId="2479B81C" w14:textId="3A5A1869">
            <w:r w:rsidR="6E7B04F9">
              <w:rPr/>
              <w:t>Term</w:t>
            </w:r>
          </w:p>
        </w:tc>
        <w:tc>
          <w:tcPr>
            <w:tcW w:w="6738" w:type="dxa"/>
            <w:tcMar/>
          </w:tcPr>
          <w:p w:rsidR="6E7B04F9" w:rsidRDefault="6E7B04F9" w14:noSpellErr="1" w14:paraId="2B052354" w14:textId="3337FF2D">
            <w:r w:rsidR="6E7B04F9">
              <w:rPr/>
              <w:t>Indicative proposal</w:t>
            </w:r>
          </w:p>
        </w:tc>
      </w:tr>
      <w:tr w:rsidR="6E7B04F9" w:rsidTr="7C2CDCB8" w14:paraId="62589B38">
        <w:tc>
          <w:tcPr>
            <w:tcW w:w="2900" w:type="dxa"/>
            <w:tcMar/>
          </w:tcPr>
          <w:p w:rsidR="6E7B04F9" w:rsidRDefault="6E7B04F9" w14:noSpellErr="1" w14:paraId="4B682A6B" w14:textId="4A4D5FA2">
            <w:r w:rsidR="6E7B04F9">
              <w:rPr/>
              <w:t>Borrower</w:t>
            </w:r>
          </w:p>
        </w:tc>
        <w:tc>
          <w:tcPr>
            <w:tcW w:w="6738" w:type="dxa"/>
            <w:tcMar/>
          </w:tcPr>
          <w:p w:rsidR="6E7B04F9" w:rsidRDefault="6E7B04F9" w14:noSpellErr="1" w14:paraId="28C8B9F7" w14:textId="432B4666">
            <w:r w:rsidR="6E7B04F9">
              <w:rPr/>
              <w:t>Fabrikam Europe GmbH</w:t>
            </w:r>
          </w:p>
        </w:tc>
      </w:tr>
      <w:tr w:rsidR="6E7B04F9" w:rsidTr="7C2CDCB8" w14:paraId="60F1A7F0">
        <w:tc>
          <w:tcPr>
            <w:tcW w:w="2900" w:type="dxa"/>
            <w:tcMar/>
          </w:tcPr>
          <w:p w:rsidR="6E7B04F9" w:rsidRDefault="6E7B04F9" w14:noSpellErr="1" w14:paraId="3455BC90" w14:textId="5A40A6DB">
            <w:r w:rsidR="6E7B04F9">
              <w:rPr/>
              <w:t>Guarantor</w:t>
            </w:r>
          </w:p>
        </w:tc>
        <w:tc>
          <w:tcPr>
            <w:tcW w:w="6738" w:type="dxa"/>
            <w:tcMar/>
          </w:tcPr>
          <w:p w:rsidR="6E7B04F9" w:rsidRDefault="6E7B04F9" w14:noSpellErr="1" w14:paraId="32A72F30" w14:textId="531E8D9F">
            <w:r w:rsidR="6E7B04F9">
              <w:rPr/>
              <w:t>Fabrikam Industries Co., Ltd. (parent guarantee)</w:t>
            </w:r>
          </w:p>
        </w:tc>
      </w:tr>
      <w:tr w:rsidR="6E7B04F9" w:rsidTr="7C2CDCB8" w14:paraId="1CFDC59D">
        <w:tc>
          <w:tcPr>
            <w:tcW w:w="2900" w:type="dxa"/>
            <w:tcMar/>
          </w:tcPr>
          <w:p w:rsidR="6E7B04F9" w:rsidRDefault="6E7B04F9" w14:noSpellErr="1" w14:paraId="2ABD6B10" w14:textId="6A33EE14">
            <w:r w:rsidR="6E7B04F9">
              <w:rPr/>
              <w:t>Term Loan A</w:t>
            </w:r>
          </w:p>
        </w:tc>
        <w:tc>
          <w:tcPr>
            <w:tcW w:w="6738" w:type="dxa"/>
            <w:tcMar/>
          </w:tcPr>
          <w:p w:rsidR="6E7B04F9" w:rsidRDefault="6E7B04F9" w14:noSpellErr="1" w14:paraId="6B50D681" w14:textId="6311D4D8">
            <w:r w:rsidR="6E7B04F9">
              <w:rPr/>
              <w:t>€600m, 5 years, drawn at closing to fund the acquisition</w:t>
            </w:r>
          </w:p>
        </w:tc>
      </w:tr>
      <w:tr w:rsidR="6E7B04F9" w:rsidTr="7C2CDCB8" w14:paraId="61C826C0">
        <w:tc>
          <w:tcPr>
            <w:tcW w:w="2900" w:type="dxa"/>
            <w:tcMar/>
          </w:tcPr>
          <w:p w:rsidR="6E7B04F9" w:rsidRDefault="6E7B04F9" w14:noSpellErr="1" w14:paraId="3BB40F9D" w14:textId="7A27354D">
            <w:r w:rsidR="6E7B04F9">
              <w:rPr/>
              <w:t>Revolving Credit Facility</w:t>
            </w:r>
          </w:p>
        </w:tc>
        <w:tc>
          <w:tcPr>
            <w:tcW w:w="6738" w:type="dxa"/>
            <w:tcMar/>
          </w:tcPr>
          <w:p w:rsidR="6E7B04F9" w:rsidRDefault="6E7B04F9" w14:noSpellErr="1" w14:paraId="2728E96F" w14:textId="73051C11">
            <w:r w:rsidR="6E7B04F9">
              <w:rPr/>
              <w:t>€200m, 5 years, undrawn at closing</w:t>
            </w:r>
          </w:p>
        </w:tc>
      </w:tr>
      <w:tr w:rsidR="6E7B04F9" w:rsidTr="7C2CDCB8" w14:paraId="4D821F8C">
        <w:tc>
          <w:tcPr>
            <w:tcW w:w="2900" w:type="dxa"/>
            <w:tcMar/>
          </w:tcPr>
          <w:p w:rsidR="6E7B04F9" w:rsidRDefault="6E7B04F9" w14:noSpellErr="1" w14:paraId="7B19DD4F" w14:textId="0A1A7C86">
            <w:r w:rsidR="6E7B04F9">
              <w:rPr/>
              <w:t>Margin</w:t>
            </w:r>
          </w:p>
        </w:tc>
        <w:tc>
          <w:tcPr>
            <w:tcW w:w="6738" w:type="dxa"/>
            <w:tcMar/>
          </w:tcPr>
          <w:p w:rsidR="6E7B04F9" w:rsidRDefault="6E7B04F9" w14:noSpellErr="1" w14:paraId="3F7CE395" w14:textId="02F8634A">
            <w:r w:rsidR="6E7B04F9">
              <w:rPr/>
              <w:t>Term Loan A: EURIBOR + 135 bps; Revolving Credit Facility: EURIBOR + 110 bps</w:t>
            </w:r>
          </w:p>
        </w:tc>
      </w:tr>
      <w:tr w:rsidR="6E7B04F9" w:rsidTr="7C2CDCB8" w14:paraId="470559A8">
        <w:tc>
          <w:tcPr>
            <w:tcW w:w="2900" w:type="dxa"/>
            <w:tcMar/>
          </w:tcPr>
          <w:p w:rsidR="6E7B04F9" w:rsidRDefault="6E7B04F9" w14:noSpellErr="1" w14:paraId="373D8305" w14:textId="1A0DC3BF">
            <w:r w:rsidR="6E7B04F9">
              <w:rPr/>
              <w:t>Commitment fee</w:t>
            </w:r>
          </w:p>
        </w:tc>
        <w:tc>
          <w:tcPr>
            <w:tcW w:w="6738" w:type="dxa"/>
            <w:tcMar/>
          </w:tcPr>
          <w:p w:rsidR="6E7B04F9" w:rsidRDefault="6E7B04F9" w14:noSpellErr="1" w14:paraId="54E1E527" w14:textId="12EBAA83">
            <w:r w:rsidR="6E7B04F9">
              <w:rPr/>
              <w:t>35% of the applicable margin, on undrawn amounts</w:t>
            </w:r>
          </w:p>
        </w:tc>
      </w:tr>
      <w:tr w:rsidR="6E7B04F9" w:rsidTr="7C2CDCB8" w14:paraId="6B61F5B2">
        <w:tc>
          <w:tcPr>
            <w:tcW w:w="2900" w:type="dxa"/>
            <w:tcMar/>
          </w:tcPr>
          <w:p w:rsidR="6E7B04F9" w:rsidRDefault="6E7B04F9" w14:noSpellErr="1" w14:paraId="651DAAD9" w14:textId="2A010AF8">
            <w:r w:rsidR="6E7B04F9">
              <w:rPr/>
              <w:t>Upfront fee</w:t>
            </w:r>
          </w:p>
        </w:tc>
        <w:tc>
          <w:tcPr>
            <w:tcW w:w="6738" w:type="dxa"/>
            <w:tcMar/>
          </w:tcPr>
          <w:p w:rsidR="6E7B04F9" w:rsidRDefault="6E7B04F9" w14:noSpellErr="1" w14:paraId="6293CE61" w14:textId="22DEF1BC">
            <w:r w:rsidR="6E7B04F9">
              <w:rPr/>
              <w:t>To be agreed</w:t>
            </w:r>
          </w:p>
        </w:tc>
      </w:tr>
    </w:tbl>
    <w:p w:rsidR="6E7B04F9" w:rsidP="6E7B04F9" w:rsidRDefault="6E7B04F9" w14:noSpellErr="1" w14:paraId="64DDC3F9" w14:textId="5F186DA0">
      <w:pPr>
        <w:pStyle w:val="Heading2"/>
      </w:pPr>
      <w:r w:rsidR="6E7B04F9">
        <w:rPr/>
        <w:t>Optional sustainability-linked margin adjustment</w:t>
      </w:r>
    </w:p>
    <w:p w:rsidR="6E7B04F9" w:rsidRDefault="6E7B04F9" w14:paraId="675DEC7F" w14:textId="619BF92F" w14:noSpellErr="1">
      <w:r w:rsidR="16454B98">
        <w:rPr/>
        <w:t>We propose an optional margin adjustment of ±5 bps linked to two KPIs: the battery-material recovery rate at the Contoso plants and Scope 1 &amp; 2 emissions intensity. We recommend an external review of the KPIs to confirm their alignment with market principles; the feature would be finalised after satisfactory ESG due diligence.</w:t>
      </w:r>
    </w:p>
    <w:p w:rsidR="6E7B04F9" w:rsidP="6E7B04F9" w:rsidRDefault="6E7B04F9" w14:noSpellErr="1" w14:paraId="7E65860F" w14:textId="670B5809">
      <w:pPr>
        <w:pStyle w:val="Heading1"/>
      </w:pPr>
      <w:r w:rsidR="6E7B04F9">
        <w:rPr/>
        <w:t>MUFG’s proposed role and hedging support</w:t>
      </w:r>
    </w:p>
    <w:p w:rsidR="6E7B04F9" w:rsidRDefault="6E7B04F9" w14:paraId="100DF2D1" w14:textId="1C03CEEC" w14:noSpellErr="1">
      <w:r w:rsidR="16454B98">
        <w:rPr/>
        <w:t>MUFG would act as Mandated Lead Arranger and Bookrunner, and would welcome the role of hedging coordinator. We would be glad to discuss the syndicate approach, including the possible role of Woodgrove Bank as co-arranger. MUFG’s final commitment will be confirmed once our credit approval process is complete.</w:t>
      </w:r>
    </w:p>
    <w:p w:rsidR="6E7B04F9" w:rsidRDefault="6E7B04F9" w14:paraId="7AAD35F0" w14:textId="289D2F60" w14:noSpellErr="1">
      <w:r w:rsidR="16454B98">
        <w:rPr/>
        <w:t>MUFG Global Markets would support EUR/JPY foreign exchange hedging on part of the purchase price and interest-rate hedging on around 70% of the Term Loan A. Hedging would be documented under the existing ISDA agreement with Fabrikam Europe GmbH; the credit support annex needs an amendment, which typically takes 3–4 weeks. We propose a working session with your treasury team to agree the hedging strategy, including JPY execution.</w:t>
      </w:r>
    </w:p>
    <w:p w:rsidR="6E7B04F9" w:rsidP="6E7B04F9" w:rsidRDefault="6E7B04F9" w14:noSpellErr="1" w14:paraId="6BFD341B" w14:textId="4F7AEA66">
      <w:pPr>
        <w:pStyle w:val="Heading1"/>
      </w:pPr>
      <w:r w:rsidR="6E7B04F9">
        <w:rPr/>
        <w:t>Cash management and onboarding</w:t>
      </w:r>
    </w:p>
    <w:p w:rsidR="6E7B04F9" w:rsidRDefault="6E7B04F9" w14:paraId="5FCB37E9" w14:textId="2C28A62A" w14:noSpellErr="1">
      <w:r w:rsidR="16454B98">
        <w:rPr/>
        <w:t>We would provide accounts in the Netherlands and France and cash pooling that includes Fabrikam Middle East FZE in the UAE. Indicative lead times after know-your-customer (KYC) clearance:</w:t>
      </w:r>
    </w:p>
    <w:tbl>
      <w:tblPr>
        <w:tblStyle w:val="MediumShading1-Accent1"/>
        <w:tblW w:w="9638" w:type="dxa"/>
        <w:tblLook w:val="04A0" w:firstRow="1" w:lastRow="0" w:firstColumn="1" w:lastColumn="0" w:noHBand="0" w:noVBand="1"/>
      </w:tblPr>
      <w:tblGrid>
        <w:gridCol w:w="1700"/>
        <w:gridCol w:w="5438"/>
        <w:gridCol w:w="2500"/>
      </w:tblGrid>
      <w:tr w:rsidR="6E7B04F9" w:rsidTr="7C2CDCB8" w14:paraId="690433C9">
        <w:trPr>
          <w:trHeight w:val="300"/>
          <w:tblHeader/>
        </w:trPr>
        <w:tc>
          <w:tcPr>
            <w:tcW w:w="1700" w:type="dxa"/>
            <w:tcMar/>
          </w:tcPr>
          <w:p w:rsidR="6E7B04F9" w:rsidRDefault="6E7B04F9" w14:noSpellErr="1" w14:paraId="36864BF3" w14:textId="70F04118">
            <w:r w:rsidR="6E7B04F9">
              <w:rPr/>
              <w:t>Location</w:t>
            </w:r>
          </w:p>
        </w:tc>
        <w:tc>
          <w:tcPr>
            <w:tcW w:w="5438" w:type="dxa"/>
            <w:tcMar/>
          </w:tcPr>
          <w:p w:rsidR="6E7B04F9" w:rsidRDefault="6E7B04F9" w14:noSpellErr="1" w14:paraId="208822EB" w14:textId="69CE27DC">
            <w:r w:rsidR="6E7B04F9">
              <w:rPr/>
              <w:t>Entity or service</w:t>
            </w:r>
          </w:p>
        </w:tc>
        <w:tc>
          <w:tcPr>
            <w:tcW w:w="2500" w:type="dxa"/>
            <w:tcMar/>
          </w:tcPr>
          <w:p w:rsidR="6E7B04F9" w:rsidRDefault="6E7B04F9" w14:noSpellErr="1" w14:paraId="44251305" w14:textId="62AC0EA0">
            <w:r w:rsidR="6E7B04F9">
              <w:rPr/>
              <w:t>Indicative lead time</w:t>
            </w:r>
          </w:p>
        </w:tc>
      </w:tr>
      <w:tr w:rsidR="6E7B04F9" w:rsidTr="7C2CDCB8" w14:paraId="28871BFD">
        <w:tc>
          <w:tcPr>
            <w:tcW w:w="1700" w:type="dxa"/>
            <w:tcMar/>
          </w:tcPr>
          <w:p w:rsidR="6E7B04F9" w:rsidRDefault="6E7B04F9" w14:noSpellErr="1" w14:paraId="6F04AA3B" w14:textId="79C16F15">
            <w:r w:rsidR="6E7B04F9">
              <w:rPr/>
              <w:t>Netherlands</w:t>
            </w:r>
          </w:p>
        </w:tc>
        <w:tc>
          <w:tcPr>
            <w:tcW w:w="5438" w:type="dxa"/>
            <w:tcMar/>
          </w:tcPr>
          <w:p w:rsidR="6E7B04F9" w:rsidRDefault="6E7B04F9" w14:noSpellErr="1" w14:paraId="17D86611" w14:textId="729F55D9">
            <w:r w:rsidR="6E7B04F9">
              <w:rPr/>
              <w:t>Accounts – Contoso Energy Materials B.V.</w:t>
            </w:r>
          </w:p>
        </w:tc>
        <w:tc>
          <w:tcPr>
            <w:tcW w:w="2500" w:type="dxa"/>
            <w:tcMar/>
          </w:tcPr>
          <w:p w:rsidR="6E7B04F9" w:rsidRDefault="6E7B04F9" w14:noSpellErr="1" w14:paraId="28E85ADC" w14:textId="6B7D3C9D">
            <w:r w:rsidR="6E7B04F9">
              <w:rPr/>
              <w:t>2–3 weeks</w:t>
            </w:r>
          </w:p>
        </w:tc>
      </w:tr>
      <w:tr w:rsidR="6E7B04F9" w:rsidTr="7C2CDCB8" w14:paraId="57FAA2F6">
        <w:tc>
          <w:tcPr>
            <w:tcW w:w="1700" w:type="dxa"/>
            <w:tcMar/>
          </w:tcPr>
          <w:p w:rsidR="6E7B04F9" w:rsidRDefault="6E7B04F9" w14:noSpellErr="1" w14:paraId="7C01BF2B" w14:textId="02929D12">
            <w:r w:rsidR="6E7B04F9">
              <w:rPr/>
              <w:t>France</w:t>
            </w:r>
          </w:p>
        </w:tc>
        <w:tc>
          <w:tcPr>
            <w:tcW w:w="5438" w:type="dxa"/>
            <w:tcMar/>
          </w:tcPr>
          <w:p w:rsidR="6E7B04F9" w:rsidRDefault="6E7B04F9" w14:noSpellErr="1" w14:paraId="74B4B8B1" w14:textId="7B7083D6">
            <w:r w:rsidR="6E7B04F9">
              <w:rPr/>
              <w:t>Accounts – Contoso Energy Materials France SAS</w:t>
            </w:r>
          </w:p>
        </w:tc>
        <w:tc>
          <w:tcPr>
            <w:tcW w:w="2500" w:type="dxa"/>
            <w:tcMar/>
          </w:tcPr>
          <w:p w:rsidR="6E7B04F9" w:rsidRDefault="6E7B04F9" w14:noSpellErr="1" w14:paraId="46943B7B" w14:textId="744E6A9A">
            <w:r w:rsidR="6E7B04F9">
              <w:rPr/>
              <w:t>3–4 weeks</w:t>
            </w:r>
          </w:p>
        </w:tc>
      </w:tr>
      <w:tr w:rsidR="6E7B04F9" w:rsidTr="7C2CDCB8" w14:paraId="586C3CA7">
        <w:tc>
          <w:tcPr>
            <w:tcW w:w="1700" w:type="dxa"/>
            <w:tcMar/>
          </w:tcPr>
          <w:p w:rsidR="6E7B04F9" w:rsidRDefault="6E7B04F9" w14:noSpellErr="1" w14:paraId="63B4F437" w14:textId="0B63CB0F">
            <w:r w:rsidR="6E7B04F9">
              <w:rPr/>
              <w:t>UAE</w:t>
            </w:r>
          </w:p>
        </w:tc>
        <w:tc>
          <w:tcPr>
            <w:tcW w:w="5438" w:type="dxa"/>
            <w:tcMar/>
          </w:tcPr>
          <w:p w:rsidR="6E7B04F9" w:rsidRDefault="6E7B04F9" w14:noSpellErr="1" w14:paraId="4FAEFFD8" w14:textId="0441B1D3">
            <w:r w:rsidR="6E7B04F9">
              <w:rPr/>
              <w:t>Cash pooling including Fabrikam Middle East FZE</w:t>
            </w:r>
          </w:p>
        </w:tc>
        <w:tc>
          <w:tcPr>
            <w:tcW w:w="2500" w:type="dxa"/>
            <w:tcMar/>
          </w:tcPr>
          <w:p w:rsidR="6E7B04F9" w:rsidRDefault="6E7B04F9" w14:paraId="380186D6" w14:textId="7D1F9897" w14:noSpellErr="1">
            <w:r w:rsidR="16454B98">
              <w:rPr/>
              <w:t>6–8 weeks</w:t>
            </w:r>
          </w:p>
        </w:tc>
      </w:tr>
    </w:tbl>
    <w:p w:rsidR="6E7B04F9" w:rsidRDefault="6E7B04F9" w14:paraId="55F35CBE" w14:textId="70A30620" w14:noSpellErr="1">
      <w:r w:rsidR="16454B98">
        <w:rPr/>
        <w:t>To keep to this timetable, we would be grateful for ownership and director information on the Contoso entities, board resolutions and specimen signatures for the UAE accounts, and named treasury contacts for onboarding and the closing funds flow. We suggest starting the UAE documentation now, in parallel with KYC.</w:t>
      </w:r>
    </w:p>
    <w:p w:rsidR="6E7B04F9" w:rsidP="6E7B04F9" w:rsidRDefault="6E7B04F9" w14:noSpellErr="1" w14:paraId="49377EE6" w14:textId="54E9B47D">
      <w:pPr>
        <w:pStyle w:val="Heading1"/>
      </w:pPr>
      <w:r w:rsidR="6E7B04F9">
        <w:rPr/>
        <w:t>Indicative timeline</w:t>
      </w:r>
    </w:p>
    <w:tbl>
      <w:tblPr>
        <w:tblStyle w:val="MediumShading1-Accent1"/>
        <w:tblW w:w="9638" w:type="dxa"/>
        <w:tblLook w:val="04A0" w:firstRow="1" w:lastRow="0" w:firstColumn="1" w:lastColumn="0" w:noHBand="0" w:noVBand="1"/>
      </w:tblPr>
      <w:tblGrid>
        <w:gridCol w:w="2900"/>
        <w:gridCol w:w="6738"/>
      </w:tblGrid>
      <w:tr w:rsidR="6E7B04F9" w:rsidTr="7C2CDCB8" w14:paraId="74789A45">
        <w:trPr>
          <w:trHeight w:val="300"/>
          <w:tblHeader/>
        </w:trPr>
        <w:tc>
          <w:tcPr>
            <w:tcW w:w="2900" w:type="dxa"/>
            <w:tcMar/>
          </w:tcPr>
          <w:p w:rsidR="6E7B04F9" w:rsidRDefault="6E7B04F9" w14:noSpellErr="1" w14:paraId="1CB9C002" w14:textId="05F0C694">
            <w:r w:rsidR="6E7B04F9">
              <w:rPr/>
              <w:t>Timing</w:t>
            </w:r>
          </w:p>
        </w:tc>
        <w:tc>
          <w:tcPr>
            <w:tcW w:w="6738" w:type="dxa"/>
            <w:tcMar/>
          </w:tcPr>
          <w:p w:rsidR="6E7B04F9" w:rsidRDefault="6E7B04F9" w14:noSpellErr="1" w14:paraId="77FB623A" w14:textId="7ECEAD58">
            <w:r w:rsidR="6E7B04F9">
              <w:rPr/>
              <w:t>Step</w:t>
            </w:r>
          </w:p>
        </w:tc>
      </w:tr>
      <w:tr w:rsidR="6E7B04F9" w:rsidTr="7C2CDCB8" w14:paraId="6CBA9B70">
        <w:tc>
          <w:tcPr>
            <w:tcW w:w="2900" w:type="dxa"/>
            <w:tcMar/>
          </w:tcPr>
          <w:p w:rsidR="6E7B04F9" w:rsidRDefault="6E7B04F9" w14:noSpellErr="1" w14:paraId="6B4431F5" w14:textId="15E40DCD">
            <w:r w:rsidR="6E7B04F9">
              <w:rPr/>
              <w:t>Friday 6 November 2026</w:t>
            </w:r>
          </w:p>
        </w:tc>
        <w:tc>
          <w:tcPr>
            <w:tcW w:w="6738" w:type="dxa"/>
            <w:tcMar/>
          </w:tcPr>
          <w:p w:rsidR="6E7B04F9" w:rsidRDefault="6E7B04F9" w14:noSpellErr="1" w14:paraId="3BA67B0D" w14:textId="0EC1F491">
            <w:r w:rsidR="6E7B04F9">
              <w:rPr/>
              <w:t>Indicative, non-binding proposal (this note)</w:t>
            </w:r>
          </w:p>
        </w:tc>
      </w:tr>
      <w:tr w:rsidR="6E7B04F9" w:rsidTr="7C2CDCB8" w14:paraId="62DA9307">
        <w:tc>
          <w:tcPr>
            <w:tcW w:w="2900" w:type="dxa"/>
            <w:tcMar/>
          </w:tcPr>
          <w:p w:rsidR="6E7B04F9" w:rsidRDefault="6E7B04F9" w14:noSpellErr="1" w14:paraId="11D2E62D" w14:textId="25D75506">
            <w:r w:rsidR="6E7B04F9">
              <w:rPr/>
              <w:t>November 2026</w:t>
            </w:r>
          </w:p>
        </w:tc>
        <w:tc>
          <w:tcPr>
            <w:tcW w:w="6738" w:type="dxa"/>
            <w:tcMar/>
          </w:tcPr>
          <w:p w:rsidR="6E7B04F9" w:rsidRDefault="6E7B04F9" w14:noSpellErr="1" w14:paraId="2EAAA144" w14:textId="1EB53BCA">
            <w:r w:rsidR="6E7B04F9">
              <w:rPr/>
              <w:t>Due diligence (including KYC and ESG), MUFG credit approval, hedging working session and account documentation</w:t>
            </w:r>
          </w:p>
        </w:tc>
      </w:tr>
      <w:tr w:rsidR="6E7B04F9" w:rsidTr="7C2CDCB8" w14:paraId="424722B4">
        <w:tc>
          <w:tcPr>
            <w:tcW w:w="2900" w:type="dxa"/>
            <w:tcMar/>
          </w:tcPr>
          <w:p w:rsidR="6E7B04F9" w:rsidRDefault="6E7B04F9" w14:noSpellErr="1" w14:paraId="446E1BAE" w14:textId="35CA9C3F">
            <w:r w:rsidR="6E7B04F9">
              <w:rPr/>
              <w:t>Mid-December 2026</w:t>
            </w:r>
          </w:p>
        </w:tc>
        <w:tc>
          <w:tcPr>
            <w:tcW w:w="6738" w:type="dxa"/>
            <w:tcMar/>
          </w:tcPr>
          <w:p w:rsidR="6E7B04F9" w:rsidRDefault="6E7B04F9" w14:noSpellErr="1" w14:paraId="156E4C96" w14:textId="2EA88303">
            <w:r w:rsidR="6E7B04F9">
              <w:rPr/>
              <w:t>Target signing; we are reviewing your request for an early-December signing and will come back to you</w:t>
            </w:r>
          </w:p>
        </w:tc>
      </w:tr>
      <w:tr w:rsidR="6E7B04F9" w:rsidTr="7C2CDCB8" w14:paraId="111C2F05">
        <w:tc>
          <w:tcPr>
            <w:tcW w:w="2900" w:type="dxa"/>
            <w:tcMar/>
          </w:tcPr>
          <w:p w:rsidR="6E7B04F9" w:rsidRDefault="6E7B04F9" w14:noSpellErr="1" w14:paraId="24590995" w14:textId="45BDE378">
            <w:r w:rsidR="6E7B04F9">
              <w:rPr/>
              <w:t>Q1 2027</w:t>
            </w:r>
          </w:p>
        </w:tc>
        <w:tc>
          <w:tcPr>
            <w:tcW w:w="6738" w:type="dxa"/>
            <w:tcMar/>
          </w:tcPr>
          <w:p w:rsidR="6E7B04F9" w:rsidRDefault="6E7B04F9" w14:noSpellErr="1" w14:paraId="660D0596" w14:textId="3E9BCA3C">
            <w:r w:rsidR="6E7B04F9">
              <w:rPr/>
              <w:t>Closing, subject to merger-control approvals</w:t>
            </w:r>
          </w:p>
        </w:tc>
      </w:tr>
    </w:tbl>
    <w:p w:rsidR="6E7B04F9" w:rsidP="6E7B04F9" w:rsidRDefault="6E7B04F9" w14:noSpellErr="1" w14:paraId="1C63AC2A" w14:textId="16CD1BE0">
      <w:pPr>
        <w:pStyle w:val="Heading1"/>
      </w:pPr>
      <w:r w:rsidR="6E7B04F9">
        <w:rPr/>
        <w:t>Next steps</w:t>
      </w:r>
    </w:p>
    <w:p w:rsidR="6E7B04F9" w:rsidP="6E7B04F9" w:rsidRDefault="6E7B04F9" w14:paraId="215B565A" w14:textId="450E49D8" w14:noSpellErr="1">
      <w:pPr>
        <w:pStyle w:val="ListBullet"/>
        <w:rPr/>
      </w:pPr>
      <w:r w:rsidR="16454B98">
        <w:rPr/>
        <w:t>Your feedback on this indicative approach.</w:t>
      </w:r>
    </w:p>
    <w:p w:rsidR="6E7B04F9" w:rsidP="6E7B04F9" w:rsidRDefault="6E7B04F9" w14:paraId="258D0795" w14:textId="3E5ED73B" w14:noSpellErr="1">
      <w:pPr>
        <w:pStyle w:val="ListBullet"/>
        <w:rPr/>
      </w:pPr>
      <w:r w:rsidR="16454B98">
        <w:rPr/>
        <w:t>A date for the hedging working session with MUFG Global Markets.</w:t>
      </w:r>
    </w:p>
    <w:p w:rsidR="6E7B04F9" w:rsidP="6E7B04F9" w:rsidRDefault="6E7B04F9" w14:paraId="757ACC0E" w14:textId="445EAF02" w14:noSpellErr="1">
      <w:pPr>
        <w:pStyle w:val="ListBullet"/>
        <w:rPr/>
      </w:pPr>
      <w:r w:rsidR="16454B98">
        <w:rPr/>
        <w:t>KYC information and named treasury contacts for onboarding.</w:t>
      </w:r>
    </w:p>
    <w:p w:rsidR="6E7B04F9" w:rsidP="6E7B04F9" w:rsidRDefault="6E7B04F9" w14:paraId="20A3DAC1" w14:textId="3DD2E136" w14:noSpellErr="1">
      <w:pPr>
        <w:pStyle w:val="ListBullet"/>
        <w:rPr/>
      </w:pPr>
      <w:r w:rsidR="16454B98">
        <w:rPr/>
        <w:t>Your views on the syndicate approach and any preferred co-arranger.</w:t>
      </w:r>
    </w:p>
    <w:p w:rsidR="6E7B04F9" w:rsidP="6E7B04F9" w:rsidRDefault="6E7B04F9" w14:noSpellErr="1" w14:paraId="229BB6F3" w14:textId="7B5C7F14">
      <w:pPr>
        <w:pStyle w:val="Heading2"/>
      </w:pPr>
      <w:r w:rsidR="6E7B04F9">
        <w:rPr/>
        <w:t>Important notice</w:t>
      </w:r>
    </w:p>
    <w:p w:rsidR="6E7B04F9" w:rsidRDefault="6E7B04F9" w14:noSpellErr="1" w14:paraId="6E9196A6" w14:textId="1124093B">
      <w:r w:rsidRPr="6E7B04F9" w:rsidR="6E7B04F9">
        <w:rPr>
          <w:i w:val="1"/>
          <w:iCs w:val="1"/>
          <w:sz w:val="20"/>
          <w:szCs w:val="20"/>
        </w:rPr>
        <w:t>This briefing is indicative and non-binding. It does not constitute an offer or a commitment by MUFG to arrange, underwrite or provide any financing. Any financing remains subject to MUFG’s credit approval, satisfactory due diligence (including KYC and ESG due diligence), mutually acceptable documentation and market conditions.</w:t>
      </w:r>
    </w:p>
    <w:p w:rsidR="6E7B04F9" w:rsidRDefault="6E7B04F9" w14:noSpellErr="1" w14:paraId="1AF0C549" w14:textId="17207D7C">
      <w:r w:rsidR="6E7B04F9">
        <w:rPr/>
        <w:t>We look forward to continuing our work with you on this important transaction.</w:t>
      </w:r>
    </w:p>
    <w:p w:rsidR="6E7B04F9" w:rsidRDefault="6E7B04F9" w14:noSpellErr="1" w14:paraId="4C660248" w14:textId="3B9FFCB4">
      <w:r w:rsidRPr="6E7B04F9" w:rsidR="6E7B04F9">
        <w:rPr>
          <w:b w:val="1"/>
          <w:bCs w:val="1"/>
        </w:rPr>
        <w:t>Thomas Brennan</w:t>
      </w:r>
    </w:p>
    <w:p w:rsidR="6E7B04F9" w:rsidRDefault="6E7B04F9" w14:noSpellErr="1" w14:paraId="2ECC750E" w14:textId="351F6932">
      <w:r w:rsidRPr="6E7B04F9" w:rsidR="6E7B04F9">
        <w:rPr>
          <w:color w:val="595959"/>
          <w:sz w:val="20"/>
          <w:szCs w:val="20"/>
        </w:rPr>
        <w:t>Director, Senior Relationship Manager – Japanese Corporates &amp; Industrials, MUFG EMEA  |  thomas.brennan@mufg-demo.example</w:t>
      </w:r>
    </w:p>
    <w:sectPr w:rsidRPr="0006063C" w:rsidR="00FC693F" w:rsidSect="00034616">
      <w:pgSz w:w="11906" w:h="16838" w:orient="portrait"/>
      <w:pgMar w:top="1134" w:right="1134" w:bottom="1134" w:left="1134" w:header="720" w:footer="720" w:gutter="0"/>
      <w:cols w:space="720"/>
      <w:docGrid w:linePitch="360"/>
      <w:headerReference w:type="default" r:id="R860660065535496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6E7B04F9" w:rsidRDefault="6E7B04F9" p2:noSpellErr="1" w14:paraId="31B99FC2" w14:textId="1D0A2EE4">
    <w:r w:rsidR="6E7B04F9">
      <w:rPr/>
      <w:t>FICTIONAL – FOR TRAINING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AC20D"/>
    <w:rsid w:val="02EAC20D"/>
    <w:rsid w:val="12B1EED7"/>
    <w:rsid w:val="16454B98"/>
    <w:rsid w:val="19B8A522"/>
    <w:rsid w:val="1AB1DC23"/>
    <w:rsid w:val="1AB1DC23"/>
    <w:rsid w:val="1BC153C5"/>
    <w:rsid w:val="23BB2170"/>
    <w:rsid w:val="2CD20244"/>
    <w:rsid w:val="39E24AC5"/>
    <w:rsid w:val="3A2C7FB5"/>
    <w:rsid w:val="3B466354"/>
    <w:rsid w:val="428EE24F"/>
    <w:rsid w:val="44EAD8E1"/>
    <w:rsid w:val="456456A7"/>
    <w:rsid w:val="46EEC393"/>
    <w:rsid w:val="576A3687"/>
    <w:rsid w:val="5DBD960E"/>
    <w:rsid w:val="637957A8"/>
    <w:rsid w:val="6E7B04F9"/>
    <w:rsid w:val="6FCA508C"/>
    <w:rsid w:val="6FCA508C"/>
    <w:rsid w:val="7900ACFE"/>
    <w:rsid w:val="7900ACFE"/>
    <w:rsid w:val="7C2CD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B3A901C-22A6-47B1-983E-64C12DBE17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860660065535496e" /></Relationships>
</file>

<file path=word/theme/theme1.xml><?xml version="1.0" encoding="utf-8"?>
<a:theme xmlns:a="http://schemas.openxmlformats.org/drawingml/2006/main" name="Office Theme">
  <a:themeElements>
    <a:clrScheme name="Custom 1B4F72">
      <a:dk1>
        <a:srgbClr val="262626"/>
      </a:dk1>
      <a:lt1>
        <a:srgbClr val="FFFFFF"/>
      </a:lt1>
      <a:dk2>
        <a:srgbClr val="1B4F72"/>
      </a:dk2>
      <a:lt2>
        <a:srgbClr val="EEECE1"/>
      </a:lt2>
      <a:accent1>
        <a:srgbClr val="1B4F72"/>
      </a:accent1>
      <a:accent2>
        <a:srgbClr val="7F7F7F"/>
      </a:accent2>
      <a:accent3>
        <a:srgbClr val="1B4F72"/>
      </a:accent3>
      <a:accent4>
        <a:srgbClr val="1B4F72"/>
      </a:accent4>
      <a:accent5>
        <a:srgbClr val="1B4F72"/>
      </a:accent5>
      <a:accent6>
        <a:srgbClr val="1B4F72"/>
      </a:accent6>
      <a:hlink>
        <a:srgbClr val="1B4F72"/>
      </a:hlink>
      <a:folHlink>
        <a:srgbClr val="7F7F7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3</revision>
  <dcterms:created xsi:type="dcterms:W3CDTF">2026-10-03T13:52:31.0000000Z</dcterms:created>
  <dcterms:modified xsi:type="dcterms:W3CDTF">2026-10-03T14:16:19.9949954Z</dcterms:modified>
  <category/>
</coreProperties>
</file>

<file path=docProps/custom.xml><?xml version="1.0" encoding="utf-8"?>
<Properties xmlns="http://schemas.openxmlformats.org/officeDocument/2006/custom-properties" xmlns:vt="http://schemas.openxmlformats.org/officeDocument/2006/docPropsVTypes"/>
</file>