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58FA8706" w:rsidP="58FA8706" w:rsidRDefault="58FA8706" w14:noSpellErr="1" w14:paraId="586A9669" w14:textId="383208C3">
      <w:pPr>
        <w:jc w:val="center"/>
      </w:pPr>
      <w:r w:rsidRPr="58FA8706" w:rsidR="58FA8706">
        <w:rPr>
          <w:b w:val="1"/>
          <w:bCs w:val="1"/>
          <w:color w:val="C00000"/>
          <w:sz w:val="20"/>
          <w:szCs w:val="20"/>
        </w:rPr>
        <w:t>FICTIONAL – FOR TRAINING USE ONLY</w:t>
      </w:r>
    </w:p>
    <w:p w:rsidR="58FA8706" w:rsidP="58FA8706" w:rsidRDefault="58FA8706" w14:noSpellErr="1" w14:paraId="39D46EF3" w14:textId="2F184D02">
      <w:pPr>
        <w:pStyle w:val="Title"/>
      </w:pPr>
      <w:r w:rsidR="58FA8706">
        <w:rPr/>
        <w:t>Credit Risk Assessment – Fabrikam</w:t>
      </w:r>
    </w:p>
    <w:p w:rsidR="58FA8706" w:rsidP="58FA8706" w:rsidRDefault="58FA8706" w14:noSpellErr="1" w14:paraId="42205F64" w14:textId="19D55653">
      <w:pPr>
        <w:pStyle w:val="Subtitle"/>
        <w:rPr/>
      </w:pPr>
      <w:r w:rsidRPr="58FA8706" w:rsidR="58FA8706">
        <w:rPr>
          <w:color w:val="2F5496" w:themeColor="accent6" w:themeTint="FF" w:themeShade="FF"/>
        </w:rPr>
        <w:t>Project Meridian: €800m acquisition financing for Fabrikam Europe GmbH</w:t>
      </w:r>
    </w:p>
    <w:p w:rsidR="58FA8706" w:rsidRDefault="58FA8706" w14:noSpellErr="1" w14:paraId="51620E18" w14:textId="3E40D46F">
      <w:r w:rsidRPr="58FA8706" w:rsidR="58FA8706">
        <w:rPr>
          <w:b w:val="1"/>
          <w:bCs w:val="1"/>
          <w:color w:val="C55A11"/>
        </w:rPr>
        <w:t>DRAFT v0.2 – for discussion at the 27 October review – not for distribution</w:t>
      </w:r>
    </w:p>
    <w:p w:rsidR="58FA8706" w:rsidRDefault="58FA8706" w14:noSpellErr="1" w14:paraId="686749EC" w14:textId="261AB69D">
      <w:r w:rsidRPr="58FA8706" w:rsidR="58FA8706">
        <w:rPr>
          <w:color w:val="595959" w:themeColor="accent2" w:themeTint="FF" w:themeShade="FF"/>
          <w:sz w:val="20"/>
          <w:szCs w:val="20"/>
        </w:rPr>
        <w:t>Prepared by Elena Rossi, Senior Credit Risk Manager, EMEA Credit Risk  |  Monday 26 October 2026</w:t>
      </w:r>
    </w:p>
    <w:p w:rsidR="58FA8706" w:rsidP="58FA8706" w:rsidRDefault="58FA8706" w14:noSpellErr="1" w14:paraId="74BB9E66" w14:textId="65D776D4">
      <w:pPr>
        <w:pStyle w:val="Heading1"/>
      </w:pPr>
      <w:r w:rsidR="58FA8706">
        <w:rPr/>
        <w:t>1. Summary and recommendation</w:t>
      </w:r>
    </w:p>
    <w:p w:rsidR="58FA8706" w:rsidRDefault="58FA8706" w14:noSpellErr="1" w14:paraId="428D6C4B" w14:textId="49C3EF99">
      <w:r w:rsidR="58FA8706">
        <w:rPr/>
        <w:t>Fabrikam Industries Co., Ltd., a client of MUFG for decades, has asked MUFG EMEA to act as Mandated Lead Arranger (MLA) and Bookrunner for an €800m financing of its acquisition of Contoso Energy Materials B.V., a European battery-materials recycler. This draft is for discussion at the Credit and Compliance Review on Tuesday 27 October 2026.</w:t>
      </w:r>
    </w:p>
    <w:p w:rsidR="58FA8706" w:rsidRDefault="58FA8706" w14:noSpellErr="1" w14:paraId="7EDCB204" w14:textId="709D0E1F">
      <w:r w:rsidR="58FA8706">
        <w:rPr/>
        <w:t>Credit Risk supports the MLA role in principle: the acquisition fits Fabrikam’s strategy, the group has a long and stable relationship with the bank, and the proposed covenants offer reasonable protection. We expect the internal rating to move from BBB stand-alone to BBB- pro-forma, one notch lower because leverage rises.</w:t>
      </w:r>
    </w:p>
    <w:p w:rsidR="58FA8706" w:rsidRDefault="58FA8706" w14:noSpellErr="1" w14:paraId="5E9DD5A0" w14:textId="7C347FED">
      <w:r w:rsidR="58FA8706">
        <w:rPr/>
        <w:t>We recommend a final hold of €200m (the part of the loan MUFG keeps on its own books after syndication). Industrials is already 13.6% of portfolio commitments, above the 13.5% early-warning level and close to the 15% limit, and more Industrials business is in the pipeline.</w:t>
      </w:r>
    </w:p>
    <w:p w:rsidR="58FA8706" w:rsidRDefault="58FA8706" w14:noSpellErr="1" w14:paraId="46B8E3B8" w14:textId="74ACAF02">
      <w:r w:rsidRPr="58FA8706" w:rsidR="58FA8706">
        <w:rPr>
          <w:b w:val="1"/>
          <w:bCs w:val="1"/>
        </w:rPr>
        <w:t>Recommendation: support the MLA role in principle, with a final hold of €200m and the conditions in section 7.</w:t>
      </w:r>
    </w:p>
    <w:p w:rsidR="58FA8706" w:rsidP="58FA8706" w:rsidRDefault="58FA8706" w14:noSpellErr="1" w14:paraId="50533F65" w14:textId="401654D4">
      <w:pPr>
        <w:pStyle w:val="Heading1"/>
      </w:pPr>
      <w:r w:rsidR="58FA8706">
        <w:rPr/>
        <w:t>2. Borrower and group overview</w:t>
      </w:r>
    </w:p>
    <w:p w:rsidR="58FA8706" w:rsidRDefault="58FA8706" w14:noSpellErr="1" w14:paraId="56C9270E" w14:textId="110D3961">
      <w:r w:rsidR="58FA8706">
        <w:rPr/>
        <w:t>Fabrikam Industries Co., Ltd. (Tokyo) makes precision components for electric vehicles (EVs) and industrial automation. The borrower would be Fabrikam Europe GmbH (Düsseldorf), with a parent guarantee; Fabrikam Middle East FZE in Dubai is the group’s regional sales hub.</w:t>
      </w:r>
    </w:p>
    <w:p w:rsidR="58FA8706" w:rsidRDefault="58FA8706" w14:noSpellErr="1" w14:paraId="2E583A33" w14:textId="5E3D7CE4">
      <w:r w:rsidR="58FA8706">
        <w:rPr/>
        <w:t>MUFG EMEA’s existing exposure to the group is €190m: a €150m revolving credit facility for Fabrikam Europe GmbH (drawn €45m) and a €40m trade finance line for Fabrikam Middle East FZE (drawn €26m). Both are performing. The group is rated BBB internally and was last reviewed on 16 March 2026.</w:t>
      </w:r>
    </w:p>
    <w:p w:rsidR="58FA8706" w:rsidRDefault="58FA8706" w14:noSpellErr="1" w14:paraId="4C8F8FB5" w14:textId="7BEEDD91">
      <w:r w:rsidR="58FA8706">
        <w:rPr/>
        <w:t>The target, Contoso Energy Materials B.V. (Eindhoven, Netherlands), recycles battery materials at plants in Eindhoven and Dunkirk (Contoso Energy Materials France SAS). The sellers are Northwind Capital Partners Fund III (88%) and Contoso Management Holdings S.à r.l., a Luxembourg management vehicle (12%). Revenue grew from €620m in 2023 to €790m in 2025 and EBITDA from €78m to €110m, while net debt fell from €160m to €140m.</w:t>
      </w:r>
    </w:p>
    <w:p w:rsidR="58FA8706" w:rsidRDefault="58FA8706" w14:noSpellErr="1" w14:paraId="47DF23A1" w14:textId="75E09102">
      <w:r w:rsidR="58FA8706">
        <w:rPr/>
        <w:t>The deal secures recycled nickel, cobalt and lithium for Fabrikam’s EV business, a ‘closed-loop’ strategy, at an enterprise value of €1,200m (about 10.9x 2025 EBITDA).</w:t>
      </w:r>
    </w:p>
    <w:p w:rsidR="58FA8706" w:rsidP="58FA8706" w:rsidRDefault="58FA8706" w14:noSpellErr="1" w14:paraId="4D1DEF58" w14:textId="75871270">
      <w:pPr>
        <w:pStyle w:val="Heading1"/>
      </w:pPr>
      <w:r w:rsidR="58FA8706">
        <w:rPr/>
        <w:t>3. Transaction overview</w:t>
      </w:r>
    </w:p>
    <w:p w:rsidR="58FA8706" w:rsidRDefault="58FA8706" w14:noSpellErr="1" w14:paraId="57A7F7A7" w14:textId="50ABAC7B">
      <w:r w:rsidR="58FA8706">
        <w:rPr/>
        <w:t>The formal request of Monday 5 October 2026 is for €800m; the rest of the price comes from Fabrikam’s existing cash (bps = basis points; 100 bps = 1%).</w:t>
      </w:r>
    </w:p>
    <w:tbl>
      <w:tblPr>
        <w:tblStyle w:val="MediumShading1-Accent1"/>
        <w:tblW w:w="0" w:type="auto"/>
        <w:tblLook w:val="04A0" w:firstRow="1" w:lastRow="0" w:firstColumn="1" w:lastColumn="0" w:noHBand="0" w:noVBand="1"/>
      </w:tblPr>
      <w:tblGrid>
        <w:gridCol w:w="1750"/>
        <w:gridCol w:w="7276"/>
      </w:tblGrid>
      <w:tr w:rsidR="58FA8706" w:rsidTr="58FA8706" w14:paraId="7B70E94E">
        <w:trPr>
          <w:trHeight w:val="300"/>
        </w:trPr>
        <w:tc>
          <w:tcPr>
            <w:tcW w:w="1750" w:type="dxa"/>
            <w:tcMar/>
          </w:tcPr>
          <w:p w:rsidR="58FA8706" w:rsidRDefault="58FA8706" w14:noSpellErr="1" w14:paraId="2E245390" w14:textId="5A40A6DB">
            <w:r w:rsidR="58FA8706">
              <w:rPr/>
              <w:t>Term</w:t>
            </w:r>
          </w:p>
        </w:tc>
        <w:tc>
          <w:tcPr>
            <w:tcW w:w="7276" w:type="dxa"/>
            <w:tcMar/>
          </w:tcPr>
          <w:p w:rsidR="58FA8706" w:rsidRDefault="58FA8706" w14:noSpellErr="1" w14:paraId="528B0491" w14:textId="531E8D9F">
            <w:r w:rsidR="58FA8706">
              <w:rPr/>
              <w:t>Proposed terms</w:t>
            </w:r>
          </w:p>
        </w:tc>
      </w:tr>
      <w:tr w:rsidR="58FA8706" w:rsidTr="58FA8706" w14:paraId="2D702840">
        <w:tc>
          <w:tcPr>
            <w:tcW w:w="1750" w:type="dxa"/>
            <w:tcMar/>
          </w:tcPr>
          <w:p w:rsidR="58FA8706" w:rsidRDefault="58FA8706" w14:noSpellErr="1" w14:paraId="3B2244FE" w14:textId="6A33EE14">
            <w:r w:rsidR="58FA8706">
              <w:rPr/>
              <w:t>Borrower</w:t>
            </w:r>
          </w:p>
        </w:tc>
        <w:tc>
          <w:tcPr>
            <w:tcW w:w="7276" w:type="dxa"/>
            <w:tcMar/>
          </w:tcPr>
          <w:p w:rsidR="58FA8706" w:rsidRDefault="58FA8706" w14:noSpellErr="1" w14:paraId="5D5700BC" w14:textId="6311D4D8">
            <w:r w:rsidR="58FA8706">
              <w:rPr/>
              <w:t>Fabrikam Europe GmbH; guarantor Fabrikam Industries Co., Ltd.</w:t>
            </w:r>
          </w:p>
        </w:tc>
      </w:tr>
      <w:tr w:rsidR="58FA8706" w:rsidTr="58FA8706" w14:paraId="7234A120">
        <w:tc>
          <w:tcPr>
            <w:tcW w:w="1750" w:type="dxa"/>
            <w:tcMar/>
          </w:tcPr>
          <w:p w:rsidR="58FA8706" w:rsidRDefault="58FA8706" w14:noSpellErr="1" w14:paraId="111424E2" w14:textId="0A1A7C86">
            <w:r w:rsidR="58FA8706">
              <w:rPr/>
              <w:t>Facilities</w:t>
            </w:r>
          </w:p>
        </w:tc>
        <w:tc>
          <w:tcPr>
            <w:tcW w:w="7276" w:type="dxa"/>
            <w:tcMar/>
          </w:tcPr>
          <w:p w:rsidR="58FA8706" w:rsidRDefault="58FA8706" w14:noSpellErr="1" w14:paraId="54734894" w14:textId="02F8634A">
            <w:r w:rsidR="58FA8706">
              <w:rPr/>
              <w:t>€800m: Term Loan A €600m, drawn at closing, and Revolving Credit Facility (RCF) €200m, undrawn at closing; both 5 years</w:t>
            </w:r>
          </w:p>
        </w:tc>
      </w:tr>
      <w:tr w:rsidR="58FA8706" w:rsidTr="58FA8706" w14:paraId="5354208C">
        <w:tc>
          <w:tcPr>
            <w:tcW w:w="1750" w:type="dxa"/>
            <w:tcMar/>
          </w:tcPr>
          <w:p w:rsidR="58FA8706" w:rsidRDefault="58FA8706" w14:noSpellErr="1" w14:paraId="7D1B5D06" w14:textId="1A0DC3BF">
            <w:r w:rsidR="58FA8706">
              <w:rPr/>
              <w:t>Other funding</w:t>
            </w:r>
          </w:p>
        </w:tc>
        <w:tc>
          <w:tcPr>
            <w:tcW w:w="7276" w:type="dxa"/>
            <w:tcMar/>
          </w:tcPr>
          <w:p w:rsidR="58FA8706" w:rsidRDefault="58FA8706" w14:noSpellErr="1" w14:paraId="70114E31" w14:textId="12EBAA83">
            <w:r w:rsidR="58FA8706">
              <w:rPr/>
              <w:t>€600m of Fabrikam’s existing cash; transaction costs €20m</w:t>
            </w:r>
          </w:p>
        </w:tc>
      </w:tr>
      <w:tr w:rsidR="58FA8706" w:rsidTr="58FA8706" w14:paraId="7B77A750">
        <w:tc>
          <w:tcPr>
            <w:tcW w:w="1750" w:type="dxa"/>
            <w:tcMar/>
          </w:tcPr>
          <w:p w:rsidR="58FA8706" w:rsidRDefault="58FA8706" w14:noSpellErr="1" w14:paraId="650F6F3D" w14:textId="2A010AF8">
            <w:r w:rsidR="58FA8706">
              <w:rPr/>
              <w:t>MUFG role</w:t>
            </w:r>
          </w:p>
        </w:tc>
        <w:tc>
          <w:tcPr>
            <w:tcW w:w="7276" w:type="dxa"/>
            <w:tcMar/>
          </w:tcPr>
          <w:p w:rsidR="58FA8706" w:rsidRDefault="58FA8706" w14:noSpellErr="1" w14:paraId="79E474CD" w14:textId="22DEF1BC">
            <w:r w:rsidR="58FA8706">
              <w:rPr/>
              <w:t>MLA and Bookrunner; hedging coordinator (EUR/JPY FX and interest-rate hedging); cash management (Netherlands, France, UAE)</w:t>
            </w:r>
          </w:p>
        </w:tc>
      </w:tr>
      <w:tr w:rsidR="58FA8706" w:rsidTr="58FA8706" w14:paraId="15380226">
        <w:tc>
          <w:tcPr>
            <w:tcW w:w="1750" w:type="dxa"/>
            <w:tcMar/>
          </w:tcPr>
          <w:p w:rsidR="58FA8706" w:rsidRDefault="58FA8706" w14:noSpellErr="1" w14:paraId="529447A5" w14:textId="39F45231">
            <w:r w:rsidR="58FA8706">
              <w:rPr/>
              <w:t>Pricing</w:t>
            </w:r>
          </w:p>
        </w:tc>
        <w:tc>
          <w:tcPr>
            <w:tcW w:w="7276" w:type="dxa"/>
            <w:tcMar/>
          </w:tcPr>
          <w:p w:rsidR="58FA8706" w:rsidRDefault="58FA8706" w14:noSpellErr="1" w14:paraId="388B56C0" w14:textId="32D238F5">
            <w:r w:rsidR="58FA8706">
              <w:rPr/>
              <w:t>Term Loan A 135 bps over EURIBOR; RCF 110 bps; commitment fee 35% of the margin; upfront fee 60 bps on MUFG’s final hold</w:t>
            </w:r>
          </w:p>
        </w:tc>
      </w:tr>
      <w:tr w:rsidR="58FA8706" w:rsidTr="58FA8706" w14:paraId="6E326746">
        <w:tc>
          <w:tcPr>
            <w:tcW w:w="1750" w:type="dxa"/>
            <w:tcMar/>
          </w:tcPr>
          <w:p w:rsidR="58FA8706" w:rsidRDefault="58FA8706" w14:noSpellErr="1" w14:paraId="43EDEC91" w14:textId="49E7996A">
            <w:r w:rsidR="58FA8706">
              <w:rPr/>
              <w:t>Sustainability link</w:t>
            </w:r>
          </w:p>
        </w:tc>
        <w:tc>
          <w:tcPr>
            <w:tcW w:w="7276" w:type="dxa"/>
            <w:tcMar/>
          </w:tcPr>
          <w:p w:rsidR="58FA8706" w:rsidRDefault="58FA8706" w14:noSpellErr="1" w14:paraId="3923547C" w14:textId="42C5802E">
            <w:r w:rsidR="58FA8706">
              <w:rPr/>
              <w:t>Optional ±5 bps margin adjustment tied to two KPIs (battery-material recovery rate; Scope 1 and 2 emissions intensity), subject to ESG due diligence</w:t>
            </w:r>
          </w:p>
        </w:tc>
      </w:tr>
      <w:tr w:rsidR="58FA8706" w:rsidTr="58FA8706" w14:paraId="4A284DF9">
        <w:tc>
          <w:tcPr>
            <w:tcW w:w="1750" w:type="dxa"/>
            <w:tcMar/>
          </w:tcPr>
          <w:p w:rsidR="58FA8706" w:rsidRDefault="58FA8706" w14:noSpellErr="1" w14:paraId="7BC7E7E1" w14:textId="59DAE0A3">
            <w:r w:rsidR="58FA8706">
              <w:rPr/>
              <w:t>Covenants</w:t>
            </w:r>
          </w:p>
        </w:tc>
        <w:tc>
          <w:tcPr>
            <w:tcW w:w="7276" w:type="dxa"/>
            <w:tcMar/>
          </w:tcPr>
          <w:p w:rsidR="58FA8706" w:rsidRDefault="58FA8706" w14:noSpellErr="1" w14:paraId="4C44ABB7" w14:textId="52B8C767">
            <w:r w:rsidR="58FA8706">
              <w:rPr/>
              <w:t>Net leverage ≤ 3.25x (3.00x from Year 3); interest cover ≥ 4.0x</w:t>
            </w:r>
          </w:p>
        </w:tc>
      </w:tr>
      <w:tr w:rsidR="58FA8706" w:rsidTr="58FA8706" w14:paraId="534F25BA">
        <w:tc>
          <w:tcPr>
            <w:tcW w:w="1750" w:type="dxa"/>
            <w:tcMar/>
          </w:tcPr>
          <w:p w:rsidR="58FA8706" w:rsidRDefault="58FA8706" w14:noSpellErr="1" w14:paraId="13BCED42" w14:textId="69CE27DC">
            <w:r w:rsidR="58FA8706">
              <w:rPr/>
              <w:t>Key dates</w:t>
            </w:r>
          </w:p>
        </w:tc>
        <w:tc>
          <w:tcPr>
            <w:tcW w:w="7276" w:type="dxa"/>
            <w:tcMar/>
          </w:tcPr>
          <w:p w:rsidR="58FA8706" w:rsidRDefault="58FA8706" w14:noSpellErr="1" w14:paraId="10E4C8AE" w14:textId="62AC0EA0">
            <w:r w:rsidR="58FA8706">
              <w:rPr/>
              <w:t>Indicative non-binding proposal by Friday 6 November 2026; target signing mid-December 2026; closing Q1 2027 (merger control)</w:t>
            </w:r>
          </w:p>
        </w:tc>
      </w:tr>
    </w:tbl>
    <w:p w:rsidR="58FA8706" w:rsidP="58FA8706" w:rsidRDefault="58FA8706" w14:noSpellErr="1" w14:paraId="3522CAC4" w14:textId="67FC2B93">
      <w:pPr>
        <w:pStyle w:val="Heading1"/>
      </w:pPr>
      <w:r w:rsidR="58FA8706">
        <w:rPr/>
        <w:t>4. Financial analysis</w:t>
      </w:r>
    </w:p>
    <w:p w:rsidR="58FA8706" w:rsidRDefault="58FA8706" w14:noSpellErr="1" w14:paraId="35BD38B3" w14:textId="770C3BAE">
      <w:r w:rsidRPr="58FA8706" w:rsidR="58FA8706">
        <w:rPr>
          <w:i w:val="1"/>
          <w:iCs w:val="1"/>
          <w:color w:val="595959" w:themeColor="accent2" w:themeTint="FF" w:themeShade="FF"/>
        </w:rPr>
        <w:t>Source: FY2024 annual report (latest on file). Fabrikam’s financial year runs from April to March.</w:t>
      </w:r>
    </w:p>
    <w:p w:rsidR="58FA8706" w:rsidRDefault="58FA8706" w14:noSpellErr="1" w14:paraId="734F0A84" w14:textId="7BBE3243">
      <w:r w:rsidR="58FA8706">
        <w:rPr/>
        <w:t>In FY2024, Fabrikam’s revenue rose to €6,580m (FY2023: €6,120m) and EBITDA to €860m (FY2023: €790m), lifting the EBITDA margin from 12.9% to 13.1%, with free cash flow of €345m. Combined with Contoso, pro-forma net leverage is 2.9x: within the 3.25x covenant, but EBITDA headroom of about 11% is limited, which is one reason for our cautious view on hold size. Interest cover of about 12x is very comfortable against the 4.0x minimum. Pro-forma net debt includes the €600m Term Loan A, €600m of existing cash used for the purchase and €20m of costs.</w:t>
      </w:r>
    </w:p>
    <w:tbl>
      <w:tblPr>
        <w:tblStyle w:val="MediumShading1-Accent1"/>
        <w:tblW w:w="0" w:type="auto"/>
        <w:tblLook w:val="04A0" w:firstRow="1" w:lastRow="0" w:firstColumn="1" w:lastColumn="0" w:noHBand="0" w:noVBand="1"/>
      </w:tblPr>
      <w:tblGrid>
        <w:gridCol w:w="4326"/>
        <w:gridCol w:w="1300"/>
        <w:gridCol w:w="3400"/>
      </w:tblGrid>
      <w:tr w:rsidR="58FA8706" w:rsidTr="58FA8706" w14:paraId="652BE163">
        <w:trPr>
          <w:trHeight w:val="300"/>
        </w:trPr>
        <w:tc>
          <w:tcPr>
            <w:tcW w:w="4326" w:type="dxa"/>
            <w:tcMar/>
          </w:tcPr>
          <w:p w:rsidR="58FA8706" w:rsidRDefault="58FA8706" w14:noSpellErr="1" w14:paraId="68D63101" w14:textId="02929D12">
            <w:r w:rsidR="58FA8706">
              <w:rPr/>
              <w:t>Pro-forma at closing</w:t>
            </w:r>
          </w:p>
        </w:tc>
        <w:tc>
          <w:tcPr>
            <w:tcW w:w="1300" w:type="dxa"/>
            <w:tcMar/>
          </w:tcPr>
          <w:p w:rsidR="58FA8706" w:rsidRDefault="58FA8706" w14:noSpellErr="1" w14:paraId="5FA606EC" w14:textId="7B7083D6">
            <w:r w:rsidR="58FA8706">
              <w:rPr/>
              <w:t>Value</w:t>
            </w:r>
          </w:p>
        </w:tc>
        <w:tc>
          <w:tcPr>
            <w:tcW w:w="3400" w:type="dxa"/>
            <w:tcMar/>
          </w:tcPr>
          <w:p w:rsidR="58FA8706" w:rsidRDefault="58FA8706" w14:noSpellErr="1" w14:paraId="79E71B69" w14:textId="744E6A9A">
            <w:r w:rsidR="58FA8706">
              <w:rPr/>
              <w:t>Proposed covenant</w:t>
            </w:r>
          </w:p>
        </w:tc>
      </w:tr>
      <w:tr w:rsidR="58FA8706" w:rsidTr="58FA8706" w14:paraId="2E9A7C51">
        <w:tc>
          <w:tcPr>
            <w:tcW w:w="4326" w:type="dxa"/>
            <w:tcMar/>
          </w:tcPr>
          <w:p w:rsidR="58FA8706" w:rsidRDefault="58FA8706" w14:noSpellErr="1" w14:paraId="733AB2BE" w14:textId="0B63CB0F">
            <w:r w:rsidR="58FA8706">
              <w:rPr/>
              <w:t>Fabrikam EBITDA (FY2024)</w:t>
            </w:r>
          </w:p>
        </w:tc>
        <w:tc>
          <w:tcPr>
            <w:tcW w:w="1300" w:type="dxa"/>
            <w:tcMar/>
          </w:tcPr>
          <w:p w:rsidR="58FA8706" w:rsidRDefault="58FA8706" w14:noSpellErr="1" w14:paraId="5A7A85F9" w14:textId="0441B1D3">
            <w:r w:rsidR="58FA8706">
              <w:rPr/>
              <w:t>€860m</w:t>
            </w:r>
          </w:p>
        </w:tc>
        <w:tc>
          <w:tcPr>
            <w:tcW w:w="3400" w:type="dxa"/>
            <w:tcMar/>
          </w:tcPr>
          <w:p w:rsidR="58FA8706" w:rsidRDefault="58FA8706" w14:noSpellErr="1" w14:paraId="61FD6062" w14:textId="7D1F9897">
            <w:r w:rsidR="58FA8706">
              <w:rPr/>
              <w:t>–</w:t>
            </w:r>
          </w:p>
        </w:tc>
      </w:tr>
      <w:tr w:rsidR="58FA8706" w:rsidTr="58FA8706" w14:paraId="11C03D8D">
        <w:tc>
          <w:tcPr>
            <w:tcW w:w="4326" w:type="dxa"/>
            <w:tcMar/>
          </w:tcPr>
          <w:p w:rsidR="58FA8706" w:rsidRDefault="58FA8706" w14:noSpellErr="1" w14:paraId="273773E1" w14:textId="3F198C55">
            <w:r w:rsidR="58FA8706">
              <w:rPr/>
              <w:t>Contoso EBITDA (2025)</w:t>
            </w:r>
          </w:p>
        </w:tc>
        <w:tc>
          <w:tcPr>
            <w:tcW w:w="1300" w:type="dxa"/>
            <w:tcMar/>
          </w:tcPr>
          <w:p w:rsidR="58FA8706" w:rsidRDefault="58FA8706" w14:noSpellErr="1" w14:paraId="57286689" w14:textId="37F77319">
            <w:r w:rsidR="58FA8706">
              <w:rPr/>
              <w:t>€110m</w:t>
            </w:r>
          </w:p>
        </w:tc>
        <w:tc>
          <w:tcPr>
            <w:tcW w:w="3400" w:type="dxa"/>
            <w:tcMar/>
          </w:tcPr>
          <w:p w:rsidR="58FA8706" w:rsidRDefault="58FA8706" w14:noSpellErr="1" w14:paraId="3AD34E95" w14:textId="30D559DD">
            <w:r w:rsidR="58FA8706">
              <w:rPr/>
              <w:t>–</w:t>
            </w:r>
          </w:p>
        </w:tc>
      </w:tr>
      <w:tr w:rsidR="58FA8706" w:rsidTr="58FA8706" w14:paraId="66E1D9C2">
        <w:tc>
          <w:tcPr>
            <w:tcW w:w="4326" w:type="dxa"/>
            <w:tcMar/>
          </w:tcPr>
          <w:p w:rsidR="58FA8706" w:rsidRDefault="58FA8706" w14:noSpellErr="1" w14:paraId="1A484935" w14:textId="1434F90C">
            <w:r w:rsidR="58FA8706">
              <w:rPr/>
              <w:t>Pro-forma EBITDA</w:t>
            </w:r>
          </w:p>
        </w:tc>
        <w:tc>
          <w:tcPr>
            <w:tcW w:w="1300" w:type="dxa"/>
            <w:tcMar/>
          </w:tcPr>
          <w:p w:rsidR="58FA8706" w:rsidRDefault="58FA8706" w14:noSpellErr="1" w14:paraId="43CAF8CC" w14:textId="0D12DFD0">
            <w:r w:rsidR="58FA8706">
              <w:rPr/>
              <w:t>€970m</w:t>
            </w:r>
          </w:p>
        </w:tc>
        <w:tc>
          <w:tcPr>
            <w:tcW w:w="3400" w:type="dxa"/>
            <w:tcMar/>
          </w:tcPr>
          <w:p w:rsidR="58FA8706" w:rsidRDefault="58FA8706" w14:noSpellErr="1" w14:paraId="512EA75D" w14:textId="05F0C694">
            <w:r w:rsidR="58FA8706">
              <w:rPr/>
              <w:t>–</w:t>
            </w:r>
          </w:p>
        </w:tc>
      </w:tr>
      <w:tr w:rsidR="58FA8706" w:rsidTr="58FA8706" w14:paraId="1D7CCC55">
        <w:tc>
          <w:tcPr>
            <w:tcW w:w="4326" w:type="dxa"/>
            <w:tcMar/>
          </w:tcPr>
          <w:p w:rsidR="58FA8706" w:rsidRDefault="58FA8706" w14:noSpellErr="1" w14:paraId="55E31018" w14:textId="1D062709">
            <w:r w:rsidR="58FA8706">
              <w:rPr/>
              <w:t>Pro-forma net debt</w:t>
            </w:r>
          </w:p>
        </w:tc>
        <w:tc>
          <w:tcPr>
            <w:tcW w:w="1300" w:type="dxa"/>
            <w:tcMar/>
          </w:tcPr>
          <w:p w:rsidR="58FA8706" w:rsidRDefault="58FA8706" w14:noSpellErr="1" w14:paraId="3768B99F" w14:textId="15E40DCD">
            <w:r w:rsidR="58FA8706">
              <w:rPr/>
              <w:t>€2,800m</w:t>
            </w:r>
          </w:p>
        </w:tc>
        <w:tc>
          <w:tcPr>
            <w:tcW w:w="3400" w:type="dxa"/>
            <w:tcMar/>
          </w:tcPr>
          <w:p w:rsidR="58FA8706" w:rsidRDefault="58FA8706" w14:noSpellErr="1" w14:paraId="6646D100" w14:textId="0EC1F491">
            <w:r w:rsidR="58FA8706">
              <w:rPr/>
              <w:t>–</w:t>
            </w:r>
          </w:p>
        </w:tc>
      </w:tr>
      <w:tr w:rsidR="58FA8706" w:rsidTr="58FA8706" w14:paraId="5F6AA23A">
        <w:tc>
          <w:tcPr>
            <w:tcW w:w="4326" w:type="dxa"/>
            <w:tcMar/>
          </w:tcPr>
          <w:p w:rsidR="58FA8706" w:rsidRDefault="58FA8706" w14:noSpellErr="1" w14:paraId="6F96E4B3" w14:textId="25D75506">
            <w:r w:rsidR="58FA8706">
              <w:rPr/>
              <w:t>Net leverage (net debt ÷ EBITDA)</w:t>
            </w:r>
          </w:p>
        </w:tc>
        <w:tc>
          <w:tcPr>
            <w:tcW w:w="1300" w:type="dxa"/>
            <w:tcMar/>
          </w:tcPr>
          <w:p w:rsidR="58FA8706" w:rsidRDefault="58FA8706" w14:noSpellErr="1" w14:paraId="59D93755" w14:textId="1EB53BCA">
            <w:r w:rsidR="58FA8706">
              <w:rPr/>
              <w:t>2.9x</w:t>
            </w:r>
          </w:p>
        </w:tc>
        <w:tc>
          <w:tcPr>
            <w:tcW w:w="3400" w:type="dxa"/>
            <w:tcMar/>
          </w:tcPr>
          <w:p w:rsidR="58FA8706" w:rsidRDefault="58FA8706" w14:noSpellErr="1" w14:paraId="3C998B94" w14:textId="1793228E">
            <w:r w:rsidR="58FA8706">
              <w:rPr/>
              <w:t>≤ 3.25x (3.00x from Year 3)</w:t>
            </w:r>
          </w:p>
        </w:tc>
      </w:tr>
      <w:tr w:rsidR="58FA8706" w:rsidTr="58FA8706" w14:paraId="3EFB0ABC">
        <w:tc>
          <w:tcPr>
            <w:tcW w:w="4326" w:type="dxa"/>
            <w:tcMar/>
          </w:tcPr>
          <w:p w:rsidR="58FA8706" w:rsidRDefault="58FA8706" w14:noSpellErr="1" w14:paraId="6678717A" w14:textId="2EA88303">
            <w:r w:rsidR="58FA8706">
              <w:rPr/>
              <w:t>EBITDA headroom vs covenant</w:t>
            </w:r>
          </w:p>
        </w:tc>
        <w:tc>
          <w:tcPr>
            <w:tcW w:w="1300" w:type="dxa"/>
            <w:tcMar/>
          </w:tcPr>
          <w:p w:rsidR="58FA8706" w:rsidRDefault="58FA8706" w14:noSpellErr="1" w14:paraId="6CC973C9" w14:textId="278669C7">
            <w:r w:rsidR="58FA8706">
              <w:rPr/>
              <w:t>≈11%</w:t>
            </w:r>
          </w:p>
        </w:tc>
        <w:tc>
          <w:tcPr>
            <w:tcW w:w="3400" w:type="dxa"/>
            <w:tcMar/>
          </w:tcPr>
          <w:p w:rsidR="58FA8706" w:rsidRDefault="58FA8706" w14:noSpellErr="1" w14:paraId="6C6AA92E" w14:textId="2064508B">
            <w:r w:rsidR="58FA8706">
              <w:rPr/>
              <w:t>–</w:t>
            </w:r>
          </w:p>
        </w:tc>
      </w:tr>
      <w:tr w:rsidR="58FA8706" w:rsidTr="58FA8706" w14:paraId="6EF73A62">
        <w:tc>
          <w:tcPr>
            <w:tcW w:w="4326" w:type="dxa"/>
            <w:tcMar/>
          </w:tcPr>
          <w:p w:rsidR="58FA8706" w:rsidRDefault="58FA8706" w14:noSpellErr="1" w14:paraId="31AB584E" w14:textId="3779B100">
            <w:r w:rsidR="58FA8706">
              <w:rPr/>
              <w:t>Interest cover (EBITDA ÷ interest)</w:t>
            </w:r>
          </w:p>
        </w:tc>
        <w:tc>
          <w:tcPr>
            <w:tcW w:w="1300" w:type="dxa"/>
            <w:tcMar/>
          </w:tcPr>
          <w:p w:rsidR="58FA8706" w:rsidRDefault="58FA8706" w14:noSpellErr="1" w14:paraId="182D162C" w14:textId="305797C4">
            <w:r w:rsidR="58FA8706">
              <w:rPr/>
              <w:t>≈12x</w:t>
            </w:r>
          </w:p>
        </w:tc>
        <w:tc>
          <w:tcPr>
            <w:tcW w:w="3400" w:type="dxa"/>
            <w:tcMar/>
          </w:tcPr>
          <w:p w:rsidR="58FA8706" w:rsidRDefault="58FA8706" w14:noSpellErr="1" w14:paraId="3A7818D5" w14:textId="29357E88">
            <w:r w:rsidR="58FA8706">
              <w:rPr/>
              <w:t>≥ 4.0x</w:t>
            </w:r>
          </w:p>
        </w:tc>
      </w:tr>
    </w:tbl>
    <w:p w:rsidR="58FA8706" w:rsidP="58FA8706" w:rsidRDefault="58FA8706" w14:noSpellErr="1" w14:paraId="486DF55E" w14:textId="532B97E5">
      <w:pPr>
        <w:pStyle w:val="Heading1"/>
      </w:pPr>
      <w:r w:rsidR="58FA8706">
        <w:rPr/>
        <w:t>5. Key risks and mitigants</w:t>
      </w:r>
    </w:p>
    <w:tbl>
      <w:tblPr>
        <w:tblStyle w:val="MediumShading1-Accent1"/>
        <w:tblW w:w="0" w:type="auto"/>
        <w:tblLook w:val="04A0" w:firstRow="1" w:lastRow="0" w:firstColumn="1" w:lastColumn="0" w:noHBand="0" w:noVBand="1"/>
      </w:tblPr>
      <w:tblGrid>
        <w:gridCol w:w="2300"/>
        <w:gridCol w:w="3500"/>
        <w:gridCol w:w="3226"/>
      </w:tblGrid>
      <w:tr w:rsidR="58FA8706" w:rsidTr="58FA8706" w14:paraId="7F525626">
        <w:trPr>
          <w:trHeight w:val="300"/>
        </w:trPr>
        <w:tc>
          <w:tcPr>
            <w:tcW w:w="2300" w:type="dxa"/>
            <w:tcMar/>
          </w:tcPr>
          <w:p w:rsidR="58FA8706" w:rsidRDefault="58FA8706" w14:noSpellErr="1" w14:paraId="2C67501E" w14:textId="3206AC85">
            <w:r w:rsidR="58FA8706">
              <w:rPr/>
              <w:t>Risk</w:t>
            </w:r>
          </w:p>
        </w:tc>
        <w:tc>
          <w:tcPr>
            <w:tcW w:w="3500" w:type="dxa"/>
            <w:tcMar/>
          </w:tcPr>
          <w:p w:rsidR="58FA8706" w:rsidRDefault="58FA8706" w14:noSpellErr="1" w14:paraId="5B990C70" w14:textId="2AE49349">
            <w:r w:rsidR="58FA8706">
              <w:rPr/>
              <w:t>Why it matters</w:t>
            </w:r>
          </w:p>
        </w:tc>
        <w:tc>
          <w:tcPr>
            <w:tcW w:w="3226" w:type="dxa"/>
            <w:tcMar/>
          </w:tcPr>
          <w:p w:rsidR="58FA8706" w:rsidRDefault="58FA8706" w14:noSpellErr="1" w14:paraId="27FFA35C" w14:textId="23C27A0D">
            <w:r w:rsidR="58FA8706">
              <w:rPr/>
              <w:t>Main mitigants</w:t>
            </w:r>
          </w:p>
        </w:tc>
      </w:tr>
      <w:tr w:rsidR="58FA8706" w:rsidTr="58FA8706" w14:paraId="2F9E5360">
        <w:tc>
          <w:tcPr>
            <w:tcW w:w="2300" w:type="dxa"/>
            <w:tcMar/>
          </w:tcPr>
          <w:p w:rsidR="58FA8706" w:rsidRDefault="58FA8706" w14:noSpellErr="1" w14:paraId="67F33524" w14:textId="3AD7DA82">
            <w:r w:rsidR="58FA8706">
              <w:rPr/>
              <w:t>Integration</w:t>
            </w:r>
          </w:p>
        </w:tc>
        <w:tc>
          <w:tcPr>
            <w:tcW w:w="3500" w:type="dxa"/>
            <w:tcMar/>
          </w:tcPr>
          <w:p w:rsidR="58FA8706" w:rsidRDefault="58FA8706" w14:noSpellErr="1" w14:paraId="27B6555C" w14:textId="33B5C146">
            <w:r w:rsidR="58FA8706">
              <w:rPr/>
              <w:t>Combining two plants in two countries may delay synergies</w:t>
            </w:r>
          </w:p>
        </w:tc>
        <w:tc>
          <w:tcPr>
            <w:tcW w:w="3226" w:type="dxa"/>
            <w:tcMar/>
          </w:tcPr>
          <w:p w:rsidR="58FA8706" w:rsidRDefault="58FA8706" w14:noSpellErr="1" w14:paraId="32E361F5" w14:textId="2C93A80A">
            <w:r w:rsidR="58FA8706">
              <w:rPr/>
              <w:t>Parent guarantee; covenants; deleveraging plan</w:t>
            </w:r>
          </w:p>
        </w:tc>
      </w:tr>
      <w:tr w:rsidR="58FA8706" w:rsidTr="58FA8706" w14:paraId="631718C7">
        <w:tc>
          <w:tcPr>
            <w:tcW w:w="2300" w:type="dxa"/>
            <w:tcMar/>
          </w:tcPr>
          <w:p w:rsidR="58FA8706" w:rsidRDefault="58FA8706" w14:noSpellErr="1" w14:paraId="590C1BB8" w14:textId="43A9087F">
            <w:r w:rsidR="58FA8706">
              <w:rPr/>
              <w:t>EV-demand cyclicality</w:t>
            </w:r>
          </w:p>
        </w:tc>
        <w:tc>
          <w:tcPr>
            <w:tcW w:w="3500" w:type="dxa"/>
            <w:tcMar/>
          </w:tcPr>
          <w:p w:rsidR="58FA8706" w:rsidRDefault="58FA8706" w14:noSpellErr="1" w14:paraId="7368E092" w14:textId="3C86EF43">
            <w:r w:rsidR="58FA8706">
              <w:rPr/>
              <w:t>Slower EV demand would cut volumes for both businesses</w:t>
            </w:r>
          </w:p>
        </w:tc>
        <w:tc>
          <w:tcPr>
            <w:tcW w:w="3226" w:type="dxa"/>
            <w:tcMar/>
          </w:tcPr>
          <w:p w:rsidR="58FA8706" w:rsidRDefault="58FA8706" w14:noSpellErr="1" w14:paraId="4CE904BB" w14:textId="3564D607">
            <w:r w:rsidR="58FA8706">
              <w:rPr/>
              <w:t>Industrial automation earnings; covenants</w:t>
            </w:r>
          </w:p>
        </w:tc>
      </w:tr>
      <w:tr w:rsidR="58FA8706" w:rsidTr="58FA8706" w14:paraId="54D0F320">
        <w:tc>
          <w:tcPr>
            <w:tcW w:w="2300" w:type="dxa"/>
            <w:tcMar/>
          </w:tcPr>
          <w:p w:rsidR="58FA8706" w:rsidRDefault="58FA8706" w14:noSpellErr="1" w14:paraId="54C50459" w14:textId="4C7A367C">
            <w:r w:rsidR="58FA8706">
              <w:rPr/>
              <w:t>Battery-metal price volatility</w:t>
            </w:r>
          </w:p>
        </w:tc>
        <w:tc>
          <w:tcPr>
            <w:tcW w:w="3500" w:type="dxa"/>
            <w:tcMar/>
          </w:tcPr>
          <w:p w:rsidR="58FA8706" w:rsidRDefault="58FA8706" w14:noSpellErr="1" w14:paraId="1A30B350" w14:textId="45581D40">
            <w:r w:rsidR="58FA8706">
              <w:rPr/>
              <w:t>Nickel, cobalt and lithium prices drive Contoso’s margins</w:t>
            </w:r>
          </w:p>
        </w:tc>
        <w:tc>
          <w:tcPr>
            <w:tcW w:w="3226" w:type="dxa"/>
            <w:tcMar/>
          </w:tcPr>
          <w:p w:rsidR="58FA8706" w:rsidRDefault="58FA8706" w14:noSpellErr="1" w14:paraId="7778706B" w14:textId="3E360404">
            <w:r w:rsidR="58FA8706">
              <w:rPr/>
              <w:t>Closed-loop supply to Fabrikam’s own EV business</w:t>
            </w:r>
          </w:p>
        </w:tc>
      </w:tr>
      <w:tr w:rsidR="58FA8706" w:rsidTr="58FA8706" w14:paraId="22C88661">
        <w:tc>
          <w:tcPr>
            <w:tcW w:w="2300" w:type="dxa"/>
            <w:tcMar/>
          </w:tcPr>
          <w:p w:rsidR="58FA8706" w:rsidRDefault="58FA8706" w14:noSpellErr="1" w14:paraId="4169A0AA" w14:textId="554B6479">
            <w:r w:rsidR="58FA8706">
              <w:rPr/>
              <w:t>EUR/JPY FX</w:t>
            </w:r>
          </w:p>
        </w:tc>
        <w:tc>
          <w:tcPr>
            <w:tcW w:w="3500" w:type="dxa"/>
            <w:tcMar/>
          </w:tcPr>
          <w:p w:rsidR="58FA8706" w:rsidRDefault="58FA8706" w14:noSpellErr="1" w14:paraId="6A5E5F2A" w14:textId="4E294B3D">
            <w:r w:rsidR="58FA8706">
              <w:rPr/>
              <w:t>Currency moves affect cash flow available for euro debt</w:t>
            </w:r>
          </w:p>
        </w:tc>
        <w:tc>
          <w:tcPr>
            <w:tcW w:w="3226" w:type="dxa"/>
            <w:tcMar/>
          </w:tcPr>
          <w:p w:rsidR="58FA8706" w:rsidRDefault="58FA8706" w14:noSpellErr="1" w14:paraId="254BE1E3" w14:textId="47073201">
            <w:r w:rsidR="58FA8706">
              <w:rPr/>
              <w:t>FX and interest-rate hedging; MUFG as coordinator</w:t>
            </w:r>
          </w:p>
        </w:tc>
      </w:tr>
      <w:tr w:rsidR="58FA8706" w:rsidTr="58FA8706" w14:paraId="3961872D">
        <w:tc>
          <w:tcPr>
            <w:tcW w:w="2300" w:type="dxa"/>
            <w:tcMar/>
          </w:tcPr>
          <w:p w:rsidR="58FA8706" w:rsidRDefault="58FA8706" w14:noSpellErr="1" w14:paraId="53E864A9" w14:textId="5E1C9276">
            <w:r w:rsidR="58FA8706">
              <w:rPr/>
              <w:t>ESG / permit risk (Dunkirk)</w:t>
            </w:r>
          </w:p>
        </w:tc>
        <w:tc>
          <w:tcPr>
            <w:tcW w:w="3500" w:type="dxa"/>
            <w:tcMar/>
          </w:tcPr>
          <w:p w:rsidR="58FA8706" w:rsidRDefault="58FA8706" w14:noSpellErr="1" w14:paraId="6C2A7516" w14:textId="56FA793A">
            <w:r w:rsidR="58FA8706">
              <w:rPr/>
              <w:t>Permit renewal and wastewater compliance under review</w:t>
            </w:r>
          </w:p>
        </w:tc>
        <w:tc>
          <w:tcPr>
            <w:tcW w:w="3226" w:type="dxa"/>
            <w:tcMar/>
          </w:tcPr>
          <w:p w:rsidR="58FA8706" w:rsidRDefault="58FA8706" w14:noSpellErr="1" w14:paraId="4ED31531" w14:textId="4FD85FFE">
            <w:r w:rsidR="58FA8706">
              <w:rPr/>
              <w:t>ESG due diligence as a condition precedent</w:t>
            </w:r>
          </w:p>
        </w:tc>
      </w:tr>
      <w:tr w:rsidR="58FA8706" w:rsidTr="58FA8706" w14:paraId="5EFC3F83">
        <w:tc>
          <w:tcPr>
            <w:tcW w:w="2300" w:type="dxa"/>
            <w:tcMar/>
          </w:tcPr>
          <w:p w:rsidR="58FA8706" w:rsidRDefault="58FA8706" w14:noSpellErr="1" w14:paraId="4BA930E3" w14:textId="66EDC073">
            <w:r w:rsidR="58FA8706">
              <w:rPr/>
              <w:t>Syndication risk</w:t>
            </w:r>
          </w:p>
        </w:tc>
        <w:tc>
          <w:tcPr>
            <w:tcW w:w="3500" w:type="dxa"/>
            <w:tcMar/>
          </w:tcPr>
          <w:p w:rsidR="58FA8706" w:rsidRDefault="58FA8706" w14:noSpellErr="1" w14:paraId="737B5752" w14:textId="5FCBA737">
            <w:r w:rsidR="58FA8706">
              <w:rPr/>
              <w:t>MUFG could hold more than planned if banks commit less</w:t>
            </w:r>
          </w:p>
        </w:tc>
        <w:tc>
          <w:tcPr>
            <w:tcW w:w="3226" w:type="dxa"/>
            <w:tcMar/>
          </w:tcPr>
          <w:p w:rsidR="58FA8706" w:rsidRDefault="58FA8706" w14:noSpellErr="1" w14:paraId="70D75F0B" w14:textId="58A98DFB">
            <w:r w:rsidR="58FA8706">
              <w:rPr/>
              <w:t>Co-arrangers sounded early (e.g. Woodgrove Bank)</w:t>
            </w:r>
          </w:p>
        </w:tc>
      </w:tr>
    </w:tbl>
    <w:p w:rsidR="58FA8706" w:rsidP="58FA8706" w:rsidRDefault="58FA8706" w14:noSpellErr="1" w14:paraId="2B16446D" w14:textId="2A7D451A">
      <w:pPr>
        <w:pStyle w:val="Heading1"/>
      </w:pPr>
      <w:r w:rsidR="58FA8706">
        <w:rPr/>
        <w:t>6. Portfolio considerations</w:t>
      </w:r>
    </w:p>
    <w:p w:rsidR="58FA8706" w:rsidRDefault="58FA8706" w14:noSpellErr="1" w14:paraId="393910DA" w14:textId="4DA142DE">
      <w:r w:rsidR="58FA8706">
        <w:rPr/>
        <w:t>At 30 September 2026, Industrials was 13.6% of commitments, above the 13.5% early-warning level and below the 15% limit, and the high-probability pipeline adds €280m of Industrials business (Project Atlas €160m, Project Fjord €120m). Fabrikam group exposure is €190m against a €500m single-name (group) limit.</w:t>
      </w:r>
    </w:p>
    <w:p w:rsidR="58FA8706" w:rsidRDefault="58FA8706" w14:noSpellErr="1" w14:paraId="54A590D5" w14:textId="48A8EBD0">
      <w:r w:rsidR="58FA8706">
        <w:rPr/>
        <w:t>On Portfolio Management’s figures, a €200m hold takes group exposure to €390m (78% of the limit) and Industrials to 14.76% once the pipeline closes, while €300m would reach 15.05%, a breach of the limit, and use 98% of the single-name limit. Credit Risk therefore prefers €200m. We note the Relationship Manager’s view that €300m would strengthen MUFG’s position as MLA and hedging coordinator; the hold will be discussed on 27 October.</w:t>
      </w:r>
    </w:p>
    <w:p w:rsidR="58FA8706" w:rsidP="58FA8706" w:rsidRDefault="58FA8706" w14:noSpellErr="1" w14:paraId="390764E8" w14:textId="2A00C91A">
      <w:pPr>
        <w:pStyle w:val="Heading1"/>
      </w:pPr>
      <w:r w:rsidR="58FA8706">
        <w:rPr/>
        <w:t>7. Proposed conditions and covenants</w:t>
      </w:r>
    </w:p>
    <w:p w:rsidR="58FA8706" w:rsidRDefault="58FA8706" w14:noSpellErr="1" w14:paraId="5F1DDC96" w14:textId="7E04CB95">
      <w:r w:rsidR="58FA8706">
        <w:rPr/>
        <w:t>Credit Risk’s support is subject to the following:</w:t>
      </w:r>
    </w:p>
    <w:p w:rsidR="58FA8706" w:rsidP="58FA8706" w:rsidRDefault="58FA8706" w14:noSpellErr="1" w14:paraId="138FC514" w14:textId="4DCFF489">
      <w:pPr>
        <w:pStyle w:val="ListBullet"/>
        <w:rPr/>
      </w:pPr>
      <w:r w:rsidR="58FA8706">
        <w:rPr/>
        <w:t>Net leverage ≤ 3.25x (3.00x from Year 3) and interest cover ≥ 4.0x.</w:t>
      </w:r>
    </w:p>
    <w:p w:rsidR="58FA8706" w:rsidP="58FA8706" w:rsidRDefault="58FA8706" w14:noSpellErr="1" w14:paraId="1AB7637A" w14:textId="13C9C177">
      <w:pPr>
        <w:pStyle w:val="ListBullet"/>
        <w:rPr/>
      </w:pPr>
      <w:r w:rsidR="58FA8706">
        <w:rPr/>
        <w:t>Parent guarantee from Fabrikam Industries Co., Ltd.; MUFG final hold of €200m.</w:t>
      </w:r>
    </w:p>
    <w:p w:rsidR="58FA8706" w:rsidP="58FA8706" w:rsidRDefault="58FA8706" w14:noSpellErr="1" w14:paraId="7BBDAAAF" w14:textId="60275004">
      <w:pPr>
        <w:pStyle w:val="ListBullet"/>
        <w:rPr/>
      </w:pPr>
      <w:r w:rsidR="58FA8706">
        <w:rPr/>
        <w:t>Satisfactory ESG due diligence on the Dunkirk plant before signing.</w:t>
      </w:r>
    </w:p>
    <w:p w:rsidR="58FA8706" w:rsidP="58FA8706" w:rsidRDefault="58FA8706" w14:noSpellErr="1" w14:paraId="4C629338" w14:textId="48FC5F33">
      <w:pPr>
        <w:pStyle w:val="ListBullet"/>
        <w:rPr/>
      </w:pPr>
      <w:r w:rsidR="58FA8706">
        <w:rPr/>
        <w:t>All compliance checks closed before signing, including UBO and screening.</w:t>
      </w:r>
    </w:p>
    <w:p w:rsidR="58FA8706" w:rsidP="58FA8706" w:rsidRDefault="58FA8706" w14:noSpellErr="1" w14:paraId="38DE92D8" w14:textId="6571A501">
      <w:pPr>
        <w:pStyle w:val="ListBullet"/>
        <w:rPr/>
      </w:pPr>
      <w:r w:rsidR="58FA8706">
        <w:rPr/>
        <w:t>Hedging strategy (EUR/JPY FX and interest rates) agreed with the client.</w:t>
      </w:r>
    </w:p>
    <w:p w:rsidR="58FA8706" w:rsidP="58FA8706" w:rsidRDefault="58FA8706" w14:noSpellErr="1" w14:paraId="3CED5190" w14:textId="23802F9B">
      <w:pPr>
        <w:pStyle w:val="ListBullet"/>
        <w:rPr/>
      </w:pPr>
      <w:r w:rsidR="58FA8706">
        <w:rPr/>
        <w:t>Sustainability-linked pricing only after KPI validation; merger-control approvals before closing.</w:t>
      </w:r>
    </w:p>
    <w:p w:rsidR="58FA8706" w:rsidP="58FA8706" w:rsidRDefault="58FA8706" w14:noSpellErr="1" w14:paraId="669730FA" w14:textId="1C8F576B">
      <w:pPr>
        <w:pStyle w:val="Heading1"/>
      </w:pPr>
      <w:r w:rsidR="58FA8706">
        <w:rPr/>
        <w:t>8. Open points</w:t>
      </w:r>
    </w:p>
    <w:tbl>
      <w:tblPr>
        <w:tblStyle w:val="MediumShading1-Accent1"/>
        <w:tblW w:w="0" w:type="auto"/>
        <w:tblLook w:val="04A0" w:firstRow="1" w:lastRow="0" w:firstColumn="1" w:lastColumn="0" w:noHBand="0" w:noVBand="1"/>
      </w:tblPr>
      <w:tblGrid>
        <w:gridCol w:w="3700"/>
        <w:gridCol w:w="3626"/>
        <w:gridCol w:w="1700"/>
      </w:tblGrid>
      <w:tr w:rsidR="58FA8706" w:rsidTr="58FA8706" w14:paraId="243AFA4F">
        <w:trPr>
          <w:trHeight w:val="300"/>
        </w:trPr>
        <w:tc>
          <w:tcPr>
            <w:tcW w:w="3700" w:type="dxa"/>
            <w:tcMar/>
          </w:tcPr>
          <w:p w:rsidR="58FA8706" w:rsidRDefault="58FA8706" w14:noSpellErr="1" w14:paraId="66434FD8" w14:textId="6BFAFEB6">
            <w:r w:rsidR="58FA8706">
              <w:rPr/>
              <w:t>Open point</w:t>
            </w:r>
          </w:p>
        </w:tc>
        <w:tc>
          <w:tcPr>
            <w:tcW w:w="3626" w:type="dxa"/>
            <w:tcMar/>
          </w:tcPr>
          <w:p w:rsidR="58FA8706" w:rsidRDefault="58FA8706" w14:noSpellErr="1" w14:paraId="459A16B3" w14:textId="64D8E57A">
            <w:r w:rsidR="58FA8706">
              <w:rPr/>
              <w:t>Status</w:t>
            </w:r>
          </w:p>
        </w:tc>
        <w:tc>
          <w:tcPr>
            <w:tcW w:w="1700" w:type="dxa"/>
            <w:tcMar/>
          </w:tcPr>
          <w:p w:rsidR="58FA8706" w:rsidRDefault="58FA8706" w14:noSpellErr="1" w14:paraId="2A0D1548" w14:textId="5DB6CC3E">
            <w:r w:rsidR="58FA8706">
              <w:rPr/>
              <w:t>Expected</w:t>
            </w:r>
          </w:p>
        </w:tc>
      </w:tr>
      <w:tr w:rsidR="58FA8706" w:rsidTr="58FA8706" w14:paraId="29428826">
        <w:tc>
          <w:tcPr>
            <w:tcW w:w="3700" w:type="dxa"/>
            <w:tcMar/>
          </w:tcPr>
          <w:p w:rsidR="58FA8706" w:rsidRDefault="58FA8706" w14:noSpellErr="1" w14:paraId="7DC2D6B4" w14:textId="74CC2CB3">
            <w:r w:rsidR="58FA8706">
              <w:rPr/>
              <w:t>ESG due diligence – Dunkirk plant</w:t>
            </w:r>
          </w:p>
        </w:tc>
        <w:tc>
          <w:tcPr>
            <w:tcW w:w="3626" w:type="dxa"/>
            <w:tcMar/>
          </w:tcPr>
          <w:p w:rsidR="58FA8706" w:rsidRDefault="58FA8706" w14:noSpellErr="1" w14:paraId="7DA647AE" w14:textId="6DAA1377">
            <w:r w:rsidR="58FA8706">
              <w:rPr/>
              <w:t>Lucerne Environmental Advisory report pending</w:t>
            </w:r>
          </w:p>
        </w:tc>
        <w:tc>
          <w:tcPr>
            <w:tcW w:w="1700" w:type="dxa"/>
            <w:tcMar/>
          </w:tcPr>
          <w:p w:rsidR="58FA8706" w:rsidRDefault="58FA8706" w14:noSpellErr="1" w14:paraId="4EE788FB" w14:textId="6687FA3B">
            <w:r w:rsidR="58FA8706">
              <w:rPr/>
              <w:t>13 November</w:t>
            </w:r>
          </w:p>
        </w:tc>
      </w:tr>
      <w:tr w:rsidR="58FA8706" w:rsidTr="58FA8706" w14:paraId="2A827CD3">
        <w:tc>
          <w:tcPr>
            <w:tcW w:w="3700" w:type="dxa"/>
            <w:tcMar/>
          </w:tcPr>
          <w:p w:rsidR="58FA8706" w:rsidRDefault="58FA8706" w14:noSpellErr="1" w14:paraId="6CEB8925" w14:textId="7D9D5AB0">
            <w:r w:rsidR="58FA8706">
              <w:rPr/>
              <w:t>Sanctions and adverse-media screening (target group)</w:t>
            </w:r>
          </w:p>
        </w:tc>
        <w:tc>
          <w:tcPr>
            <w:tcW w:w="3626" w:type="dxa"/>
            <w:tcMar/>
          </w:tcPr>
          <w:p w:rsidR="58FA8706" w:rsidRDefault="58FA8706" w14:noSpellErr="1" w14:paraId="325435D3" w14:textId="767B4174">
            <w:r w:rsidR="58FA8706">
              <w:rPr/>
              <w:t>In progress</w:t>
            </w:r>
          </w:p>
        </w:tc>
        <w:tc>
          <w:tcPr>
            <w:tcW w:w="1700" w:type="dxa"/>
            <w:tcMar/>
          </w:tcPr>
          <w:p w:rsidR="58FA8706" w:rsidRDefault="58FA8706" w14:noSpellErr="1" w14:paraId="2F9ACA95" w14:textId="6F592838">
            <w:r w:rsidR="58FA8706">
              <w:rPr/>
              <w:t>6 November</w:t>
            </w:r>
          </w:p>
        </w:tc>
      </w:tr>
      <w:tr w:rsidR="58FA8706" w:rsidTr="58FA8706" w14:paraId="7838E6A1">
        <w:tc>
          <w:tcPr>
            <w:tcW w:w="3700" w:type="dxa"/>
            <w:tcMar/>
          </w:tcPr>
          <w:p w:rsidR="58FA8706" w:rsidRDefault="58FA8706" w14:noSpellErr="1" w14:paraId="3028F594" w14:textId="066E88AD">
            <w:r w:rsidR="58FA8706">
              <w:rPr/>
              <w:t>UBO confirmation – Contoso Management Holdings S.à r.l.</w:t>
            </w:r>
          </w:p>
        </w:tc>
        <w:tc>
          <w:tcPr>
            <w:tcW w:w="3626" w:type="dxa"/>
            <w:tcMar/>
          </w:tcPr>
          <w:p w:rsidR="58FA8706" w:rsidRDefault="58FA8706" w14:noSpellErr="1" w14:paraId="220C52F7" w14:textId="7F4C6F71">
            <w:r w:rsidR="58FA8706">
              <w:rPr/>
              <w:t>Outstanding</w:t>
            </w:r>
          </w:p>
        </w:tc>
        <w:tc>
          <w:tcPr>
            <w:tcW w:w="1700" w:type="dxa"/>
            <w:tcMar/>
          </w:tcPr>
          <w:p w:rsidR="58FA8706" w:rsidRDefault="58FA8706" w14:noSpellErr="1" w14:paraId="422A8709" w14:textId="782A5635">
            <w:r w:rsidR="58FA8706">
              <w:rPr/>
              <w:t>11 November</w:t>
            </w:r>
          </w:p>
        </w:tc>
      </w:tr>
      <w:tr w:rsidR="58FA8706" w:rsidTr="58FA8706" w14:paraId="50EFD58A">
        <w:tc>
          <w:tcPr>
            <w:tcW w:w="3700" w:type="dxa"/>
            <w:tcMar/>
          </w:tcPr>
          <w:p w:rsidR="58FA8706" w:rsidRDefault="58FA8706" w14:noSpellErr="1" w14:paraId="1B887C09" w14:textId="0F3FB6AA">
            <w:r w:rsidR="58FA8706">
              <w:rPr/>
              <w:t>Hedging mandate</w:t>
            </w:r>
          </w:p>
        </w:tc>
        <w:tc>
          <w:tcPr>
            <w:tcW w:w="3626" w:type="dxa"/>
            <w:tcMar/>
          </w:tcPr>
          <w:p w:rsidR="58FA8706" w:rsidRDefault="58FA8706" w14:noSpellErr="1" w14:paraId="5AF17358" w14:textId="081D9D6E">
            <w:r w:rsidR="58FA8706">
              <w:rPr/>
              <w:t>Coordination to go to the largest arrangers, ideally €250m or more</w:t>
            </w:r>
          </w:p>
        </w:tc>
        <w:tc>
          <w:tcPr>
            <w:tcW w:w="1700" w:type="dxa"/>
            <w:tcMar/>
          </w:tcPr>
          <w:p w:rsidR="58FA8706" w:rsidRDefault="58FA8706" w14:noSpellErr="1" w14:paraId="3130141C" w14:textId="00FB8432">
            <w:r w:rsidR="58FA8706">
              <w:rPr/>
              <w:t>To be agreed</w:t>
            </w:r>
          </w:p>
        </w:tc>
      </w:tr>
      <w:tr w:rsidR="58FA8706" w:rsidTr="58FA8706" w14:paraId="446C5E8A">
        <w:tc>
          <w:tcPr>
            <w:tcW w:w="3700" w:type="dxa"/>
            <w:tcMar/>
          </w:tcPr>
          <w:p w:rsidR="58FA8706" w:rsidRDefault="58FA8706" w14:noSpellErr="1" w14:paraId="6E2E2F38" w14:textId="1810E4A7">
            <w:r w:rsidR="58FA8706">
              <w:rPr/>
              <w:t>Final hold</w:t>
            </w:r>
          </w:p>
        </w:tc>
        <w:tc>
          <w:tcPr>
            <w:tcW w:w="3626" w:type="dxa"/>
            <w:tcMar/>
          </w:tcPr>
          <w:p w:rsidR="58FA8706" w:rsidRDefault="58FA8706" w14:noSpellErr="1" w14:paraId="63E40160" w14:textId="10EECB6B">
            <w:r w:rsidR="58FA8706">
              <w:rPr/>
              <w:t>Credit Risk €200m; Relationship Manager €300m</w:t>
            </w:r>
          </w:p>
        </w:tc>
        <w:tc>
          <w:tcPr>
            <w:tcW w:w="1700" w:type="dxa"/>
            <w:tcMar/>
          </w:tcPr>
          <w:p w:rsidR="58FA8706" w:rsidRDefault="58FA8706" w14:noSpellErr="1" w14:paraId="556EB2B3" w14:textId="09CCB22F">
            <w:r w:rsidR="58FA8706">
              <w:rPr/>
              <w:t>27 October review</w:t>
            </w:r>
          </w:p>
        </w:tc>
      </w:tr>
    </w:tbl>
    <w:sectPr w:rsidRPr="0006063C" w:rsidR="00FC693F" w:rsidSect="00034616">
      <w:pgSz w:w="11906" w:h="16838" w:orient="portrait"/>
      <w:pgMar w:top="1440" w:right="1440" w:bottom="1440" w:left="1440" w:header="720" w:footer="720" w:gutter="0"/>
      <w:cols w:space="720"/>
      <w:docGrid w:linePitch="360"/>
      <w:headerReference w:type="default" r:id="R4c615a018eb741b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w:p xmlns:w14="http://schemas.microsoft.com/office/word/2010/wordml" xmlns:p2="http://schemas.microsoft.com/office/word/2010/wordml" w:rsidR="58FA8706" w:rsidRDefault="58FA8706" p2:noSpellErr="1" w14:paraId="20D48051" w14:textId="4BDAF4EF">
    <w:r w:rsidR="58FA8706">
      <w:rPr/>
      <w:t>FICTIONAL – FOR TRAINING USE ONLY  |  Credit Risk Assessment – Fabrikam  |  DRAFT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8C8C7F"/>
    <w:rsid w:val="04E8CECE"/>
    <w:rsid w:val="052AC335"/>
    <w:rsid w:val="065EA9EA"/>
    <w:rsid w:val="065EA9EA"/>
    <w:rsid w:val="09FF0D3F"/>
    <w:rsid w:val="0F23FEDC"/>
    <w:rsid w:val="1DC7F11A"/>
    <w:rsid w:val="1E8133FC"/>
    <w:rsid w:val="1E8133FC"/>
    <w:rsid w:val="2B0D5024"/>
    <w:rsid w:val="2C0C3C8E"/>
    <w:rsid w:val="302E1A1F"/>
    <w:rsid w:val="41277740"/>
    <w:rsid w:val="41C37CD9"/>
    <w:rsid w:val="42CC258E"/>
    <w:rsid w:val="42E8B924"/>
    <w:rsid w:val="513E0CE7"/>
    <w:rsid w:val="5666C1DF"/>
    <w:rsid w:val="5666C1DF"/>
    <w:rsid w:val="58FA8706"/>
    <w:rsid w:val="5A30BF27"/>
    <w:rsid w:val="60A88D9C"/>
    <w:rsid w:val="6A6B4934"/>
    <w:rsid w:val="7AC74BC8"/>
    <w:rsid w:val="7AC74BC8"/>
    <w:rsid w:val="7C628FAB"/>
    <w:rsid w:val="7F5AE198"/>
    <w:rsid w:val="7F5AE1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BE6CE0B-5F3A-475C-8A92-69B9767902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xml" Id="R4c615a018eb741b0" /></Relationships>
</file>

<file path=word/theme/theme1.xml><?xml version="1.0" encoding="utf-8"?>
<a:theme xmlns:a="http://schemas.openxmlformats.org/drawingml/2006/main" name="Office Theme">
  <a:themeElements>
    <a:clrScheme name="Custom 2F5496">
      <a:dk1>
        <a:srgbClr val="1A1A1A"/>
      </a:dk1>
      <a:lt1>
        <a:srgbClr val="FFFFFF"/>
      </a:lt1>
      <a:dk2>
        <a:srgbClr val="2F5496"/>
      </a:dk2>
      <a:lt2>
        <a:srgbClr val="EEECE1"/>
      </a:lt2>
      <a:accent1>
        <a:srgbClr val="2F5496"/>
      </a:accent1>
      <a:accent2>
        <a:srgbClr val="595959"/>
      </a:accent2>
      <a:accent3>
        <a:srgbClr val="2F5496"/>
      </a:accent3>
      <a:accent4>
        <a:srgbClr val="2F5496"/>
      </a:accent4>
      <a:accent5>
        <a:srgbClr val="2F5496"/>
      </a:accent5>
      <a:accent6>
        <a:srgbClr val="2F5496"/>
      </a:accent6>
      <a:hlink>
        <a:srgbClr val="2F5496"/>
      </a:hlink>
      <a:folHlink>
        <a:srgbClr val="59595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fbde396-1a24-4c79-8edf-9254a0f35055}" enabled="1" method="Standar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Sarah Allali</lastModifiedBy>
  <revision>2</revision>
  <dcterms:created xsi:type="dcterms:W3CDTF">2026-10-03T13:29:04.0000000Z</dcterms:created>
  <dcterms:modified xsi:type="dcterms:W3CDTF">2026-10-03T13:39:28.9872840Z</dcterms:modified>
  <category/>
</coreProperties>
</file>

<file path=docProps/custom.xml><?xml version="1.0" encoding="utf-8"?>
<Properties xmlns="http://schemas.openxmlformats.org/officeDocument/2006/custom-properties" xmlns:vt="http://schemas.openxmlformats.org/officeDocument/2006/docPropsVTypes"/>
</file>