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60FE959" w:rsidP="260FE959" w:rsidRDefault="260FE959" w14:noSpellErr="1" w14:paraId="3B966288" w14:textId="6BD110CF">
      <w:pPr>
        <w:jc w:val="center"/>
      </w:pPr>
      <w:r w:rsidRPr="260FE959" w:rsidR="260FE959">
        <w:rPr>
          <w:b w:val="1"/>
          <w:bCs w:val="1"/>
          <w:color w:val="C00000"/>
          <w:sz w:val="20"/>
          <w:szCs w:val="20"/>
        </w:rPr>
        <w:t>FICTIONAL – FOR TRAINING USE ONLY</w:t>
      </w:r>
    </w:p>
    <w:p w:rsidR="260FE959" w:rsidP="260FE959" w:rsidRDefault="260FE959" w14:noSpellErr="1" w14:paraId="495AACC5" w14:textId="6AA70759">
      <w:pPr>
        <w:pStyle w:val="Title"/>
      </w:pPr>
      <w:r w:rsidR="260FE959">
        <w:rPr/>
        <w:t>Anticipated ExCo Questions – Project Meridian</w:t>
      </w:r>
    </w:p>
    <w:p w:rsidR="260FE959" w:rsidP="260FE959" w:rsidRDefault="260FE959" w14:noSpellErr="1" w14:paraId="1F7BD79A" w14:textId="31C3AD1B">
      <w:pPr>
        <w:pStyle w:val="Subtitle"/>
        <w:rPr/>
      </w:pPr>
      <w:r w:rsidRPr="260FE959" w:rsidR="260FE959">
        <w:rPr>
          <w:color w:val="1B4F72" w:themeColor="accent6" w:themeTint="FF" w:themeShade="FF"/>
        </w:rPr>
        <w:t>Briefing for Haruka Sato – EMEA Executive Committee, Thursday 12 November 2026</w:t>
      </w:r>
    </w:p>
    <w:p w:rsidR="260FE959" w:rsidRDefault="260FE959" w14:noSpellErr="1" w14:paraId="5EDDB59F" w14:textId="14CA14C7">
      <w:r w:rsidRPr="260FE959" w:rsidR="260FE959">
        <w:rPr>
          <w:color w:val="595959"/>
          <w:sz w:val="20"/>
          <w:szCs w:val="20"/>
        </w:rPr>
        <w:t>Prepared by Thomas Brennan and Priya Raman  |  Monday 9 November 2026  |  Strictly confidential – internal</w:t>
      </w:r>
    </w:p>
    <w:p w:rsidR="260FE959" w:rsidRDefault="260FE959" w14:noSpellErr="1" w14:paraId="355CED89" w14:textId="601DB2FC">
      <w:r w:rsidR="260FE959">
        <w:rPr/>
        <w:t>Suggested answers to the questions the Executive Committee is most likely to ask about the recommendation in the Executive Briefing of Friday 6 November: MUFG EMEA to act as Mandated Lead Arranger on Fabrikam’s €800m acquisition financing with a €250m final hold, subject to three conditions. All figures match the briefing and its source documents.</w:t>
      </w:r>
    </w:p>
    <w:tbl>
      <w:tblPr>
        <w:tblStyle w:val="MediumShading1-Accent1"/>
        <w:tblW w:w="0" w:type="auto"/>
        <w:tblLook w:val="04A0" w:firstRow="1" w:lastRow="0" w:firstColumn="1" w:lastColumn="0" w:noHBand="0" w:noVBand="1"/>
      </w:tblPr>
      <w:tblGrid>
        <w:gridCol w:w="2800"/>
        <w:gridCol w:w="8570"/>
        <w:gridCol w:w="3200"/>
      </w:tblGrid>
      <w:tr w:rsidR="260FE959" w:rsidTr="1A3349AF" w14:paraId="489A4E14">
        <w:trPr>
          <w:trHeight w:val="300"/>
          <w:tblHeader/>
        </w:trPr>
        <w:tc>
          <w:tcPr>
            <w:tcW w:w="2800" w:type="dxa"/>
            <w:tcMar/>
          </w:tcPr>
          <w:p w:rsidR="260FE959" w:rsidRDefault="260FE959" w14:noSpellErr="1" w14:paraId="30C309B3" w14:textId="5E049695">
            <w:r w:rsidR="260FE959">
              <w:rPr/>
              <w:t>Question</w:t>
            </w:r>
          </w:p>
        </w:tc>
        <w:tc>
          <w:tcPr>
            <w:tcW w:w="8570" w:type="dxa"/>
            <w:tcMar/>
          </w:tcPr>
          <w:p w:rsidR="260FE959" w:rsidRDefault="260FE959" w14:noSpellErr="1" w14:paraId="5B25124C" w14:textId="56E27D59">
            <w:r w:rsidR="260FE959">
              <w:rPr/>
              <w:t>Suggested answer</w:t>
            </w:r>
          </w:p>
        </w:tc>
        <w:tc>
          <w:tcPr>
            <w:tcW w:w="3200" w:type="dxa"/>
            <w:tcMar/>
          </w:tcPr>
          <w:p w:rsidR="260FE959" w:rsidRDefault="260FE959" w14:noSpellErr="1" w14:paraId="44CFA799" w14:textId="4FC0641D">
            <w:r w:rsidR="260FE959">
              <w:rPr/>
              <w:t>Evidence/source</w:t>
            </w:r>
          </w:p>
        </w:tc>
      </w:tr>
      <w:tr w:rsidR="260FE959" w:rsidTr="1A3349AF" w14:paraId="78ED4AA9">
        <w:tc>
          <w:tcPr>
            <w:tcW w:w="2800" w:type="dxa"/>
            <w:tcMar/>
          </w:tcPr>
          <w:p w:rsidR="260FE959" w:rsidRDefault="260FE959" w14:noSpellErr="1" w14:paraId="6EBAA7B2" w14:textId="66D5C492">
            <w:r w:rsidR="260FE959">
              <w:rPr/>
              <w:t>Why lead as MLA rather than simply participate?</w:t>
            </w:r>
          </w:p>
        </w:tc>
        <w:tc>
          <w:tcPr>
            <w:tcW w:w="8570" w:type="dxa"/>
            <w:tcMar/>
          </w:tcPr>
          <w:p w:rsidR="260FE959" w:rsidRDefault="260FE959" w14:noSpellErr="1" w14:paraId="486D878E" w14:textId="5FB3AB56">
            <w:r w:rsidR="260FE959">
              <w:rPr/>
              <w:t>It keeps MUFG at the centre of a decades-long relationship with a Japanese client expanding in Europe, the aim of Project Meridian. Leading also positions MUFG for hedging coordination (awarded to commitments of “ideally €250m or more”) and cash management in the Netherlands, France and the UAE. The loan alone returns only 2.01%.</w:t>
            </w:r>
          </w:p>
        </w:tc>
        <w:tc>
          <w:tcPr>
            <w:tcW w:w="3200" w:type="dxa"/>
            <w:tcMar/>
          </w:tcPr>
          <w:p w:rsidR="260FE959" w:rsidRDefault="260FE959" w14:noSpellErr="1" w14:paraId="419DE0FE" w14:textId="5891921A">
            <w:r w:rsidR="260FE959">
              <w:rPr/>
              <w:t>Client meeting notes, 13 Oct; Portfolio Performance Summary – Q3 2026</w:t>
            </w:r>
          </w:p>
        </w:tc>
      </w:tr>
      <w:tr w:rsidR="260FE959" w:rsidTr="1A3349AF" w14:paraId="252FEEFC">
        <w:tc>
          <w:tcPr>
            <w:tcW w:w="2800" w:type="dxa"/>
            <w:tcMar/>
          </w:tcPr>
          <w:p w:rsidR="260FE959" w:rsidRDefault="260FE959" w14:noSpellErr="1" w14:paraId="3D9BC8D4" w14:textId="6FA6F28F">
            <w:r w:rsidR="260FE959">
              <w:rPr/>
              <w:t>Why €250m and not €300m?</w:t>
            </w:r>
          </w:p>
        </w:tc>
        <w:tc>
          <w:tcPr>
            <w:tcW w:w="8570" w:type="dxa"/>
            <w:tcMar/>
          </w:tcPr>
          <w:p w:rsidR="260FE959" w:rsidRDefault="260FE959" w14:noSpellErr="1" w14:paraId="2A6BAED7" w14:textId="6884D953">
            <w:r w:rsidR="260FE959">
              <w:rPr/>
              <w:t>With the €280m high-probability Industrials pipeline, €300m takes Industrials to 15.05%, a breach of the 15% limit (about €18m over), and uses 98% of the €500m single-name limit. €250m gives 14.90% (about €32m headroom) and 88%, and earns more: 3.20% RoRWA including ancillary business against 3.00%.</w:t>
            </w:r>
          </w:p>
        </w:tc>
        <w:tc>
          <w:tcPr>
            <w:tcW w:w="3200" w:type="dxa"/>
            <w:tcMar/>
          </w:tcPr>
          <w:p w:rsidR="260FE959" w:rsidRDefault="260FE959" w14:noSpellErr="1" w14:paraId="4E36F48F" w14:textId="6162C017">
            <w:r w:rsidR="260FE959">
              <w:rPr/>
              <w:t>Portfolio Performance Summary – Q3 2026; review minutes, 27 Oct</w:t>
            </w:r>
          </w:p>
        </w:tc>
      </w:tr>
      <w:tr w:rsidR="260FE959" w:rsidTr="1A3349AF" w14:paraId="2DDC74FC">
        <w:tc>
          <w:tcPr>
            <w:tcW w:w="2800" w:type="dxa"/>
            <w:tcMar/>
          </w:tcPr>
          <w:p w:rsidR="260FE959" w:rsidRDefault="260FE959" w14:noSpellErr="1" w14:paraId="59950F48" w14:textId="7878208C">
            <w:r w:rsidR="260FE959">
              <w:rPr/>
              <w:t>Why not €200m?</w:t>
            </w:r>
          </w:p>
        </w:tc>
        <w:tc>
          <w:tcPr>
            <w:tcW w:w="8570" w:type="dxa"/>
            <w:tcMar/>
          </w:tcPr>
          <w:p w:rsidR="260FE959" w:rsidRDefault="260FE959" w14:noSpellErr="1" w14:paraId="605913F8" w14:textId="71560750">
            <w:r w:rsidR="260FE959">
              <w:rPr/>
              <w:t>€200m falls short of Fabrikam’s “ideally €250m or more” for the hedging coordinator role, so hedging would be shared: €0.9m a year instead of €1.5m, and RoRWA 3.03% against 3.20%. The concentration benefit is small: 14.76% with the pipeline against 14.90%, both in the early-warning zone.</w:t>
            </w:r>
          </w:p>
        </w:tc>
        <w:tc>
          <w:tcPr>
            <w:tcW w:w="3200" w:type="dxa"/>
            <w:tcMar/>
          </w:tcPr>
          <w:p w:rsidR="260FE959" w:rsidRDefault="260FE959" w14:noSpellErr="1" w14:paraId="30DEBC5F" w14:textId="6A33EE14">
            <w:r w:rsidR="260FE959">
              <w:rPr/>
              <w:t>Hold scenarios (Portfolio Performance Summary); client meeting notes, 13 Oct</w:t>
            </w:r>
          </w:p>
        </w:tc>
      </w:tr>
      <w:tr w:rsidR="260FE959" w:rsidTr="1A3349AF" w14:paraId="2FA926C5">
        <w:tc>
          <w:tcPr>
            <w:tcW w:w="2800" w:type="dxa"/>
            <w:tcMar/>
          </w:tcPr>
          <w:p w:rsidR="260FE959" w:rsidRDefault="260FE959" w14:noSpellErr="1" w14:paraId="2CD46BB5" w14:textId="01494E89">
            <w:r w:rsidR="260FE959">
              <w:rPr/>
              <w:t>Is 2.7x pro-forma leverage sustainable?</w:t>
            </w:r>
          </w:p>
        </w:tc>
        <w:tc>
          <w:tcPr>
            <w:tcW w:w="8570" w:type="dxa"/>
            <w:tcMar/>
          </w:tcPr>
          <w:p w:rsidR="260FE959" w:rsidRDefault="260FE959" w14:noSpellErr="1" w14:paraId="3998D8C8" w14:textId="7A27354D">
            <w:r w:rsidR="260FE959">
              <w:rPr/>
              <w:t>Yes. On FY2025 audited figures (EBITDA €1,040m, net debt €2,800m) leverage is 2.7x, with 17.2% headroom to the 3.25x covenant and interest cover of about 13.1x. It falls to 2.26x in Year 1 and 1.37x by Year 3, and stays within the covenant after a 15% EBITDA fall (3.17x); a 20% fall breaches it (3.37x). The earlier 2.9x used FY2024 EBITDA.</w:t>
            </w:r>
          </w:p>
        </w:tc>
        <w:tc>
          <w:tcPr>
            <w:tcW w:w="3200" w:type="dxa"/>
            <w:tcMar/>
          </w:tcPr>
          <w:p w:rsidR="260FE959" w:rsidRDefault="260FE959" w14:noSpellErr="1" w14:paraId="5D067DAA" w14:textId="73051C11">
            <w:r w:rsidR="260FE959">
              <w:rPr/>
              <w:t>Fabrikam Financial Analysis (FY2025 audited); review minutes, 27 Oct</w:t>
            </w:r>
          </w:p>
        </w:tc>
      </w:tr>
      <w:tr w:rsidR="260FE959" w:rsidTr="1A3349AF" w14:paraId="73989BDB">
        <w:tc>
          <w:tcPr>
            <w:tcW w:w="2800" w:type="dxa"/>
            <w:tcMar/>
          </w:tcPr>
          <w:p w:rsidR="260FE959" w:rsidRDefault="260FE959" w14:noSpellErr="1" w14:paraId="4475FBC5" w14:textId="0A1A7C86">
            <w:r w:rsidR="260FE959">
              <w:rPr/>
              <w:t>What if the Dunkirk ESG review finds issues?</w:t>
            </w:r>
          </w:p>
        </w:tc>
        <w:tc>
          <w:tcPr>
            <w:tcW w:w="8570" w:type="dxa"/>
            <w:tcMar/>
          </w:tcPr>
          <w:p w:rsidR="260FE959" w:rsidRDefault="260FE959" w14:noSpellErr="1" w14:paraId="7A8BC863" w14:textId="02F8634A">
            <w:r w:rsidR="260FE959">
              <w:rPr/>
              <w:t>Satisfactory ESG due diligence on the Dunkirk plant is a condition before signing, so MUFG would not sign until any findings on the permit renewal or wastewater discharge are resolved. Lucerne Environmental Advisory’s report is due on Friday 13 November, the day after the ExCo; the sustainability-linked margin also depends on it.</w:t>
            </w:r>
          </w:p>
        </w:tc>
        <w:tc>
          <w:tcPr>
            <w:tcW w:w="3200" w:type="dxa"/>
            <w:tcMar/>
          </w:tcPr>
          <w:p w:rsidR="260FE959" w:rsidRDefault="260FE959" w14:noSpellErr="1" w14:paraId="563C08AF" w14:textId="7BD64A0E">
            <w:r w:rsidR="260FE959">
              <w:rPr/>
              <w:t>Compliance Review Note, 27 Oct; Executive Briefing, condition 2</w:t>
            </w:r>
          </w:p>
        </w:tc>
      </w:tr>
      <w:tr w:rsidR="260FE959" w:rsidTr="1A3349AF" w14:paraId="50C7A9AD">
        <w:tc>
          <w:tcPr>
            <w:tcW w:w="2800" w:type="dxa"/>
            <w:tcMar/>
          </w:tcPr>
          <w:p w:rsidR="260FE959" w:rsidRDefault="260FE959" w14:noSpellErr="1" w14:paraId="13288444" w14:textId="12EBAA83">
            <w:r w:rsidR="260FE959">
              <w:rPr/>
              <w:t>What compliance items are still open?</w:t>
            </w:r>
          </w:p>
        </w:tc>
        <w:tc>
          <w:tcPr>
            <w:tcW w:w="8570" w:type="dxa"/>
            <w:tcMar/>
          </w:tcPr>
          <w:p w:rsidR="260FE959" w:rsidRDefault="260FE959" w14:noSpellErr="1" w14:paraId="47B619B1" w14:textId="0BC99147">
            <w:r w:rsidR="260FE959">
              <w:rPr/>
              <w:t>UBO confirmation for Contoso Management Holdings S.à r.l. (due 11 November); sanctions and adverse-media screening of the target group; Contoso onboarding due diligence (11 November); the Dunkirk ESG report (13 November); external review of the sustainability-linked KPIs. Fabrikam Europe KYC is complete. No binding commitment before clearance.</w:t>
            </w:r>
          </w:p>
        </w:tc>
        <w:tc>
          <w:tcPr>
            <w:tcW w:w="3200" w:type="dxa"/>
            <w:tcMar/>
          </w:tcPr>
          <w:p w:rsidR="260FE959" w:rsidRDefault="260FE959" w14:noSpellErr="1" w14:paraId="327635F3" w14:textId="04A7780B">
            <w:r w:rsidR="260FE959">
              <w:rPr/>
              <w:t>Compliance Review Note, 27 Oct</w:t>
            </w:r>
          </w:p>
        </w:tc>
      </w:tr>
      <w:tr w:rsidR="260FE959" w:rsidTr="1A3349AF" w14:paraId="7CCC4D44">
        <w:tc>
          <w:tcPr>
            <w:tcW w:w="2800" w:type="dxa"/>
            <w:tcMar/>
          </w:tcPr>
          <w:p w:rsidR="260FE959" w:rsidRDefault="260FE959" w14:noSpellErr="1" w14:paraId="406EC7B1" w14:textId="1BBCD880">
            <w:r w:rsidR="260FE959">
              <w:rPr/>
              <w:t>Do the returns clear the 2.5% hurdle?</w:t>
            </w:r>
          </w:p>
        </w:tc>
        <w:tc>
          <w:tcPr>
            <w:tcW w:w="8570" w:type="dxa"/>
            <w:tcMar/>
          </w:tcPr>
          <w:p w:rsidR="260FE959" w:rsidRDefault="260FE959" w14:noSpellErr="1" w14:paraId="6E3F06D7" w14:textId="149ABF44">
            <w:r w:rsidR="260FE959">
              <w:rPr/>
              <w:t>Only with ancillary business. The loan alone returns 2.01% at every hold size. At €250m, hedging as coordinator (€1.5m a year) and cash management (€0.4m) take total relationship revenue to €5.11m a year on €159.7m of RWA: a 3.20% return. Hence condition 3. The portfolio average is 1.89%.</w:t>
            </w:r>
          </w:p>
        </w:tc>
        <w:tc>
          <w:tcPr>
            <w:tcW w:w="3200" w:type="dxa"/>
            <w:tcMar/>
          </w:tcPr>
          <w:p w:rsidR="260FE959" w:rsidRDefault="260FE959" w14:noSpellErr="1" w14:paraId="3AEADCFC" w14:textId="0D78A608">
            <w:r w:rsidR="260FE959">
              <w:rPr/>
              <w:t>Hold scenarios (Portfolio Performance Summary – Q3 2026)</w:t>
            </w:r>
          </w:p>
        </w:tc>
      </w:tr>
      <w:tr w:rsidR="260FE959" w:rsidTr="1A3349AF" w14:paraId="58A1E739">
        <w:tc>
          <w:tcPr>
            <w:tcW w:w="2800" w:type="dxa"/>
            <w:tcMar/>
          </w:tcPr>
          <w:p w:rsidR="260FE959" w:rsidRDefault="260FE959" w14:noSpellErr="1" w14:paraId="1A0A46B9" w14:textId="248E067D">
            <w:r w:rsidR="260FE959">
              <w:rPr/>
              <w:t>What is the syndication risk?</w:t>
            </w:r>
          </w:p>
        </w:tc>
        <w:tc>
          <w:tcPr>
            <w:tcW w:w="8570" w:type="dxa"/>
            <w:tcMar/>
          </w:tcPr>
          <w:p w:rsidR="260FE959" w:rsidRDefault="260FE959" w14:noSpellErr="1" w14:paraId="4F36F0E5" w14:textId="1D6BED41">
            <w:r w:rsidR="260FE959">
              <w:rPr/>
              <w:t>MUFG would arrange €800m and keep €250m, so the rest must be placed with other banks. Mitigants: a long-standing client rated BBB stand-alone (BBB- pro-forma); Fabrikam has suggested Woodgrove Bank as a possible co-arranger; Thomas Brennan is checking interest from Woodgrove Bank and one other bank. The proposal is non-binding.</w:t>
            </w:r>
          </w:p>
        </w:tc>
        <w:tc>
          <w:tcPr>
            <w:tcW w:w="3200" w:type="dxa"/>
            <w:tcMar/>
          </w:tcPr>
          <w:p w:rsidR="260FE959" w:rsidRDefault="260FE959" w14:noSpellErr="1" w14:paraId="5B0ADE72" w14:textId="1649D405">
            <w:r w:rsidR="260FE959">
              <w:rPr/>
              <w:t>Credit Risk Assessment (key risks); review minutes, 27 Oct (action 7)</w:t>
            </w:r>
          </w:p>
        </w:tc>
      </w:tr>
      <w:tr w:rsidR="260FE959" w:rsidTr="1A3349AF" w14:paraId="6079EA94">
        <w:tc>
          <w:tcPr>
            <w:tcW w:w="2800" w:type="dxa"/>
            <w:tcMar/>
          </w:tcPr>
          <w:p w:rsidR="260FE959" w:rsidRDefault="260FE959" w14:noSpellErr="1" w14:paraId="3FCA41DE" w14:textId="2D5F347A">
            <w:r w:rsidR="260FE959">
              <w:rPr/>
              <w:t>What happens to Industrials concentration over the next year?</w:t>
            </w:r>
          </w:p>
        </w:tc>
        <w:tc>
          <w:tcPr>
            <w:tcW w:w="8570" w:type="dxa"/>
            <w:tcMar/>
          </w:tcPr>
          <w:p w:rsidR="260FE959" w:rsidRDefault="260FE959" w14:noSpellErr="1" w14:paraId="54E234DF" w14:textId="263D1B3E">
            <w:r w:rsidR="260FE959">
              <w:rPr/>
              <w:t>Industrials is 13.61% of commitments (early warning 13.5%, limit 15%) and has risen about 0.23 points a quarter; with no new deals the linear forecast is 14.56% by Q3 2027. The high-probability pipeline alone takes it to 14.16%, and with a €250m hold to 14.90%. A concentration-management plan is recommended by Q1 2027.</w:t>
            </w:r>
          </w:p>
        </w:tc>
        <w:tc>
          <w:tcPr>
            <w:tcW w:w="3200" w:type="dxa"/>
            <w:tcMar/>
          </w:tcPr>
          <w:p w:rsidR="260FE959" w:rsidRDefault="260FE959" w14:noSpellErr="1" w14:paraId="2A041CBA" w14:textId="1F1B0202">
            <w:r w:rsidR="260FE959">
              <w:rPr/>
              <w:t>Portfolio Performance Summary – Q3 2026 (outlook)</w:t>
            </w:r>
          </w:p>
        </w:tc>
      </w:tr>
      <w:tr w:rsidR="260FE959" w:rsidTr="1A3349AF" w14:paraId="5C734755">
        <w:tc>
          <w:tcPr>
            <w:tcW w:w="2800" w:type="dxa"/>
            <w:tcMar/>
          </w:tcPr>
          <w:p w:rsidR="260FE959" w:rsidRDefault="260FE959" w14:noSpellErr="1" w14:paraId="2B72023A" w14:textId="36306277">
            <w:r w:rsidR="260FE959">
              <w:rPr/>
              <w:t>Will UAE onboarding delay closing?</w:t>
            </w:r>
          </w:p>
        </w:tc>
        <w:tc>
          <w:tcPr>
            <w:tcW w:w="8570" w:type="dxa"/>
            <w:tcMar/>
          </w:tcPr>
          <w:p w:rsidR="260FE959" w:rsidRDefault="260FE959" w14:noSpellErr="1" w14:paraId="48A12016" w14:textId="2F0E493B">
            <w:r w:rsidR="260FE959">
              <w:rPr/>
              <w:t>No. UAE cash pooling takes 6–8 weeks after KYC clearance (Red), but it is on the critical path for post-closing cash pooling, not for the closing funds flow. Netherlands (2–3 weeks) and France (3–4 weeks) accounts are Amber. Operations recommends starting UAE documentation now; the funds-flow plan is due by 30 November.</w:t>
            </w:r>
          </w:p>
        </w:tc>
        <w:tc>
          <w:tcPr>
            <w:tcW w:w="3200" w:type="dxa"/>
            <w:tcMar/>
          </w:tcPr>
          <w:p w:rsidR="260FE959" w:rsidRDefault="260FE959" w14:noSpellErr="1" w14:paraId="41972220" w14:textId="27EC2FFF">
            <w:r w:rsidR="260FE959">
              <w:rPr/>
              <w:t>Operational Readiness Note, 27 Oct</w:t>
            </w:r>
          </w:p>
        </w:tc>
      </w:tr>
      <w:tr w:rsidR="260FE959" w:rsidTr="1A3349AF" w14:paraId="7B79EA9D">
        <w:tc>
          <w:tcPr>
            <w:tcW w:w="2800" w:type="dxa"/>
            <w:tcMar/>
          </w:tcPr>
          <w:p w:rsidR="260FE959" w:rsidRDefault="260FE959" w14:noSpellErr="1" w14:paraId="1D8AB5D5" w14:textId="3F019074">
            <w:r w:rsidR="260FE959">
              <w:rPr/>
              <w:t>How does Tokyo Head Office view the deal?</w:t>
            </w:r>
          </w:p>
        </w:tc>
        <w:tc>
          <w:tcPr>
            <w:tcW w:w="8570" w:type="dxa"/>
            <w:tcMar/>
          </w:tcPr>
          <w:p w:rsidR="260FE959" w:rsidRDefault="260FE959" w14:noSpellErr="1" w14:paraId="38C201D0" w14:textId="37DF7738">
            <w:r w:rsidR="260FE959">
              <w:rPr/>
              <w:t>Tokyo is engaged and has offered support. Takeshi Yamamoto asked for a status update in October after Fabrikam’s headquarters mentioned the project, and offered help with the parent-guarantee KYC; the guarantor is now confirmed via Tokyo’s global client record. Tokyo expects an update after the ExCo; the status note goes on Friday 13 November.</w:t>
            </w:r>
          </w:p>
        </w:tc>
        <w:tc>
          <w:tcPr>
            <w:tcW w:w="3200" w:type="dxa"/>
            <w:tcMar/>
          </w:tcPr>
          <w:p w:rsidR="260FE959" w:rsidRDefault="260FE959" w14:noSpellErr="1" w14:paraId="3CD215F7" w14:textId="30BD5DFC">
            <w:r w:rsidR="260FE959">
              <w:rPr/>
              <w:t>Tokyo Head Office email, 9 Oct; Compliance Review Note; review minutes (action 9)</w:t>
            </w:r>
          </w:p>
        </w:tc>
      </w:tr>
      <w:tr w:rsidR="260FE959" w:rsidTr="1A3349AF" w14:paraId="5923A0AB">
        <w:tc>
          <w:tcPr>
            <w:tcW w:w="2800" w:type="dxa"/>
            <w:tcMar/>
          </w:tcPr>
          <w:p w:rsidR="260FE959" w:rsidRDefault="260FE959" w14:noSpellErr="1" w14:paraId="29E99C2E" w14:textId="47D2BE71">
            <w:r w:rsidR="260FE959">
              <w:rPr/>
              <w:t>Is there any link to the Automotive downgrades in the portfolio?</w:t>
            </w:r>
          </w:p>
        </w:tc>
        <w:tc>
          <w:tcPr>
            <w:tcW w:w="8570" w:type="dxa"/>
            <w:tcMar/>
          </w:tcPr>
          <w:p w:rsidR="260FE959" w:rsidRDefault="260FE959" w14:noSpellErr="1" w14:paraId="557CDD03" w14:textId="40B0A535">
            <w:r w:rsidR="260FE959">
              <w:rPr/>
              <w:t>No direct link: Fabrikam is in Industrials, rated BBB, reviewed in March 2026 and not on the watch list. It shares the EV-demand driver, though: 7 of the 17 Q3 downgrades, 6 of the 8 watch-list facilities and the only Stage 3 case (Drevanta) are Automotive. Covenant headroom after a 15% EBITDA fall and deleveraging mitigate this.</w:t>
            </w:r>
          </w:p>
        </w:tc>
        <w:tc>
          <w:tcPr>
            <w:tcW w:w="3200" w:type="dxa"/>
            <w:tcMar/>
          </w:tcPr>
          <w:p w:rsidR="260FE959" w:rsidRDefault="260FE959" w14:noSpellErr="1" w14:paraId="1D7B2571" w14:textId="398E8BF9">
            <w:r w:rsidR="260FE959">
              <w:rPr/>
              <w:t>Portfolio Performance Summary – Q3 2026; Fabrikam Financial Analysis</w:t>
            </w:r>
          </w:p>
        </w:tc>
      </w:tr>
    </w:tbl>
    <w:sectPr w:rsidRPr="0006063C" w:rsidR="00FC693F" w:rsidSect="00034616">
      <w:pgSz w:w="16838" w:h="11906" w:orient="landscape"/>
      <w:pgMar w:top="1134" w:right="1134" w:bottom="1134" w:left="1134" w:header="720" w:footer="720" w:gutter="0"/>
      <w:cols w:space="720"/>
      <w:docGrid w:linePitch="360"/>
      <w:headerReference w:type="default" r:id="Rbf779facc6034e7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260FE959" w:rsidRDefault="260FE959" p2:noSpellErr="1" w14:paraId="6B2F5A87" w14:textId="6FDCE6A9">
    <w:r w:rsidR="260FE959">
      <w:rPr/>
      <w:t>FICTIONAL – FOR TRAINING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349AF"/>
    <w:rsid w:val="260FE959"/>
    <w:rsid w:val="2776FBFE"/>
    <w:rsid w:val="27F6B5C4"/>
    <w:rsid w:val="33EFA7D4"/>
    <w:rsid w:val="4DFAA94B"/>
    <w:rsid w:val="5172F891"/>
    <w:rsid w:val="66A5AB95"/>
    <w:rsid w:val="66A5A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1B4D6C5-D23B-4CC7-90F8-84D8E68E5B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bf779facc6034e7c" /></Relationships>
</file>

<file path=word/theme/theme1.xml><?xml version="1.0" encoding="utf-8"?>
<a:theme xmlns:a="http://schemas.openxmlformats.org/drawingml/2006/main" name="Office Theme">
  <a:themeElements>
    <a:clrScheme name="Custom 1B4F72">
      <a:dk1>
        <a:srgbClr val="262626"/>
      </a:dk1>
      <a:lt1>
        <a:srgbClr val="FFFFFF"/>
      </a:lt1>
      <a:dk2>
        <a:srgbClr val="1B4F72"/>
      </a:dk2>
      <a:lt2>
        <a:srgbClr val="EEECE1"/>
      </a:lt2>
      <a:accent1>
        <a:srgbClr val="1B4F72"/>
      </a:accent1>
      <a:accent2>
        <a:srgbClr val="7F7F7F"/>
      </a:accent2>
      <a:accent3>
        <a:srgbClr val="1B4F72"/>
      </a:accent3>
      <a:accent4>
        <a:srgbClr val="1B4F72"/>
      </a:accent4>
      <a:accent5>
        <a:srgbClr val="1B4F72"/>
      </a:accent5>
      <a:accent6>
        <a:srgbClr val="1B4F72"/>
      </a:accent6>
      <a:hlink>
        <a:srgbClr val="1B4F72"/>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3</revision>
  <dcterms:created xsi:type="dcterms:W3CDTF">2026-10-03T14:05:41.0000000Z</dcterms:created>
  <dcterms:modified xsi:type="dcterms:W3CDTF">2026-10-03T14:16:34.6717827Z</dcterms:modified>
  <category/>
</coreProperties>
</file>

<file path=docProps/custom.xml><?xml version="1.0" encoding="utf-8"?>
<Properties xmlns="http://schemas.openxmlformats.org/officeDocument/2006/custom-properties" xmlns:vt="http://schemas.openxmlformats.org/officeDocument/2006/docPropsVTypes"/>
</file>