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8B40AE1" w:rsidP="08B40AE1" w:rsidRDefault="08B40AE1" w14:noSpellErr="1" w14:paraId="2F3A68A9" w14:textId="2A925C48">
      <w:pPr>
        <w:jc w:val="center"/>
      </w:pPr>
      <w:r w:rsidRPr="08B40AE1" w:rsidR="08B40AE1">
        <w:rPr>
          <w:b w:val="1"/>
          <w:bCs w:val="1"/>
          <w:color w:val="C00000"/>
          <w:sz w:val="20"/>
          <w:szCs w:val="20"/>
        </w:rPr>
        <w:t>FICTIONAL – FOR TRAINING USE ONLY</w:t>
      </w:r>
    </w:p>
    <w:p w:rsidR="08B40AE1" w:rsidP="08B40AE1" w:rsidRDefault="08B40AE1" w14:noSpellErr="1" w14:paraId="59F51DB7" w14:textId="72A632A6">
      <w:pPr>
        <w:pStyle w:val="Title"/>
      </w:pPr>
      <w:r w:rsidR="08B40AE1">
        <w:rPr/>
        <w:t>Executive Briefing – Project Meridian</w:t>
      </w:r>
    </w:p>
    <w:p w:rsidR="08B40AE1" w:rsidP="08B40AE1" w:rsidRDefault="08B40AE1" w14:noSpellErr="1" w14:paraId="3642DC77" w14:textId="6F72DDB1">
      <w:pPr>
        <w:pStyle w:val="Subtitle"/>
        <w:rPr/>
      </w:pPr>
      <w:r w:rsidRPr="08B40AE1" w:rsidR="08B40AE1">
        <w:rPr>
          <w:color w:val="1B4F72" w:themeColor="accent6" w:themeTint="FF" w:themeShade="FF"/>
        </w:rPr>
        <w:t>DRAFT v0.3 – ExCo pre-read for 12 November</w:t>
      </w:r>
    </w:p>
    <w:p w:rsidR="08B40AE1" w:rsidRDefault="08B40AE1" w14:noSpellErr="1" w14:paraId="10433BA6" w14:textId="2CDC12E3">
      <w:r w:rsidRPr="08B40AE1" w:rsidR="08B40AE1">
        <w:rPr>
          <w:color w:val="595959"/>
          <w:sz w:val="20"/>
          <w:szCs w:val="20"/>
        </w:rPr>
        <w:t>Prepared by Thomas Brennan, Director, Senior Relationship Manager, Japanese Corporates &amp; Industrials</w:t>
      </w:r>
    </w:p>
    <w:p w:rsidR="08B40AE1" w:rsidRDefault="08B40AE1" w14:noSpellErr="1" w14:paraId="2E8E82CE" w14:textId="4888DEAE">
      <w:r w:rsidRPr="08B40AE1" w:rsidR="08B40AE1">
        <w:rPr>
          <w:color w:val="595959"/>
          <w:sz w:val="20"/>
          <w:szCs w:val="20"/>
        </w:rPr>
        <w:t>Monday 2 November 2026  |  Strictly confidential – Project Meridian team only</w:t>
      </w:r>
    </w:p>
    <w:p w:rsidR="08B40AE1" w:rsidP="08B40AE1" w:rsidRDefault="08B40AE1" w14:noSpellErr="1" w14:paraId="6E68F28C" w14:textId="6AF7007A">
      <w:pPr>
        <w:pStyle w:val="Heading1"/>
      </w:pPr>
      <w:r w:rsidR="08B40AE1">
        <w:rPr/>
        <w:t>1. Purpose</w:t>
      </w:r>
    </w:p>
    <w:p w:rsidR="08B40AE1" w:rsidRDefault="08B40AE1" w14:noSpellErr="1" w14:paraId="7897BCE5" w14:textId="5DC6D5D6">
      <w:r w:rsidR="08B40AE1">
        <w:rPr/>
        <w:t>This paper asks the EMEA Executive Committee to approve MUFG EMEA acting as Mandated Lead Arranger (MLA) and Bookrunner on an €800m acquisition financing for Fabrikam Europe GmbH, guaranteed by its parent, Fabrikam Industries Co., Ltd., and to agree the size of MUFG’s final hold. The financing supports Fabrikam’s acquisition of 100% of Contoso Energy Materials B.V. Fabrikam has asked for an indicative, non-binding proposal by Friday 6 November 2026, and the Executive Committee will consider the request at the Q4 Quarterly Business Review on Thursday 12 November 2026.</w:t>
      </w:r>
    </w:p>
    <w:p w:rsidR="08B40AE1" w:rsidP="08B40AE1" w:rsidRDefault="08B40AE1" w14:noSpellErr="1" w14:paraId="3BF1127C" w14:textId="184CC3BA">
      <w:pPr>
        <w:pStyle w:val="Heading1"/>
      </w:pPr>
      <w:r w:rsidR="08B40AE1">
        <w:rPr/>
        <w:t>2. Executive summary</w:t>
      </w:r>
    </w:p>
    <w:p w:rsidR="08B40AE1" w:rsidRDefault="08B40AE1" w14:noSpellErr="1" w14:paraId="2F9A6C5D" w14:textId="3F96D1A2">
      <w:r w:rsidRPr="08B40AE1" w:rsidR="08B40AE1">
        <w:rPr>
          <w:b w:val="1"/>
          <w:bCs w:val="1"/>
          <w:color w:val="C00000"/>
        </w:rPr>
        <w:t>[To be written]</w:t>
      </w:r>
    </w:p>
    <w:p w:rsidR="08B40AE1" w:rsidP="08B40AE1" w:rsidRDefault="08B40AE1" w14:noSpellErr="1" w14:paraId="5EC2FE5B" w14:textId="7FD73F83">
      <w:pPr>
        <w:pStyle w:val="Heading1"/>
      </w:pPr>
      <w:r w:rsidR="08B40AE1">
        <w:rPr/>
        <w:t>3. The opportunity</w:t>
      </w:r>
    </w:p>
    <w:p w:rsidR="08B40AE1" w:rsidRDefault="08B40AE1" w14:noSpellErr="1" w14:paraId="5B8B901E" w14:textId="5598D0F0">
      <w:r w:rsidR="08B40AE1">
        <w:rPr/>
        <w:t>Fabrikam Industries Co., Ltd. is a Tokyo-headquartered manufacturer of precision components for electric vehicles and industrial automation and, as the Committee will be aware, it has been a valued client of MUFG for several decades. Following an initial telephone call from Fabrikam’s Chief Financial Officer, Yuki Hayashi, on Friday 2 October, Fabrikam sent us a formal and strictly confidential written request on Monday 5 October, in which it asked MUFG to act as Mandated Lead Arranger and Bookrunner for an €800m financing, made up of a five-year Term Loan A of €600m, which would be drawn at closing, and a five-year Revolving Credit Facility of €200m, which would be undrawn at closing.</w:t>
      </w:r>
    </w:p>
    <w:p w:rsidR="08B40AE1" w:rsidRDefault="08B40AE1" w14:noSpellErr="1" w14:paraId="20092D6E" w14:textId="284A6B9E">
      <w:r w:rsidR="08B40AE1">
        <w:rPr/>
        <w:t>The purpose of the financing is to fund the acquisition by Fabrikam Europe GmbH, Fabrikam’s European subsidiary based in Düsseldorf, of 100% of Contoso Energy Materials B.V., a battery-materials recycler based in Eindhoven in the Netherlands, which operates two plants, one in Eindhoven and one in Dunkirk in France. Contoso is currently owned by Northwind Capital Partners Fund III, which holds 88%, and by Contoso Management Holdings S.à r.l., a Luxembourg management vehicle, which holds the remaining 12%. The enterprise value of the transaction is €1,200m, which represents approximately 10.9x Contoso’s 2025 EBITDA of €110m, on 2025 revenue of €790m. In addition to the €600m Term Loan A, the remainder of the purchase price will be paid from Fabrikam’s existing cash of €600m, and there are also transaction costs of €20m.</w:t>
      </w:r>
    </w:p>
    <w:p w:rsidR="08B40AE1" w:rsidRDefault="08B40AE1" w14:noSpellErr="1" w14:paraId="3A81C7D7" w14:textId="768A094B">
      <w:r w:rsidR="08B40AE1">
        <w:rPr/>
        <w:t>Strategically, the acquisition is very important for Fabrikam, because it will allow Fabrikam to secure recycled battery materials, namely nickel, cobalt and lithium, for its electric-vehicle component business, as part of what Fabrikam describes as a “closed-loop” supply strategy. As well as the financing itself, Fabrikam has also asked MUFG to act as hedging coordinator for EUR/JPY foreign exchange and interest-rate hedging on the term loan, to provide cash management in the Netherlands, France and the UAE, and to give our views on a possible sustainability-linked margin feature. We met Markus Brandt, Fabrikam’s Group Treasurer Europe, in London on Tuesday 13 October, with Hayashi-san joining by video from Tokyo, and the meeting confirmed both the structure and the timetable, with signing targeted for mid-December 2026 and closing expected in the first quarter of 2027, subject to merger-control approvals.</w:t>
      </w:r>
    </w:p>
    <w:p w:rsidR="08B40AE1" w:rsidP="08B40AE1" w:rsidRDefault="08B40AE1" w14:noSpellErr="1" w14:paraId="1B551CC8" w14:textId="33715F7C">
      <w:pPr>
        <w:pStyle w:val="Heading1"/>
      </w:pPr>
      <w:r w:rsidR="08B40AE1">
        <w:rPr/>
        <w:t>4. Transaction overview</w:t>
      </w:r>
    </w:p>
    <w:p w:rsidR="08B40AE1" w:rsidRDefault="08B40AE1" w14:noSpellErr="1" w14:paraId="197AC8E1" w14:textId="29A5C374">
      <w:r w:rsidR="08B40AE1">
        <w:rPr/>
        <w:t>The table summarises the financing requested by Fabrikam on 5 October and the terms we propose to include in the indicative proposal.</w:t>
      </w:r>
    </w:p>
    <w:tbl>
      <w:tblPr>
        <w:tblStyle w:val="MediumShading1-Accent1"/>
        <w:tblW w:w="0" w:type="auto"/>
        <w:tblLook w:val="04A0" w:firstRow="1" w:lastRow="0" w:firstColumn="1" w:lastColumn="0" w:noHBand="0" w:noVBand="1"/>
      </w:tblPr>
      <w:tblGrid>
        <w:gridCol w:w="2600"/>
        <w:gridCol w:w="6426"/>
      </w:tblGrid>
      <w:tr w:rsidR="08B40AE1" w:rsidTr="69F1E089" w14:paraId="40C25FD0">
        <w:trPr>
          <w:trHeight w:val="300"/>
          <w:tblHeader/>
        </w:trPr>
        <w:tc>
          <w:tcPr>
            <w:tcW w:w="2600" w:type="dxa"/>
            <w:tcMar/>
          </w:tcPr>
          <w:p w:rsidR="08B40AE1" w:rsidRDefault="08B40AE1" w14:noSpellErr="1" w14:paraId="214C7F79" w14:textId="24F3CCB5">
            <w:r w:rsidR="08B40AE1">
              <w:rPr/>
              <w:t>Item</w:t>
            </w:r>
          </w:p>
        </w:tc>
        <w:tc>
          <w:tcPr>
            <w:tcW w:w="6426" w:type="dxa"/>
            <w:tcMar/>
          </w:tcPr>
          <w:p w:rsidR="08B40AE1" w:rsidRDefault="08B40AE1" w14:noSpellErr="1" w14:paraId="41DA7820" w14:textId="1DD1B379">
            <w:r w:rsidR="08B40AE1">
              <w:rPr/>
              <w:t>Proposed terms</w:t>
            </w:r>
          </w:p>
        </w:tc>
      </w:tr>
      <w:tr w:rsidR="08B40AE1" w:rsidTr="69F1E089" w14:paraId="391F9A08">
        <w:tc>
          <w:tcPr>
            <w:tcW w:w="2600" w:type="dxa"/>
            <w:tcMar/>
          </w:tcPr>
          <w:p w:rsidR="08B40AE1" w:rsidRDefault="08B40AE1" w14:noSpellErr="1" w14:paraId="636DA62B" w14:textId="34E713EE">
            <w:r w:rsidR="08B40AE1">
              <w:rPr/>
              <w:t>Borrower and guarantor</w:t>
            </w:r>
          </w:p>
        </w:tc>
        <w:tc>
          <w:tcPr>
            <w:tcW w:w="6426" w:type="dxa"/>
            <w:tcMar/>
          </w:tcPr>
          <w:p w:rsidR="08B40AE1" w:rsidRDefault="08B40AE1" w14:noSpellErr="1" w14:paraId="591DD60F" w14:textId="2DC4FAB2">
            <w:r w:rsidR="08B40AE1">
              <w:rPr/>
              <w:t>Fabrikam Europe GmbH (borrower); Fabrikam Industries Co., Ltd. (parent guarantor)</w:t>
            </w:r>
          </w:p>
        </w:tc>
      </w:tr>
      <w:tr w:rsidR="08B40AE1" w:rsidTr="69F1E089" w14:paraId="1DCE932C">
        <w:tc>
          <w:tcPr>
            <w:tcW w:w="2600" w:type="dxa"/>
            <w:tcMar/>
          </w:tcPr>
          <w:p w:rsidR="08B40AE1" w:rsidRDefault="08B40AE1" w14:noSpellErr="1" w14:paraId="7613704C" w14:textId="44DA5B27">
            <w:r w:rsidR="08B40AE1">
              <w:rPr/>
              <w:t>Facilities</w:t>
            </w:r>
          </w:p>
        </w:tc>
        <w:tc>
          <w:tcPr>
            <w:tcW w:w="6426" w:type="dxa"/>
            <w:tcMar/>
          </w:tcPr>
          <w:p w:rsidR="08B40AE1" w:rsidRDefault="08B40AE1" w14:noSpellErr="1" w14:paraId="567C8A85" w14:textId="3DB841EB">
            <w:r w:rsidR="08B40AE1">
              <w:rPr/>
              <w:t>Term Loan A, drawn at closing; Revolving Credit Facility, undrawn at closing</w:t>
            </w:r>
          </w:p>
        </w:tc>
      </w:tr>
      <w:tr w:rsidR="08B40AE1" w:rsidTr="69F1E089" w14:paraId="565959AB">
        <w:tc>
          <w:tcPr>
            <w:tcW w:w="2600" w:type="dxa"/>
            <w:tcMar/>
          </w:tcPr>
          <w:p w:rsidR="08B40AE1" w:rsidRDefault="08B40AE1" w14:noSpellErr="1" w14:paraId="7C400844" w14:textId="54CDA260">
            <w:r w:rsidR="08B40AE1">
              <w:rPr/>
              <w:t>Amount</w:t>
            </w:r>
          </w:p>
        </w:tc>
        <w:tc>
          <w:tcPr>
            <w:tcW w:w="6426" w:type="dxa"/>
            <w:tcMar/>
          </w:tcPr>
          <w:p w:rsidR="08B40AE1" w:rsidRDefault="08B40AE1" w14:noSpellErr="1" w14:paraId="6A83FDCE" w14:textId="4DAB8924">
            <w:r w:rsidR="08B40AE1">
              <w:rPr/>
              <w:t>€800m in total: Term Loan A €600m; Revolving Credit Facility €200m</w:t>
            </w:r>
          </w:p>
        </w:tc>
      </w:tr>
      <w:tr w:rsidR="08B40AE1" w:rsidTr="69F1E089" w14:paraId="5C29C646">
        <w:tc>
          <w:tcPr>
            <w:tcW w:w="2600" w:type="dxa"/>
            <w:tcMar/>
          </w:tcPr>
          <w:p w:rsidR="08B40AE1" w:rsidRDefault="08B40AE1" w14:noSpellErr="1" w14:paraId="75A222ED" w14:textId="64C0E999">
            <w:r w:rsidR="08B40AE1">
              <w:rPr/>
              <w:t>Tenor</w:t>
            </w:r>
          </w:p>
        </w:tc>
        <w:tc>
          <w:tcPr>
            <w:tcW w:w="6426" w:type="dxa"/>
            <w:tcMar/>
          </w:tcPr>
          <w:p w:rsidR="08B40AE1" w:rsidRDefault="08B40AE1" w14:noSpellErr="1" w14:paraId="6F2836FE" w14:textId="5D9ED05D">
            <w:r w:rsidR="08B40AE1">
              <w:rPr/>
              <w:t>5 years (both facilities)</w:t>
            </w:r>
          </w:p>
        </w:tc>
      </w:tr>
      <w:tr w:rsidR="08B40AE1" w:rsidTr="69F1E089" w14:paraId="5086F65F">
        <w:tc>
          <w:tcPr>
            <w:tcW w:w="2600" w:type="dxa"/>
            <w:tcMar/>
          </w:tcPr>
          <w:p w:rsidR="08B40AE1" w:rsidRDefault="08B40AE1" w14:noSpellErr="1" w14:paraId="11A13C07" w14:textId="74B430D2">
            <w:r w:rsidR="08B40AE1">
              <w:rPr/>
              <w:t>Margin</w:t>
            </w:r>
          </w:p>
        </w:tc>
        <w:tc>
          <w:tcPr>
            <w:tcW w:w="6426" w:type="dxa"/>
            <w:tcMar/>
          </w:tcPr>
          <w:p w:rsidR="08B40AE1" w:rsidRDefault="08B40AE1" w14:noSpellErr="1" w14:paraId="5D2C678E" w14:textId="6D921796">
            <w:r w:rsidR="08B40AE1">
              <w:rPr/>
              <w:t>Term Loan A: 135 bps over EURIBOR; Revolving Credit Facility: 110 bps over EURIBOR</w:t>
            </w:r>
          </w:p>
        </w:tc>
      </w:tr>
      <w:tr w:rsidR="08B40AE1" w:rsidTr="69F1E089" w14:paraId="6530DE0A">
        <w:tc>
          <w:tcPr>
            <w:tcW w:w="2600" w:type="dxa"/>
            <w:tcMar/>
          </w:tcPr>
          <w:p w:rsidR="08B40AE1" w:rsidRDefault="08B40AE1" w14:noSpellErr="1" w14:paraId="2637631D" w14:textId="04A7780B">
            <w:r w:rsidR="08B40AE1">
              <w:rPr/>
              <w:t>Fees</w:t>
            </w:r>
          </w:p>
        </w:tc>
        <w:tc>
          <w:tcPr>
            <w:tcW w:w="6426" w:type="dxa"/>
            <w:tcMar/>
          </w:tcPr>
          <w:p w:rsidR="08B40AE1" w:rsidRDefault="08B40AE1" w14:noSpellErr="1" w14:paraId="49DB47F3" w14:textId="7D855ECF">
            <w:r w:rsidR="08B40AE1">
              <w:rPr/>
              <w:t>Commitment fee: 35% of the margin; upfront fee: 60 bps on MUFG’s final hold</w:t>
            </w:r>
          </w:p>
        </w:tc>
      </w:tr>
      <w:tr w:rsidR="08B40AE1" w:rsidTr="69F1E089" w14:paraId="66D0BE3B">
        <w:tc>
          <w:tcPr>
            <w:tcW w:w="2600" w:type="dxa"/>
            <w:tcMar/>
          </w:tcPr>
          <w:p w:rsidR="08B40AE1" w:rsidRDefault="08B40AE1" w14:noSpellErr="1" w14:paraId="5F0A8A74" w14:textId="149ABF44">
            <w:r w:rsidR="08B40AE1">
              <w:rPr/>
              <w:t>MUFG role</w:t>
            </w:r>
          </w:p>
        </w:tc>
        <w:tc>
          <w:tcPr>
            <w:tcW w:w="6426" w:type="dxa"/>
            <w:tcMar/>
          </w:tcPr>
          <w:p w:rsidR="08B40AE1" w:rsidRDefault="08B40AE1" w14:noSpellErr="1" w14:paraId="18CB568E" w14:textId="0D78A608">
            <w:r w:rsidR="08B40AE1">
              <w:rPr/>
              <w:t>Mandated Lead Arranger (MLA) and Bookrunner</w:t>
            </w:r>
          </w:p>
        </w:tc>
      </w:tr>
      <w:tr w:rsidR="08B40AE1" w:rsidTr="69F1E089" w14:paraId="1050A3FE">
        <w:tc>
          <w:tcPr>
            <w:tcW w:w="2600" w:type="dxa"/>
            <w:tcMar/>
          </w:tcPr>
          <w:p w:rsidR="08B40AE1" w:rsidRDefault="08B40AE1" w14:noSpellErr="1" w14:paraId="6BB4F429" w14:textId="248E067D">
            <w:r w:rsidR="08B40AE1">
              <w:rPr/>
              <w:t>Hedging</w:t>
            </w:r>
          </w:p>
        </w:tc>
        <w:tc>
          <w:tcPr>
            <w:tcW w:w="6426" w:type="dxa"/>
            <w:tcMar/>
          </w:tcPr>
          <w:p w:rsidR="08B40AE1" w:rsidRDefault="08B40AE1" w14:noSpellErr="1" w14:paraId="41BE2F96" w14:textId="1D6BED41">
            <w:r w:rsidR="08B40AE1">
              <w:rPr/>
              <w:t>MUFG as hedging coordinator: EUR/JPY foreign exchange and interest-rate hedging on the term loan</w:t>
            </w:r>
          </w:p>
        </w:tc>
      </w:tr>
      <w:tr w:rsidR="08B40AE1" w:rsidTr="69F1E089" w14:paraId="123AB13C">
        <w:tc>
          <w:tcPr>
            <w:tcW w:w="2600" w:type="dxa"/>
            <w:tcMar/>
          </w:tcPr>
          <w:p w:rsidR="08B40AE1" w:rsidRDefault="08B40AE1" w14:noSpellErr="1" w14:paraId="5887D05E" w14:textId="34814DB6">
            <w:r w:rsidR="08B40AE1">
              <w:rPr/>
              <w:t>Cash management</w:t>
            </w:r>
          </w:p>
        </w:tc>
        <w:tc>
          <w:tcPr>
            <w:tcW w:w="6426" w:type="dxa"/>
            <w:tcMar/>
          </w:tcPr>
          <w:p w:rsidR="08B40AE1" w:rsidRDefault="08B40AE1" w14:noSpellErr="1" w14:paraId="42B3C39E" w14:textId="2D5F347A">
            <w:r w:rsidR="08B40AE1">
              <w:rPr/>
              <w:t>Accounts and cash management in the Netherlands, France and the UAE</w:t>
            </w:r>
          </w:p>
        </w:tc>
      </w:tr>
      <w:tr w:rsidR="08B40AE1" w:rsidTr="69F1E089" w14:paraId="5E3FA27B">
        <w:tc>
          <w:tcPr>
            <w:tcW w:w="2600" w:type="dxa"/>
            <w:tcMar/>
          </w:tcPr>
          <w:p w:rsidR="08B40AE1" w:rsidRDefault="08B40AE1" w14:noSpellErr="1" w14:paraId="405B5921" w14:textId="447494EF">
            <w:r w:rsidR="08B40AE1">
              <w:rPr/>
              <w:t>Sustainability-linked option</w:t>
            </w:r>
          </w:p>
        </w:tc>
        <w:tc>
          <w:tcPr>
            <w:tcW w:w="6426" w:type="dxa"/>
            <w:tcMar/>
          </w:tcPr>
          <w:p w:rsidR="08B40AE1" w:rsidRDefault="08B40AE1" w14:noSpellErr="1" w14:paraId="72321E23" w14:textId="3D527BB3">
            <w:r w:rsidR="08B40AE1">
              <w:rPr/>
              <w:t>Optional margin adjustment of ±5 bps tied to two KPIs: battery-material recovery rate at the Contoso plants and Scope 1 &amp; 2 emissions intensity; subject to ESG due diligence</w:t>
            </w:r>
          </w:p>
        </w:tc>
      </w:tr>
    </w:tbl>
    <w:p w:rsidR="08B40AE1" w:rsidP="08B40AE1" w:rsidRDefault="08B40AE1" w14:noSpellErr="1" w14:paraId="3327CD56" w14:textId="43A09EA0">
      <w:pPr>
        <w:pStyle w:val="Heading1"/>
      </w:pPr>
      <w:r w:rsidR="08B40AE1">
        <w:rPr/>
        <w:t>5. Strategic rationale for MUFG</w:t>
      </w:r>
    </w:p>
    <w:p w:rsidR="08B40AE1" w:rsidRDefault="08B40AE1" w14:noSpellErr="1" w14:paraId="7F157030" w14:textId="76194B4F">
      <w:r w:rsidR="08B40AE1">
        <w:rPr/>
        <w:t>Project Meridian represents a truly unique and exciting opportunity for MUFG EMEA to cement its position as the undisputed bank of choice for Fabrikam in Europe. Fabrikam is an outstanding, world-class client with whom we have enjoyed an exceptional, decades-long relationship, and this landmark, transformational transaction is the perfect opportunity to take that exceptional relationship to an entirely new level.</w:t>
      </w:r>
    </w:p>
    <w:p w:rsidR="08B40AE1" w:rsidRDefault="08B40AE1" w14:noSpellErr="1" w14:paraId="24A1CCE9" w14:textId="47DDA62B">
      <w:r w:rsidR="08B40AE1">
        <w:rPr/>
        <w:t>By leading this flagship financing as Mandated Lead Arranger and Bookrunner, MUFG would showcase its unrivalled, best-in-class cross-border capabilities and its unique ability to connect Tokyo and Europe seamlessly. Leading the deal would send a powerful and unmistakable signal to the market, to our competitors and, above all, to Fabrikam itself that MUFG is a truly committed and truly strategic partner. This is exactly the kind of high-profile, prestigious mandate that Project Meridian was created to win.</w:t>
      </w:r>
    </w:p>
    <w:p w:rsidR="08B40AE1" w:rsidRDefault="08B40AE1" w14:noSpellErr="1" w14:paraId="384FB99C" w14:textId="271FD2DC">
      <w:r w:rsidR="08B40AE1">
        <w:rPr/>
        <w:t>The ancillary opportunities are hugely exciting. As hedging coordinator, MUFG would be ideally placed to capture significant and recurring EUR/JPY foreign exchange and interest-rate hedging business, while the cash management mandate in the Netherlands, France and the UAE would embed MUFG even more deeply in Fabrikam’s day-to-day treasury operations. The transaction is perfectly aligned with the energy transition, and the innovative sustainability-linked feature would further strengthen our already strong sustainable-finance credentials. Simply put, this is a fantastic, strategic, relationship-defining opportunity that MUFG simply cannot afford to miss.</w:t>
      </w:r>
    </w:p>
    <w:p w:rsidR="08B40AE1" w:rsidP="08B40AE1" w:rsidRDefault="08B40AE1" w14:noSpellErr="1" w14:paraId="6F1DC1C4" w14:textId="603FF5BD">
      <w:pPr>
        <w:pStyle w:val="Heading1"/>
      </w:pPr>
      <w:r w:rsidR="08B40AE1">
        <w:rPr/>
        <w:t>6. Financial profile</w:t>
      </w:r>
    </w:p>
    <w:p w:rsidR="08B40AE1" w:rsidRDefault="08B40AE1" w14:noSpellErr="1" w14:paraId="179CFCB5" w14:textId="7A67AAA7">
      <w:r w:rsidR="08B40AE1">
        <w:rPr/>
        <w:t>Sander de Vries’s analysis uses Fabrikam’s FY2025 audited accounts (April 2025 to March 2026) and Contoso’s 2025 accounts. In FY2025 Fabrikam generated revenue of €7,010m and EBITDA of €930m (a 13.3% margin), with stand-alone net leverage of 1.70x. Adding Contoso’s 2025 EBITDA of €110m gives pro-forma EBITDA of €1,040m. Pro-forma net debt at closing is €2,800m (existing net debt of €1,580m, plus the €600m Term Loan A, the €600m of cash used and €20m of transaction costs), which gives pro-forma net leverage of 2.7x.</w:t>
      </w:r>
    </w:p>
    <w:p w:rsidR="08B40AE1" w:rsidRDefault="08B40AE1" w14:noSpellErr="1" w14:paraId="401D2F3C" w14:textId="38559C91">
      <w:r w:rsidR="08B40AE1">
        <w:rPr/>
        <w:t>Leverage is expected to fall to 2.26x in Year 1 after closing, as free cash flow is used to reduce debt and the first synergies come through. The proposed covenants are net leverage of no more than 3.25x (stepping down to 3.00x from Year 3) and interest cover of at least 4.0x. At closing, EBITDA headroom against the leverage covenant is 17.2%, and pro-forma interest cover is approximately 13.1x.</w:t>
      </w:r>
    </w:p>
    <w:p w:rsidR="08B40AE1" w:rsidP="08B40AE1" w:rsidRDefault="08B40AE1" w14:noSpellErr="1" w14:paraId="53D4105B" w14:textId="549BDABC">
      <w:pPr>
        <w:pStyle w:val="Heading1"/>
      </w:pPr>
      <w:r w:rsidR="08B40AE1">
        <w:rPr/>
        <w:t>7. Portfolio impact</w:t>
      </w:r>
    </w:p>
    <w:p w:rsidR="08B40AE1" w:rsidRDefault="08B40AE1" w14:noSpellErr="1" w14:paraId="6B6A9292" w14:textId="7D7F9645">
      <w:r w:rsidRPr="08B40AE1" w:rsidR="08B40AE1">
        <w:rPr>
          <w:b w:val="1"/>
          <w:bCs w:val="1"/>
          <w:color w:val="C00000"/>
        </w:rPr>
        <w:t>[Priya to provide – hold scenarios]</w:t>
      </w:r>
    </w:p>
    <w:p w:rsidR="08B40AE1" w:rsidP="08B40AE1" w:rsidRDefault="08B40AE1" w14:noSpellErr="1" w14:paraId="3970F4DF" w14:textId="65792B75">
      <w:pPr>
        <w:pStyle w:val="Heading1"/>
      </w:pPr>
      <w:r w:rsidR="08B40AE1">
        <w:rPr/>
        <w:t>8. Risks and mitigants</w:t>
      </w:r>
    </w:p>
    <w:p w:rsidR="08B40AE1" w:rsidP="08B40AE1" w:rsidRDefault="08B40AE1" w14:noSpellErr="1" w14:paraId="3F664195" w14:textId="6A3E762F">
      <w:pPr>
        <w:pStyle w:val="ListBullet"/>
        <w:rPr/>
      </w:pPr>
      <w:r w:rsidR="08B40AE1">
        <w:rPr/>
        <w:t>Integration risk – Fabrikam has an experienced management team.</w:t>
      </w:r>
    </w:p>
    <w:p w:rsidR="08B40AE1" w:rsidP="08B40AE1" w:rsidRDefault="08B40AE1" w14:noSpellErr="1" w14:paraId="48224F31" w14:textId="6EE7532F">
      <w:pPr>
        <w:pStyle w:val="ListBullet"/>
        <w:rPr/>
      </w:pPr>
      <w:r w:rsidR="08B40AE1">
        <w:rPr/>
        <w:t>EV demand cyclicality – the long-term outlook for electric vehicles remains positive.</w:t>
      </w:r>
    </w:p>
    <w:p w:rsidR="08B40AE1" w:rsidP="08B40AE1" w:rsidRDefault="08B40AE1" w14:noSpellErr="1" w14:paraId="422E73D3" w14:textId="1F7B273C">
      <w:pPr>
        <w:pStyle w:val="ListBullet"/>
        <w:rPr/>
      </w:pPr>
      <w:r w:rsidR="08B40AE1">
        <w:rPr/>
        <w:t>EUR/JPY FX risk – to be hedged, with MUFG as hedging coordinator.</w:t>
      </w:r>
    </w:p>
    <w:p w:rsidR="08B40AE1" w:rsidP="08B40AE1" w:rsidRDefault="08B40AE1" w14:noSpellErr="1" w14:paraId="33A146A4" w14:textId="6BD33DF0">
      <w:pPr>
        <w:pStyle w:val="Heading1"/>
      </w:pPr>
      <w:r w:rsidR="08B40AE1">
        <w:rPr/>
        <w:t>9. Compliance, ESG and operational readiness</w:t>
      </w:r>
    </w:p>
    <w:p w:rsidR="08B40AE1" w:rsidRDefault="08B40AE1" w14:noSpellErr="1" w14:paraId="74DD52A3" w14:textId="64C816B2">
      <w:r w:rsidRPr="08B40AE1" w:rsidR="08B40AE1">
        <w:rPr>
          <w:b w:val="1"/>
          <w:bCs w:val="1"/>
          <w:color w:val="C00000"/>
        </w:rPr>
        <w:t>[Karim / Grace to update]</w:t>
      </w:r>
    </w:p>
    <w:p w:rsidR="08B40AE1" w:rsidP="08B40AE1" w:rsidRDefault="08B40AE1" w14:noSpellErr="1" w14:paraId="31E4C92B" w14:textId="5321C018">
      <w:pPr>
        <w:pStyle w:val="Heading1"/>
      </w:pPr>
      <w:r w:rsidR="08B40AE1">
        <w:rPr/>
        <w:t>10. Recommendation</w:t>
      </w:r>
    </w:p>
    <w:p w:rsidR="08B40AE1" w:rsidRDefault="08B40AE1" w14:noSpellErr="1" w14:paraId="608A2994" w14:textId="7DBA9374">
      <w:r w:rsidR="08B40AE1">
        <w:rPr/>
        <w:t>We recommend that MUFG acts as Mandated Lead Arranger with a final hold of €300m, and that MUFG also takes the Bookrunner, hedging coordinator and cash management roles. A €300m hold would demonstrate MUFG’s full commitment as lead arranger, secure the hedging coordinator role and reflect the depth and importance of our relationship with Fabrikam. The remainder of the facilities would be syndicated to a small group of relationship banks.</w:t>
      </w:r>
    </w:p>
    <w:p w:rsidR="08B40AE1" w:rsidP="08B40AE1" w:rsidRDefault="08B40AE1" w14:noSpellErr="1" w14:paraId="2CAC1B97" w14:textId="3AA11AED">
      <w:pPr>
        <w:pStyle w:val="Heading1"/>
      </w:pPr>
      <w:r w:rsidR="08B40AE1">
        <w:rPr/>
        <w:t>11. Next steps and timeline</w:t>
      </w:r>
    </w:p>
    <w:tbl>
      <w:tblPr>
        <w:tblStyle w:val="MediumShading1-Accent1"/>
        <w:tblW w:w="0" w:type="auto"/>
        <w:tblLook w:val="04A0" w:firstRow="1" w:lastRow="0" w:firstColumn="1" w:lastColumn="0" w:noHBand="0" w:noVBand="1"/>
      </w:tblPr>
      <w:tblGrid>
        <w:gridCol w:w="3400"/>
        <w:gridCol w:w="5626"/>
      </w:tblGrid>
      <w:tr w:rsidR="08B40AE1" w:rsidTr="69F1E089" w14:paraId="46DD099C">
        <w:trPr>
          <w:trHeight w:val="300"/>
          <w:tblHeader/>
        </w:trPr>
        <w:tc>
          <w:tcPr>
            <w:tcW w:w="3400" w:type="dxa"/>
            <w:tcMar/>
          </w:tcPr>
          <w:p w:rsidR="08B40AE1" w:rsidRDefault="08B40AE1" w14:noSpellErr="1" w14:paraId="653D0E64" w14:textId="4B30E7F3">
            <w:r w:rsidR="08B40AE1">
              <w:rPr/>
              <w:t>Date</w:t>
            </w:r>
          </w:p>
        </w:tc>
        <w:tc>
          <w:tcPr>
            <w:tcW w:w="5626" w:type="dxa"/>
            <w:tcMar/>
          </w:tcPr>
          <w:p w:rsidR="08B40AE1" w:rsidRDefault="08B40AE1" w14:noSpellErr="1" w14:paraId="199BC1F8" w14:textId="440ECEB7">
            <w:r w:rsidR="08B40AE1">
              <w:rPr/>
              <w:t>Milestone</w:t>
            </w:r>
          </w:p>
        </w:tc>
      </w:tr>
      <w:tr w:rsidR="08B40AE1" w:rsidTr="69F1E089" w14:paraId="5901E052">
        <w:tc>
          <w:tcPr>
            <w:tcW w:w="3400" w:type="dxa"/>
            <w:tcMar/>
          </w:tcPr>
          <w:p w:rsidR="08B40AE1" w:rsidRDefault="08B40AE1" w14:noSpellErr="1" w14:paraId="36FDAF93" w14:textId="5B242F2C">
            <w:r w:rsidR="08B40AE1">
              <w:rPr/>
              <w:t>Friday 6 November 2026</w:t>
            </w:r>
          </w:p>
        </w:tc>
        <w:tc>
          <w:tcPr>
            <w:tcW w:w="5626" w:type="dxa"/>
            <w:tcMar/>
          </w:tcPr>
          <w:p w:rsidR="08B40AE1" w:rsidRDefault="08B40AE1" w14:noSpellErr="1" w14:paraId="72E89F89" w14:textId="540215F0">
            <w:r w:rsidR="08B40AE1">
              <w:rPr/>
              <w:t>Indicative, non-binding proposal to Fabrikam; ExCo pre-read circulated (deadline 12:00)</w:t>
            </w:r>
          </w:p>
        </w:tc>
      </w:tr>
      <w:tr w:rsidR="08B40AE1" w:rsidTr="69F1E089" w14:paraId="2E8D5580">
        <w:tc>
          <w:tcPr>
            <w:tcW w:w="3400" w:type="dxa"/>
            <w:tcMar/>
          </w:tcPr>
          <w:p w:rsidR="08B40AE1" w:rsidRDefault="08B40AE1" w14:noSpellErr="1" w14:paraId="14145E46" w14:textId="6B177665">
            <w:r w:rsidR="08B40AE1">
              <w:rPr/>
              <w:t>Thursday 12 November 2026</w:t>
            </w:r>
          </w:p>
        </w:tc>
        <w:tc>
          <w:tcPr>
            <w:tcW w:w="5626" w:type="dxa"/>
            <w:tcMar/>
          </w:tcPr>
          <w:p w:rsidR="08B40AE1" w:rsidRDefault="08B40AE1" w14:noSpellErr="1" w14:paraId="3A8323C6" w14:textId="63F55D29">
            <w:r w:rsidR="08B40AE1">
              <w:rPr/>
              <w:t>EMEA Executive Committee – Q4 Quarterly Business Review (14:00)</w:t>
            </w:r>
          </w:p>
        </w:tc>
      </w:tr>
      <w:tr w:rsidR="08B40AE1" w:rsidTr="69F1E089" w14:paraId="421FE4B3">
        <w:tc>
          <w:tcPr>
            <w:tcW w:w="3400" w:type="dxa"/>
            <w:tcMar/>
          </w:tcPr>
          <w:p w:rsidR="08B40AE1" w:rsidRDefault="08B40AE1" w14:noSpellErr="1" w14:paraId="189FEAD6" w14:textId="7B0ABD9E">
            <w:r w:rsidR="08B40AE1">
              <w:rPr/>
              <w:t>Mid-December 2026</w:t>
            </w:r>
          </w:p>
        </w:tc>
        <w:tc>
          <w:tcPr>
            <w:tcW w:w="5626" w:type="dxa"/>
            <w:tcMar/>
          </w:tcPr>
          <w:p w:rsidR="08B40AE1" w:rsidRDefault="08B40AE1" w14:noSpellErr="1" w14:paraId="6D9FA8FE" w14:textId="73E8A462">
            <w:r w:rsidR="08B40AE1">
              <w:rPr/>
              <w:t>Target signing</w:t>
            </w:r>
          </w:p>
        </w:tc>
      </w:tr>
      <w:tr w:rsidR="08B40AE1" w:rsidTr="69F1E089" w14:paraId="428DF815">
        <w:tc>
          <w:tcPr>
            <w:tcW w:w="3400" w:type="dxa"/>
            <w:tcMar/>
          </w:tcPr>
          <w:p w:rsidR="08B40AE1" w:rsidRDefault="08B40AE1" w14:noSpellErr="1" w14:paraId="3DBA9DCD" w14:textId="0AFE04D7">
            <w:r w:rsidR="08B40AE1">
              <w:rPr/>
              <w:t>Q1 2027</w:t>
            </w:r>
          </w:p>
        </w:tc>
        <w:tc>
          <w:tcPr>
            <w:tcW w:w="5626" w:type="dxa"/>
            <w:tcMar/>
          </w:tcPr>
          <w:p w:rsidR="08B40AE1" w:rsidRDefault="08B40AE1" w14:noSpellErr="1" w14:paraId="2D947DB0" w14:textId="03DBEB9B">
            <w:r w:rsidR="08B40AE1">
              <w:rPr/>
              <w:t>Closing, subject to merger-control approvals</w:t>
            </w:r>
          </w:p>
        </w:tc>
      </w:tr>
    </w:tbl>
    <w:p w:rsidR="08B40AE1" w:rsidP="08B40AE1" w:rsidRDefault="08B40AE1" w14:noSpellErr="1" w14:paraId="512B412C" w14:textId="1CFC543A">
      <w:pPr>
        <w:pStyle w:val="Heading1"/>
      </w:pPr>
      <w:r w:rsidR="08B40AE1">
        <w:rPr/>
        <w:t>12. Open questions</w:t>
      </w:r>
    </w:p>
    <w:p w:rsidR="08B40AE1" w:rsidP="08B40AE1" w:rsidRDefault="08B40AE1" w14:noSpellErr="1" w14:paraId="31CFC6C1" w14:textId="4A05AE0E">
      <w:pPr>
        <w:pStyle w:val="ListBullet"/>
        <w:rPr/>
      </w:pPr>
      <w:r w:rsidR="08B40AE1">
        <w:rPr/>
        <w:t>Final hold – this draft proposes €300m; Credit Risk has argued for €200m. To be settled before the pre-read is circulated.</w:t>
      </w:r>
    </w:p>
    <w:p w:rsidR="08B40AE1" w:rsidP="08B40AE1" w:rsidRDefault="08B40AE1" w14:noSpellErr="1" w14:paraId="1169FDC9" w14:textId="71FBC34C">
      <w:pPr>
        <w:pStyle w:val="ListBullet"/>
        <w:rPr/>
      </w:pPr>
      <w:r w:rsidR="08B40AE1">
        <w:rPr/>
        <w:t>Hedging coordinator role – Fabrikam will award coordination to the arrangers with the largest commitments (“ideally €250m or more”); hedging appetite and pricing still to be confirmed with Global Markets.</w:t>
      </w:r>
    </w:p>
    <w:p w:rsidR="08B40AE1" w:rsidP="08B40AE1" w:rsidRDefault="08B40AE1" w14:noSpellErr="1" w14:paraId="5B5CE3AC" w14:textId="20B68A09">
      <w:pPr>
        <w:pStyle w:val="ListBullet"/>
        <w:rPr/>
      </w:pPr>
      <w:r w:rsidR="08B40AE1">
        <w:rPr/>
        <w:t>Co-arrangers – interest from Woodgrove Bank and one other bank still to be checked.</w:t>
      </w:r>
    </w:p>
    <w:p w:rsidR="08B40AE1" w:rsidP="08B40AE1" w:rsidRDefault="08B40AE1" w14:noSpellErr="1" w14:paraId="157323D4" w14:textId="7E003FD3">
      <w:pPr>
        <w:pStyle w:val="ListBullet"/>
        <w:rPr/>
      </w:pPr>
      <w:r w:rsidR="08B40AE1">
        <w:rPr/>
        <w:t>ESG report timing – the external ESG due-diligence report on the Dunkirk plant is due on Friday 13 November, the day after the ExCo.</w:t>
      </w:r>
    </w:p>
    <w:p w:rsidR="08B40AE1" w:rsidP="08B40AE1" w:rsidRDefault="08B40AE1" w14:noSpellErr="1" w14:paraId="3AFD541A" w14:textId="31B122F1">
      <w:pPr>
        <w:pStyle w:val="ListBullet"/>
        <w:rPr/>
      </w:pPr>
      <w:r w:rsidR="08B40AE1">
        <w:rPr/>
        <w:t>Early-December signing – Fabrikam has asked whether signing could take place in early December; feasibility not yet confirmed.</w:t>
      </w:r>
    </w:p>
    <w:sectPr w:rsidRPr="0006063C" w:rsidR="00FC693F" w:rsidSect="00034616">
      <w:pgSz w:w="11906" w:h="16838" w:orient="portrait"/>
      <w:pgMar w:top="1440" w:right="1440" w:bottom="1440" w:left="1440" w:header="720" w:footer="720" w:gutter="0"/>
      <w:cols w:space="720"/>
      <w:docGrid w:linePitch="360"/>
      <w:headerReference w:type="default" r:id="Rfabf015eb51e479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08B40AE1" w:rsidRDefault="08B40AE1" p2:noSpellErr="1" w14:paraId="5A95FB33" w14:textId="1F8A758F">
    <w:r w:rsidR="08B40AE1">
      <w:rPr/>
      <w:t>FICTIONAL – FOR TRAINING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7CCE8E"/>
    <w:rsid w:val="08B40AE1"/>
    <w:rsid w:val="0B5D0CDE"/>
    <w:rsid w:val="0CAF7B7E"/>
    <w:rsid w:val="0CAF7B7E"/>
    <w:rsid w:val="0E5BCE3A"/>
    <w:rsid w:val="102CBA7D"/>
    <w:rsid w:val="102CBA7D"/>
    <w:rsid w:val="117A8B1D"/>
    <w:rsid w:val="124590FE"/>
    <w:rsid w:val="191CC42E"/>
    <w:rsid w:val="1DA42DF1"/>
    <w:rsid w:val="1DA42DF1"/>
    <w:rsid w:val="1EA13202"/>
    <w:rsid w:val="21231990"/>
    <w:rsid w:val="27BACD9F"/>
    <w:rsid w:val="2F49C33D"/>
    <w:rsid w:val="3359B77C"/>
    <w:rsid w:val="3F1BB392"/>
    <w:rsid w:val="3F1BB392"/>
    <w:rsid w:val="43814E43"/>
    <w:rsid w:val="4615A0D2"/>
    <w:rsid w:val="5071BCBB"/>
    <w:rsid w:val="5071BCBB"/>
    <w:rsid w:val="50DF45CF"/>
    <w:rsid w:val="5494CC92"/>
    <w:rsid w:val="640A7F51"/>
    <w:rsid w:val="66D0E18D"/>
    <w:rsid w:val="69F1E089"/>
    <w:rsid w:val="7A16D58B"/>
    <w:rsid w:val="7D38A9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49D4ACB-7C1E-466A-937E-0F6A4F3FF7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fabf015eb51e479c" /></Relationships>
</file>

<file path=word/theme/theme1.xml><?xml version="1.0" encoding="utf-8"?>
<a:theme xmlns:a="http://schemas.openxmlformats.org/drawingml/2006/main" name="Office Theme">
  <a:themeElements>
    <a:clrScheme name="Custom 1B4F72">
      <a:dk1>
        <a:srgbClr val="262626"/>
      </a:dk1>
      <a:lt1>
        <a:srgbClr val="FFFFFF"/>
      </a:lt1>
      <a:dk2>
        <a:srgbClr val="1B4F72"/>
      </a:dk2>
      <a:lt2>
        <a:srgbClr val="EEECE1"/>
      </a:lt2>
      <a:accent1>
        <a:srgbClr val="1B4F72"/>
      </a:accent1>
      <a:accent2>
        <a:srgbClr val="7F7F7F"/>
      </a:accent2>
      <a:accent3>
        <a:srgbClr val="1B4F72"/>
      </a:accent3>
      <a:accent4>
        <a:srgbClr val="1B4F72"/>
      </a:accent4>
      <a:accent5>
        <a:srgbClr val="1B4F72"/>
      </a:accent5>
      <a:accent6>
        <a:srgbClr val="1B4F72"/>
      </a:accent6>
      <a:hlink>
        <a:srgbClr val="1B4F72"/>
      </a:hlink>
      <a:folHlink>
        <a:srgbClr val="7F7F7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fbde396-1a24-4c79-8edf-9254a0f35055}"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Sarah Allali</lastModifiedBy>
  <revision>3</revision>
  <dcterms:created xsi:type="dcterms:W3CDTF">2026-10-03T13:31:42.0000000Z</dcterms:created>
  <dcterms:modified xsi:type="dcterms:W3CDTF">2026-10-03T14:16:21.9335787Z</dcterms:modified>
  <category/>
</coreProperties>
</file>

<file path=docProps/custom.xml><?xml version="1.0" encoding="utf-8"?>
<Properties xmlns="http://schemas.openxmlformats.org/officeDocument/2006/custom-properties" xmlns:vt="http://schemas.openxmlformats.org/officeDocument/2006/docPropsVTypes"/>
</file>