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FDAB109" w:rsidP="1FDAB109" w:rsidRDefault="1FDAB109" w14:noSpellErr="1" w14:paraId="42355632" w14:textId="7D6578D0">
      <w:pPr>
        <w:jc w:val="center"/>
      </w:pPr>
      <w:r w:rsidRPr="1FDAB109" w:rsidR="1FDAB109">
        <w:rPr>
          <w:b w:val="1"/>
          <w:bCs w:val="1"/>
          <w:color w:val="C00000"/>
          <w:sz w:val="20"/>
          <w:szCs w:val="20"/>
        </w:rPr>
        <w:t>FICTIONAL – FOR TRAINING USE ONLY</w:t>
      </w:r>
    </w:p>
    <w:p w:rsidR="1FDAB109" w:rsidP="1FDAB109" w:rsidRDefault="1FDAB109" w14:paraId="7CAB76B7" w14:textId="72CD5881" w14:noSpellErr="1">
      <w:pPr>
        <w:pStyle w:val="Title"/>
      </w:pPr>
      <w:r w:rsidRPr="37D1620A" w:rsidR="1FDAB109">
        <w:rPr>
          <w:sz w:val="42"/>
          <w:szCs w:val="42"/>
        </w:rPr>
        <w:t>Operational Readiness Note – Project Meridian</w:t>
      </w:r>
    </w:p>
    <w:p w:rsidR="1FDAB109" w:rsidP="1FDAB109" w:rsidRDefault="1FDAB109" w14:paraId="307D012F" w14:textId="33F83798" w14:noSpellErr="1">
      <w:pPr>
        <w:pStyle w:val="Subtitle"/>
        <w:rPr/>
      </w:pPr>
      <w:r w:rsidRPr="37D1620A" w:rsidR="1FDAB109">
        <w:rPr>
          <w:color w:val="2F5395"/>
        </w:rPr>
        <w:t>Onboarding, cash management, funds flow and loan set-up for Fabrikam</w:t>
      </w:r>
    </w:p>
    <w:p w:rsidR="1FDAB109" w:rsidRDefault="1FDAB109" w14:paraId="49B8706E" w14:textId="7227E460" w14:noSpellErr="1">
      <w:r w:rsidRPr="37D1620A" w:rsidR="1FDAB109">
        <w:rPr>
          <w:color w:val="595959" w:themeColor="accent2" w:themeTint="FF" w:themeShade="FF"/>
          <w:sz w:val="20"/>
          <w:szCs w:val="20"/>
        </w:rPr>
        <w:t>Prepared by Grace Mensah, Head of Client Onboarding &amp; Transaction Services Operations</w:t>
      </w:r>
    </w:p>
    <w:p w:rsidR="1FDAB109" w:rsidRDefault="1FDAB109" w14:paraId="2923887E" w14:textId="48241112" w14:noSpellErr="1">
      <w:r w:rsidRPr="37D1620A" w:rsidR="1FDAB109">
        <w:rPr>
          <w:color w:val="595959" w:themeColor="accent2" w:themeTint="FF" w:themeShade="FF"/>
          <w:sz w:val="20"/>
          <w:szCs w:val="20"/>
        </w:rPr>
        <w:t>Tuesday 27 October 2026  |  For the Credit and Compliance Review (chair: Haruka Sato)</w:t>
      </w:r>
    </w:p>
    <w:p w:rsidR="1FDAB109" w:rsidP="1FDAB109" w:rsidRDefault="1FDAB109" w14:noSpellErr="1" w14:paraId="6FB1F103" w14:textId="10F65E87">
      <w:pPr>
        <w:pStyle w:val="Heading1"/>
      </w:pPr>
      <w:r w:rsidR="1FDAB109">
        <w:rPr/>
        <w:t>Purpose</w:t>
      </w:r>
    </w:p>
    <w:p w:rsidR="1FDAB109" w:rsidRDefault="1FDAB109" w14:paraId="67BC60FE" w14:textId="716C0C91" w14:noSpellErr="1">
      <w:r w:rsidR="1FDAB109">
        <w:rPr/>
        <w:t>This note sets out what Operations needs to put in place if MUFG leads Fabrikam’s €800m acquisition financing, how long each step takes and where the timetable is at risk. It is for this afternoon’s Credit and Compliance Review and the Executive Briefing.</w:t>
      </w:r>
    </w:p>
    <w:p w:rsidR="1FDAB109" w:rsidP="1FDAB109" w:rsidRDefault="1FDAB109" w14:noSpellErr="1" w14:paraId="6BAF1AE7" w14:textId="407FBF49">
      <w:pPr>
        <w:pStyle w:val="Heading1"/>
      </w:pPr>
      <w:r w:rsidR="1FDAB109">
        <w:rPr/>
        <w:t>Summary</w:t>
      </w:r>
    </w:p>
    <w:p w:rsidR="1FDAB109" w:rsidRDefault="1FDAB109" w14:paraId="6C9376A2" w14:textId="2962DB40" w14:noSpellErr="1">
      <w:r w:rsidR="1FDAB109">
        <w:rPr/>
        <w:t>Overall status is Amber: nothing so far prevents a closing in Q1 2027, but most workstreams depend on KYC clearance of the target group or on decisions not yet taken. One item is Red: cash pooling including Fabrikam Middle East FZE (UAE) takes 6–8 weeks and is on the critical path for post-closing cash pooling, though not for the closing funds flow.</w:t>
      </w:r>
    </w:p>
    <w:p w:rsidR="1FDAB109" w:rsidRDefault="1FDAB109" w14:paraId="7AB845F9" w14:textId="511C068D" w14:noSpellErr="1">
      <w:r w:rsidRPr="37D1620A" w:rsidR="1FDAB109">
        <w:rPr>
          <w:i w:val="1"/>
          <w:iCs w:val="1"/>
          <w:color w:val="595959" w:themeColor="accent2" w:themeTint="FF" w:themeShade="FF"/>
          <w:sz w:val="20"/>
          <w:szCs w:val="20"/>
        </w:rPr>
        <w:t>RAG: Green = on track; Amber = achievable but dependent on others; Red = at risk unless acted on now.</w:t>
      </w:r>
    </w:p>
    <w:p w:rsidR="1FDAB109" w:rsidP="1FDAB109" w:rsidRDefault="1FDAB109" w14:noSpellErr="1" w14:paraId="45F70FFC" w14:textId="2C2BB6CA">
      <w:pPr>
        <w:pStyle w:val="Heading1"/>
      </w:pPr>
      <w:r w:rsidR="1FDAB109">
        <w:rPr/>
        <w:t>Status by workstream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00"/>
        <w:gridCol w:w="2200"/>
        <w:gridCol w:w="1200"/>
        <w:gridCol w:w="2826"/>
      </w:tblGrid>
      <w:tr w:rsidR="37D1620A" w:rsidTr="37D1620A" w14:paraId="1089F5DA">
        <w:trPr>
          <w:trHeight w:val="300"/>
        </w:trPr>
        <w:tc>
          <w:tcPr>
            <w:tcW w:w="2800" w:type="dxa"/>
            <w:tcMar/>
          </w:tcPr>
          <w:p w:rsidR="37D1620A" w:rsidRDefault="37D1620A" w14:noSpellErr="1" w14:paraId="418C7827" w14:textId="55B12AB1">
            <w:r w:rsidR="37D1620A">
              <w:rPr/>
              <w:t>Workstream</w:t>
            </w:r>
          </w:p>
        </w:tc>
        <w:tc>
          <w:tcPr>
            <w:tcW w:w="2200" w:type="dxa"/>
            <w:tcMar/>
          </w:tcPr>
          <w:p w:rsidR="37D1620A" w:rsidRDefault="37D1620A" w14:noSpellErr="1" w14:paraId="511CE330" w14:textId="4E8F1175">
            <w:r w:rsidR="37D1620A">
              <w:rPr/>
              <w:t>Lead time / target</w:t>
            </w:r>
          </w:p>
        </w:tc>
        <w:tc>
          <w:tcPr>
            <w:tcW w:w="1200" w:type="dxa"/>
            <w:tcMar/>
          </w:tcPr>
          <w:p w:rsidR="37D1620A" w:rsidRDefault="37D1620A" w14:noSpellErr="1" w14:paraId="1FFADD6F" w14:textId="476CF839">
            <w:r w:rsidR="37D1620A">
              <w:rPr/>
              <w:t>RAG</w:t>
            </w:r>
          </w:p>
        </w:tc>
        <w:tc>
          <w:tcPr>
            <w:tcW w:w="2826" w:type="dxa"/>
            <w:tcMar/>
          </w:tcPr>
          <w:p w:rsidR="37D1620A" w:rsidRDefault="37D1620A" w14:noSpellErr="1" w14:paraId="51E0D8E7" w14:textId="404ADEFD">
            <w:r w:rsidR="37D1620A">
              <w:rPr/>
              <w:t>Comment</w:t>
            </w:r>
          </w:p>
        </w:tc>
      </w:tr>
      <w:tr w:rsidR="37D1620A" w:rsidTr="37D1620A" w14:paraId="35DA6A63">
        <w:tc>
          <w:tcPr>
            <w:tcW w:w="2800" w:type="dxa"/>
            <w:tcMar/>
          </w:tcPr>
          <w:p w:rsidR="37D1620A" w:rsidRDefault="37D1620A" w14:noSpellErr="1" w14:paraId="7435A936" w14:textId="57603F72">
            <w:r w:rsidR="37D1620A">
              <w:rPr/>
              <w:t>Account opening – Contoso Energy Materials B.V. (Netherlands)</w:t>
            </w:r>
          </w:p>
        </w:tc>
        <w:tc>
          <w:tcPr>
            <w:tcW w:w="2200" w:type="dxa"/>
            <w:tcMar/>
          </w:tcPr>
          <w:p w:rsidR="37D1620A" w:rsidRDefault="37D1620A" w14:noSpellErr="1" w14:paraId="5B0A0EE8" w14:textId="503E2636">
            <w:r w:rsidR="37D1620A">
              <w:rPr/>
              <w:t>2–3 weeks after KYC clearance</w:t>
            </w:r>
          </w:p>
        </w:tc>
        <w:tc>
          <w:tcPr>
            <w:tcW w:w="1200" w:type="dxa"/>
            <w:tcMar/>
          </w:tcPr>
          <w:p w:rsidR="37D1620A" w:rsidRDefault="37D1620A" w14:noSpellErr="1" w14:paraId="3853CC54" w14:textId="491C0CFA">
            <w:r w:rsidRPr="37D1620A" w:rsidR="37D1620A">
              <w:rPr>
                <w:b w:val="1"/>
                <w:bCs w:val="1"/>
                <w:color w:val="8A4B00"/>
              </w:rPr>
              <w:t>Amber</w:t>
            </w:r>
          </w:p>
        </w:tc>
        <w:tc>
          <w:tcPr>
            <w:tcW w:w="2826" w:type="dxa"/>
            <w:tcMar/>
          </w:tcPr>
          <w:p w:rsidR="37D1620A" w:rsidRDefault="37D1620A" w14:noSpellErr="1" w14:paraId="6772658D" w14:textId="41F9F3BE">
            <w:r w:rsidR="37D1620A">
              <w:rPr/>
              <w:t>Starts once Compliance clears the target group (due 11 Nov)</w:t>
            </w:r>
          </w:p>
        </w:tc>
      </w:tr>
      <w:tr w:rsidR="37D1620A" w:rsidTr="37D1620A" w14:paraId="2B71CB86">
        <w:tc>
          <w:tcPr>
            <w:tcW w:w="2800" w:type="dxa"/>
            <w:tcMar/>
          </w:tcPr>
          <w:p w:rsidR="37D1620A" w:rsidRDefault="37D1620A" w14:noSpellErr="1" w14:paraId="580B9358" w14:textId="590F5433">
            <w:r w:rsidR="37D1620A">
              <w:rPr/>
              <w:t>Account opening – Contoso Energy Materials France SAS</w:t>
            </w:r>
          </w:p>
        </w:tc>
        <w:tc>
          <w:tcPr>
            <w:tcW w:w="2200" w:type="dxa"/>
            <w:tcMar/>
          </w:tcPr>
          <w:p w:rsidR="37D1620A" w:rsidRDefault="37D1620A" w14:noSpellErr="1" w14:paraId="6AFAA799" w14:textId="51ED3AF7">
            <w:r w:rsidR="37D1620A">
              <w:rPr/>
              <w:t>3–4 weeks</w:t>
            </w:r>
          </w:p>
        </w:tc>
        <w:tc>
          <w:tcPr>
            <w:tcW w:w="1200" w:type="dxa"/>
            <w:tcMar/>
          </w:tcPr>
          <w:p w:rsidR="37D1620A" w:rsidRDefault="37D1620A" w14:noSpellErr="1" w14:paraId="62FD0A00" w14:textId="4ACB21BB">
            <w:r w:rsidRPr="37D1620A" w:rsidR="37D1620A">
              <w:rPr>
                <w:b w:val="1"/>
                <w:bCs w:val="1"/>
                <w:color w:val="8A4B00"/>
              </w:rPr>
              <w:t>Amber</w:t>
            </w:r>
          </w:p>
        </w:tc>
        <w:tc>
          <w:tcPr>
            <w:tcW w:w="2826" w:type="dxa"/>
            <w:tcMar/>
          </w:tcPr>
          <w:p w:rsidR="37D1620A" w:rsidRDefault="37D1620A" w14:noSpellErr="1" w14:paraId="65C7C948" w14:textId="43A9087F">
            <w:r w:rsidR="37D1620A">
              <w:rPr/>
              <w:t>Same dependency on KYC clearance</w:t>
            </w:r>
          </w:p>
        </w:tc>
      </w:tr>
      <w:tr w:rsidR="37D1620A" w:rsidTr="37D1620A" w14:paraId="6818E2BA">
        <w:tc>
          <w:tcPr>
            <w:tcW w:w="2800" w:type="dxa"/>
            <w:tcMar/>
          </w:tcPr>
          <w:p w:rsidR="37D1620A" w:rsidRDefault="37D1620A" w14:noSpellErr="1" w14:paraId="5DFEC087" w14:textId="5ABE68F4">
            <w:r w:rsidR="37D1620A">
              <w:rPr/>
              <w:t>Cash pooling incl. Fabrikam Middle East FZE (UAE)</w:t>
            </w:r>
          </w:p>
        </w:tc>
        <w:tc>
          <w:tcPr>
            <w:tcW w:w="2200" w:type="dxa"/>
            <w:tcMar/>
          </w:tcPr>
          <w:p w:rsidR="37D1620A" w:rsidRDefault="37D1620A" w14:noSpellErr="1" w14:paraId="54C0466A" w14:textId="539C4FB8">
            <w:r w:rsidR="37D1620A">
              <w:rPr/>
              <w:t>6–8 weeks (local documentation, board resolutions, specimen signatures)</w:t>
            </w:r>
          </w:p>
        </w:tc>
        <w:tc>
          <w:tcPr>
            <w:tcW w:w="1200" w:type="dxa"/>
            <w:tcMar/>
          </w:tcPr>
          <w:p w:rsidR="37D1620A" w:rsidRDefault="37D1620A" w14:noSpellErr="1" w14:paraId="17246C05" w14:textId="4C7A367C">
            <w:r w:rsidRPr="37D1620A" w:rsidR="37D1620A">
              <w:rPr>
                <w:b w:val="1"/>
                <w:bCs w:val="1"/>
                <w:color w:val="C00000"/>
              </w:rPr>
              <w:t>Red – critical path</w:t>
            </w:r>
          </w:p>
        </w:tc>
        <w:tc>
          <w:tcPr>
            <w:tcW w:w="2826" w:type="dxa"/>
            <w:tcMar/>
          </w:tcPr>
          <w:p w:rsidR="37D1620A" w:rsidRDefault="37D1620A" w14:noSpellErr="1" w14:paraId="580B13F3" w14:textId="45581D40">
            <w:r w:rsidR="37D1620A">
              <w:rPr/>
              <w:t>Critical path for post-closing cash pooling; not needed for the closing funds flow</w:t>
            </w:r>
          </w:p>
        </w:tc>
      </w:tr>
      <w:tr w:rsidR="37D1620A" w:rsidTr="37D1620A" w14:paraId="5FE37B8B">
        <w:tc>
          <w:tcPr>
            <w:tcW w:w="2800" w:type="dxa"/>
            <w:tcMar/>
          </w:tcPr>
          <w:p w:rsidR="37D1620A" w:rsidRDefault="37D1620A" w14:noSpellErr="1" w14:paraId="36A1761B" w14:textId="5C6D7DB5">
            <w:r w:rsidR="37D1620A">
              <w:rPr/>
              <w:t>Closing funds flow</w:t>
            </w:r>
          </w:p>
        </w:tc>
        <w:tc>
          <w:tcPr>
            <w:tcW w:w="2200" w:type="dxa"/>
            <w:tcMar/>
          </w:tcPr>
          <w:p w:rsidR="37D1620A" w:rsidRDefault="37D1620A" w14:noSpellErr="1" w14:paraId="5444FF26" w14:textId="554B6479">
            <w:r w:rsidR="37D1620A">
              <w:rPr/>
              <w:t>Plan by 30 Nov</w:t>
            </w:r>
          </w:p>
        </w:tc>
        <w:tc>
          <w:tcPr>
            <w:tcW w:w="1200" w:type="dxa"/>
            <w:tcMar/>
          </w:tcPr>
          <w:p w:rsidR="37D1620A" w:rsidRDefault="37D1620A" w14:noSpellErr="1" w14:paraId="5FD8EC11" w14:textId="4E294B3D">
            <w:r w:rsidRPr="37D1620A" w:rsidR="37D1620A">
              <w:rPr>
                <w:b w:val="1"/>
                <w:bCs w:val="1"/>
                <w:color w:val="8A4B00"/>
              </w:rPr>
              <w:t>Amber</w:t>
            </w:r>
          </w:p>
        </w:tc>
        <w:tc>
          <w:tcPr>
            <w:tcW w:w="2826" w:type="dxa"/>
            <w:tcMar/>
          </w:tcPr>
          <w:p w:rsidR="37D1620A" w:rsidRDefault="37D1620A" w14:noSpellErr="1" w14:paraId="3F6DD48B" w14:textId="47073201">
            <w:r w:rsidR="37D1620A">
              <w:rPr/>
              <w:t>≈€1.2bn on closing date; payment cut-offs; multi-party payments</w:t>
            </w:r>
          </w:p>
        </w:tc>
      </w:tr>
      <w:tr w:rsidR="37D1620A" w:rsidTr="37D1620A" w14:paraId="28237BD6">
        <w:tc>
          <w:tcPr>
            <w:tcW w:w="2800" w:type="dxa"/>
            <w:tcMar/>
          </w:tcPr>
          <w:p w:rsidR="37D1620A" w:rsidRDefault="37D1620A" w14:noSpellErr="1" w14:paraId="523C3587" w14:textId="5E1C9276">
            <w:r w:rsidR="37D1620A">
              <w:rPr/>
              <w:t>Loan administration set-up</w:t>
            </w:r>
          </w:p>
        </w:tc>
        <w:tc>
          <w:tcPr>
            <w:tcW w:w="2200" w:type="dxa"/>
            <w:tcMar/>
          </w:tcPr>
          <w:p w:rsidR="37D1620A" w:rsidRDefault="37D1620A" w14:noSpellErr="1" w14:paraId="520B7E4D" w14:textId="56FA793A">
            <w:r w:rsidR="37D1620A">
              <w:rPr/>
              <w:t>Depends on agency role</w:t>
            </w:r>
          </w:p>
        </w:tc>
        <w:tc>
          <w:tcPr>
            <w:tcW w:w="1200" w:type="dxa"/>
            <w:tcMar/>
          </w:tcPr>
          <w:p w:rsidR="37D1620A" w:rsidRDefault="37D1620A" w14:noSpellErr="1" w14:paraId="500999F6" w14:textId="4FD85FFE">
            <w:r w:rsidRPr="37D1620A" w:rsidR="37D1620A">
              <w:rPr>
                <w:b w:val="1"/>
                <w:bCs w:val="1"/>
                <w:color w:val="8A4B00"/>
              </w:rPr>
              <w:t>Amber</w:t>
            </w:r>
          </w:p>
        </w:tc>
        <w:tc>
          <w:tcPr>
            <w:tcW w:w="2826" w:type="dxa"/>
            <w:tcMar/>
          </w:tcPr>
          <w:p w:rsidR="37D1620A" w:rsidRDefault="37D1620A" w14:noSpellErr="1" w14:paraId="5B662968" w14:textId="48B646C2">
            <w:r w:rsidR="37D1620A">
              <w:rPr/>
              <w:t>Facility agent role to be confirmed</w:t>
            </w:r>
          </w:p>
        </w:tc>
      </w:tr>
      <w:tr w:rsidR="37D1620A" w:rsidTr="37D1620A" w14:paraId="5F7B003F">
        <w:tc>
          <w:tcPr>
            <w:tcW w:w="2800" w:type="dxa"/>
            <w:tcMar/>
          </w:tcPr>
          <w:p w:rsidR="37D1620A" w:rsidRDefault="37D1620A" w14:noSpellErr="1" w14:paraId="13BCF7A9" w14:textId="5FCBA737">
            <w:r w:rsidR="37D1620A">
              <w:rPr/>
              <w:t>Hedging documentation</w:t>
            </w:r>
          </w:p>
        </w:tc>
        <w:tc>
          <w:tcPr>
            <w:tcW w:w="2200" w:type="dxa"/>
            <w:tcMar/>
          </w:tcPr>
          <w:p w:rsidR="37D1620A" w:rsidRDefault="37D1620A" w14:noSpellErr="1" w14:paraId="257B3DD9" w14:textId="58A98DFB">
            <w:r w:rsidR="37D1620A">
              <w:rPr/>
              <w:t>3–4 weeks</w:t>
            </w:r>
          </w:p>
        </w:tc>
        <w:tc>
          <w:tcPr>
            <w:tcW w:w="1200" w:type="dxa"/>
            <w:tcMar/>
          </w:tcPr>
          <w:p w:rsidR="37D1620A" w:rsidRDefault="37D1620A" w14:noSpellErr="1" w14:paraId="25C49FB0" w14:textId="518774BF">
            <w:r w:rsidRPr="37D1620A" w:rsidR="37D1620A">
              <w:rPr>
                <w:b w:val="1"/>
                <w:bCs w:val="1"/>
                <w:color w:val="8A4B00"/>
              </w:rPr>
              <w:t>Amber</w:t>
            </w:r>
          </w:p>
        </w:tc>
        <w:tc>
          <w:tcPr>
            <w:tcW w:w="2826" w:type="dxa"/>
            <w:tcMar/>
          </w:tcPr>
          <w:p w:rsidR="37D1620A" w:rsidRDefault="37D1620A" w14:noSpellErr="1" w14:paraId="4280BF28" w14:textId="4A655B83">
            <w:r w:rsidR="37D1620A">
              <w:rPr/>
              <w:t>ISDA in place with Fabrikam Europe (2019); credit support annex (CSA) amendment needed</w:t>
            </w:r>
          </w:p>
        </w:tc>
      </w:tr>
    </w:tbl>
    <w:p w:rsidR="1FDAB109" w:rsidP="1FDAB109" w:rsidRDefault="1FDAB109" w14:noSpellErr="1" w14:paraId="13BA935D" w14:textId="4CA56E04">
      <w:pPr>
        <w:pStyle w:val="Heading1"/>
      </w:pPr>
      <w:r w:rsidR="1FDAB109">
        <w:rPr/>
        <w:t>Asks of the deal team</w:t>
      </w:r>
    </w:p>
    <w:p w:rsidR="1FDAB109" w:rsidP="1FDAB109" w:rsidRDefault="1FDAB109" w14:noSpellErr="1" w14:paraId="682B75C6" w14:textId="557BCCD7">
      <w:pPr>
        <w:pStyle w:val="ListBullet"/>
        <w:rPr/>
      </w:pPr>
      <w:r w:rsidR="1FDAB109">
        <w:rPr/>
        <w:t>Start the UAE documentation now, in parallel with KYC, so that cash pooling is ready soon after closing.</w:t>
      </w:r>
    </w:p>
    <w:p w:rsidR="1FDAB109" w:rsidP="1FDAB109" w:rsidRDefault="1FDAB109" w14:noSpellErr="1" w14:paraId="5D9ACCDB" w14:textId="33A1DE80">
      <w:pPr>
        <w:pStyle w:val="ListBullet"/>
        <w:rPr/>
      </w:pPr>
      <w:r w:rsidR="1FDAB109">
        <w:rPr/>
        <w:t>Confirm whether MUFG will act as facility agent, so that we can plan the loan administration set-up.</w:t>
      </w:r>
    </w:p>
    <w:p w:rsidR="1FDAB109" w:rsidP="1FDAB109" w:rsidRDefault="1FDAB109" w14:noSpellErr="1" w14:paraId="70A1BA1C" w14:textId="42534AF5">
      <w:pPr>
        <w:pStyle w:val="ListBullet"/>
        <w:rPr/>
      </w:pPr>
      <w:r w:rsidR="1FDAB109">
        <w:rPr/>
        <w:t>Ask Fabrikam for named contacts in its treasury team for account opening, the funds flow and hedging documentation.</w:t>
      </w:r>
    </w:p>
    <w:p w:rsidR="1FDAB109" w:rsidP="1FDAB109" w:rsidRDefault="1FDAB109" w14:noSpellErr="1" w14:paraId="40EFB1AE" w14:textId="38D505AF">
      <w:pPr>
        <w:pStyle w:val="ListBullet"/>
        <w:rPr/>
      </w:pPr>
      <w:r w:rsidR="1FDAB109">
        <w:rPr/>
        <w:t>Include Operations in the client follow-up, so that documentation requests reach Fabrikam early.</w:t>
      </w:r>
    </w:p>
    <w:p w:rsidR="1FDAB109" w:rsidP="1FDAB109" w:rsidRDefault="1FDAB109" w14:noSpellErr="1" w14:paraId="5473B7AB" w14:textId="30E27FB9">
      <w:pPr>
        <w:pStyle w:val="Heading1"/>
      </w:pPr>
      <w:r w:rsidR="1FDAB109">
        <w:rPr/>
        <w:t>Notes</w:t>
      </w:r>
    </w:p>
    <w:p w:rsidR="1FDAB109" w:rsidRDefault="1FDAB109" w14:noSpellErr="1" w14:paraId="5D47368E" w14:textId="527FC491">
      <w:r w:rsidR="1FDAB109">
        <w:rPr/>
        <w:t>The closing funds flow will move about €1.2bn on the closing date, with several parties paying and receiving funds against fixed payment cut-off times. A written plan by 30 November leaves time to test it well before closing. On hedging, an ISDA master agreement (the standard contract for derivatives such as FX and interest-rate hedges) has been in place with Fabrikam Europe since 2019; only its credit support annex, which governs collateral, needs amending, and that takes 3–4 weeks.</w:t>
      </w:r>
    </w:p>
    <w:p w:rsidR="37D1620A" w:rsidP="37D1620A" w:rsidRDefault="37D1620A" w14:noSpellErr="1" w14:paraId="7F828301" w14:textId="21F86A0A">
      <w:pPr>
        <w:pStyle w:val="Heading1"/>
      </w:pPr>
      <w:r w:rsidR="37D1620A">
        <w:rPr/>
        <w:t>Key dates ahead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800"/>
        <w:gridCol w:w="7226"/>
      </w:tblGrid>
      <w:tr w:rsidR="37D1620A" w:rsidTr="37D1620A" w14:paraId="25780443">
        <w:trPr>
          <w:trHeight w:val="300"/>
        </w:trPr>
        <w:tc>
          <w:tcPr>
            <w:tcW w:w="1800" w:type="dxa"/>
            <w:tcMar/>
          </w:tcPr>
          <w:p w:rsidR="37D1620A" w:rsidRDefault="37D1620A" w14:noSpellErr="1" w14:paraId="17849BD7" w14:textId="2DDCF693">
            <w:r w:rsidR="37D1620A">
              <w:rPr/>
              <w:t>Date</w:t>
            </w:r>
          </w:p>
        </w:tc>
        <w:tc>
          <w:tcPr>
            <w:tcW w:w="7226" w:type="dxa"/>
            <w:tcMar/>
          </w:tcPr>
          <w:p w:rsidR="37D1620A" w:rsidRDefault="37D1620A" w14:noSpellErr="1" w14:paraId="5151D23A" w14:textId="26BADD57">
            <w:r w:rsidR="37D1620A">
              <w:rPr/>
              <w:t>Milestone and what it means for Operations</w:t>
            </w:r>
          </w:p>
        </w:tc>
      </w:tr>
      <w:tr w:rsidR="37D1620A" w:rsidTr="37D1620A" w14:paraId="233F6264">
        <w:tc>
          <w:tcPr>
            <w:tcW w:w="1800" w:type="dxa"/>
            <w:tcMar/>
          </w:tcPr>
          <w:p w:rsidR="37D1620A" w:rsidRDefault="37D1620A" w14:noSpellErr="1" w14:paraId="1715164D" w14:textId="3DD03DCC">
            <w:r w:rsidR="37D1620A">
              <w:rPr/>
              <w:t>Fri 6 Nov</w:t>
            </w:r>
          </w:p>
        </w:tc>
        <w:tc>
          <w:tcPr>
            <w:tcW w:w="7226" w:type="dxa"/>
            <w:tcMar/>
          </w:tcPr>
          <w:p w:rsidR="37D1620A" w:rsidRDefault="37D1620A" w14:noSpellErr="1" w14:paraId="3DC4A7B9" w14:textId="36AE2490">
            <w:r w:rsidR="37D1620A">
              <w:rPr/>
              <w:t>Indicative, non-binding proposal to Fabrikam; screening results and UAE local account documentation due</w:t>
            </w:r>
          </w:p>
        </w:tc>
      </w:tr>
      <w:tr w:rsidR="37D1620A" w:rsidTr="37D1620A" w14:paraId="5D74CA5A">
        <w:tc>
          <w:tcPr>
            <w:tcW w:w="1800" w:type="dxa"/>
            <w:tcMar/>
          </w:tcPr>
          <w:p w:rsidR="37D1620A" w:rsidRDefault="37D1620A" w14:noSpellErr="1" w14:paraId="2C17A2EF" w14:textId="4DC38505">
            <w:r w:rsidR="37D1620A">
              <w:rPr/>
              <w:t>Wed 11 Nov</w:t>
            </w:r>
          </w:p>
        </w:tc>
        <w:tc>
          <w:tcPr>
            <w:tcW w:w="7226" w:type="dxa"/>
            <w:tcMar/>
          </w:tcPr>
          <w:p w:rsidR="37D1620A" w:rsidRDefault="37D1620A" w14:noSpellErr="1" w14:paraId="7BAB5FDB" w14:textId="46A16BC9">
            <w:r w:rsidR="37D1620A">
              <w:rPr/>
              <w:t>Target-group onboarding and UBO confirmation due; Netherlands and France account opening can start once KYC is cleared</w:t>
            </w:r>
          </w:p>
        </w:tc>
      </w:tr>
      <w:tr w:rsidR="37D1620A" w:rsidTr="37D1620A" w14:paraId="1A566245">
        <w:tc>
          <w:tcPr>
            <w:tcW w:w="1800" w:type="dxa"/>
            <w:tcMar/>
          </w:tcPr>
          <w:p w:rsidR="37D1620A" w:rsidRDefault="37D1620A" w14:noSpellErr="1" w14:paraId="553D5713" w14:textId="5DB6CC3E">
            <w:r w:rsidR="37D1620A">
              <w:rPr/>
              <w:t>Thu 12 Nov</w:t>
            </w:r>
          </w:p>
        </w:tc>
        <w:tc>
          <w:tcPr>
            <w:tcW w:w="7226" w:type="dxa"/>
            <w:tcMar/>
          </w:tcPr>
          <w:p w:rsidR="37D1620A" w:rsidRDefault="37D1620A" w14:noSpellErr="1" w14:paraId="6469C17B" w14:textId="5694B302">
            <w:r w:rsidR="37D1620A">
              <w:rPr/>
              <w:t>Executive Committee decision on Project Meridian</w:t>
            </w:r>
          </w:p>
        </w:tc>
      </w:tr>
      <w:tr w:rsidR="37D1620A" w:rsidTr="37D1620A" w14:paraId="4AEFB95F">
        <w:tc>
          <w:tcPr>
            <w:tcW w:w="1800" w:type="dxa"/>
            <w:tcMar/>
          </w:tcPr>
          <w:p w:rsidR="37D1620A" w:rsidRDefault="37D1620A" w14:noSpellErr="1" w14:paraId="6E981B11" w14:textId="6DAA1377">
            <w:r w:rsidR="37D1620A">
              <w:rPr/>
              <w:t>Mon 30 Nov</w:t>
            </w:r>
          </w:p>
        </w:tc>
        <w:tc>
          <w:tcPr>
            <w:tcW w:w="7226" w:type="dxa"/>
            <w:tcMar/>
          </w:tcPr>
          <w:p w:rsidR="37D1620A" w:rsidRDefault="37D1620A" w14:noSpellErr="1" w14:paraId="486A295C" w14:textId="6687FA3B">
            <w:r w:rsidR="37D1620A">
              <w:rPr/>
              <w:t>Closing funds-flow plan ready (≈€1.2bn; payment cut-offs; multi-party payments)</w:t>
            </w:r>
          </w:p>
        </w:tc>
      </w:tr>
      <w:tr w:rsidR="37D1620A" w:rsidTr="37D1620A" w14:paraId="7E7377F2">
        <w:tc>
          <w:tcPr>
            <w:tcW w:w="1800" w:type="dxa"/>
            <w:tcMar/>
          </w:tcPr>
          <w:p w:rsidR="37D1620A" w:rsidRDefault="37D1620A" w14:noSpellErr="1" w14:paraId="163EB933" w14:textId="7D9D5AB0">
            <w:r w:rsidR="37D1620A">
              <w:rPr/>
              <w:t>Mid-December</w:t>
            </w:r>
          </w:p>
        </w:tc>
        <w:tc>
          <w:tcPr>
            <w:tcW w:w="7226" w:type="dxa"/>
            <w:tcMar/>
          </w:tcPr>
          <w:p w:rsidR="37D1620A" w:rsidRDefault="37D1620A" w14:noSpellErr="1" w14:paraId="34EDD6BC" w14:textId="767B4174">
            <w:r w:rsidR="37D1620A">
              <w:rPr/>
              <w:t>Target signing (the client has asked whether early December is possible)</w:t>
            </w:r>
          </w:p>
        </w:tc>
      </w:tr>
      <w:tr w:rsidR="37D1620A" w:rsidTr="37D1620A" w14:paraId="28A89766">
        <w:tc>
          <w:tcPr>
            <w:tcW w:w="1800" w:type="dxa"/>
            <w:tcMar/>
          </w:tcPr>
          <w:p w:rsidR="37D1620A" w:rsidRDefault="37D1620A" w14:noSpellErr="1" w14:paraId="169B2D3F" w14:textId="0D90A1E9">
            <w:r w:rsidR="37D1620A">
              <w:rPr/>
              <w:t>Q1 2027</w:t>
            </w:r>
          </w:p>
        </w:tc>
        <w:tc>
          <w:tcPr>
            <w:tcW w:w="7226" w:type="dxa"/>
            <w:tcMar/>
          </w:tcPr>
          <w:p w:rsidR="37D1620A" w:rsidRDefault="37D1620A" w14:noSpellErr="1" w14:paraId="22FFF79B" w14:textId="066E88AD">
            <w:r w:rsidR="37D1620A">
              <w:rPr/>
              <w:t>Closing, subject to merger-control approvals; post-closing cash pooling, including the UAE, to follow</w:t>
            </w:r>
          </w:p>
        </w:tc>
      </w:tr>
    </w:tbl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d658c7c70384f5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 xmlns:w14="http://schemas.microsoft.com/office/word/2010/wordml">
  <w:p xmlns:w14="http://schemas.microsoft.com/office/word/2010/wordml" xmlns:p2="http://schemas.microsoft.com/office/word/2010/wordml" w:rsidR="1FDAB109" w:rsidRDefault="1FDAB109" w14:paraId="4B811E61" w14:textId="4488859A" p2:noSpellErr="1">
    <w:r w:rsidR="37D1620A">
      <w:rPr/>
      <w:t>FICTIONAL – FOR TRAINING USE ONLY | Operational Readiness Note – Project Meridian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D3BF0"/>
    <w:rsid w:val="1FDAB109"/>
    <w:rsid w:val="236984C8"/>
    <w:rsid w:val="236984C8"/>
    <w:rsid w:val="31EC3B3C"/>
    <w:rsid w:val="37D1620A"/>
    <w:rsid w:val="39294F12"/>
    <w:rsid w:val="46093876"/>
    <w:rsid w:val="53F0D0D1"/>
    <w:rsid w:val="57BD9AB6"/>
    <w:rsid w:val="639D694E"/>
    <w:rsid w:val="639D694E"/>
    <w:rsid w:val="66E69F22"/>
    <w:rsid w:val="6B776128"/>
    <w:rsid w:val="72E4851F"/>
    <w:rsid w:val="7760E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EB479AC-88F1-4B69-A25B-548B6D6D49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8d658c7c70384f5b" /></Relationships>
</file>

<file path=word/theme/theme1.xml><?xml version="1.0" encoding="utf-8"?>
<a:theme xmlns:a="http://schemas.openxmlformats.org/drawingml/2006/main" name="Office Theme">
  <a:themeElements>
    <a:clrScheme name="Custom 2F5496">
      <a:dk1>
        <a:srgbClr val="1A1A1A"/>
      </a:dk1>
      <a:lt1>
        <a:srgbClr val="FFFFFF"/>
      </a:lt1>
      <a:dk2>
        <a:srgbClr val="2F5496"/>
      </a:dk2>
      <a:lt2>
        <a:srgbClr val="EEECE1"/>
      </a:lt2>
      <a:accent1>
        <a:srgbClr val="2F5496"/>
      </a:accent1>
      <a:accent2>
        <a:srgbClr val="595959"/>
      </a:accent2>
      <a:accent3>
        <a:srgbClr val="2F5496"/>
      </a:accent3>
      <a:accent4>
        <a:srgbClr val="2F5496"/>
      </a:accent4>
      <a:accent5>
        <a:srgbClr val="2F5496"/>
      </a:accent5>
      <a:accent6>
        <a:srgbClr val="2F5496"/>
      </a:accent6>
      <a:hlink>
        <a:srgbClr val="2F5496"/>
      </a:hlink>
      <a:folHlink>
        <a:srgbClr val="59595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bde396-1a24-4c79-8edf-9254a0f35055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Sarah Allali</lastModifiedBy>
  <revision>3</revision>
  <dcterms:created xsi:type="dcterms:W3CDTF">2026-10-03T13:44:18.0000000Z</dcterms:created>
  <dcterms:modified xsi:type="dcterms:W3CDTF">2026-10-03T14:09:18.3065492Z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