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8A338" w14:textId="77777777" w:rsidR="00004A2B"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u w:val="single"/>
        </w:rPr>
        <w:t>Note de synthèse</w:t>
      </w:r>
      <w:r>
        <w:rPr>
          <w:rFonts w:ascii="Times New Roman" w:eastAsia="Times New Roman" w:hAnsi="Times New Roman" w:cs="Times New Roman"/>
          <w:b/>
          <w:bCs/>
          <w:sz w:val="28"/>
          <w:szCs w:val="28"/>
        </w:rPr>
        <w:t xml:space="preserve"> </w:t>
      </w:r>
      <w:r>
        <w:rPr>
          <w:noProof/>
        </w:rPr>
        <w:drawing>
          <wp:anchor distT="114300" distB="114300" distL="114300" distR="114300" simplePos="0" relativeHeight="251657216" behindDoc="0" locked="0" layoutInCell="1" hidden="0" allowOverlap="1" wp14:anchorId="3B905730" wp14:editId="411064FB">
            <wp:simplePos x="0" y="0"/>
            <wp:positionH relativeFrom="column">
              <wp:posOffset>3324225</wp:posOffset>
            </wp:positionH>
            <wp:positionV relativeFrom="paragraph">
              <wp:posOffset>266700</wp:posOffset>
            </wp:positionV>
            <wp:extent cx="2465062" cy="841940"/>
            <wp:effectExtent l="0" t="0" r="0" b="0"/>
            <wp:wrapSquare wrapText="bothSides" distT="114300" distB="114300" distL="114300" distR="11430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2465062" cy="841940"/>
                    </a:xfrm>
                    <a:prstGeom prst="rect">
                      <a:avLst/>
                    </a:prstGeom>
                    <a:ln/>
                  </pic:spPr>
                </pic:pic>
              </a:graphicData>
            </a:graphic>
          </wp:anchor>
        </w:drawing>
      </w:r>
      <w:r>
        <w:rPr>
          <w:noProof/>
        </w:rPr>
        <w:drawing>
          <wp:anchor distT="57150" distB="57150" distL="57150" distR="57150" simplePos="0" relativeHeight="251658240" behindDoc="0" locked="0" layoutInCell="1" hidden="0" allowOverlap="1" wp14:anchorId="26859B01" wp14:editId="2CFEB8E4">
            <wp:simplePos x="0" y="0"/>
            <wp:positionH relativeFrom="column">
              <wp:posOffset>110067</wp:posOffset>
            </wp:positionH>
            <wp:positionV relativeFrom="paragraph">
              <wp:posOffset>110067</wp:posOffset>
            </wp:positionV>
            <wp:extent cx="3281363" cy="1666875"/>
            <wp:effectExtent l="0" t="0" r="0" b="0"/>
            <wp:wrapSquare wrapText="bothSides" distT="57150" distB="57150" distL="57150" distR="5715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281363" cy="1666875"/>
                    </a:xfrm>
                    <a:prstGeom prst="rect">
                      <a:avLst/>
                    </a:prstGeom>
                    <a:ln/>
                  </pic:spPr>
                </pic:pic>
              </a:graphicData>
            </a:graphic>
          </wp:anchor>
        </w:drawing>
      </w:r>
    </w:p>
    <w:p w14:paraId="6F2A4EF8" w14:textId="77777777" w:rsidR="00004A2B" w:rsidRDefault="00004A2B">
      <w:pPr>
        <w:rPr>
          <w:rFonts w:ascii="Times New Roman" w:eastAsia="Times New Roman" w:hAnsi="Times New Roman" w:cs="Times New Roman"/>
          <w:b/>
          <w:bCs/>
          <w:sz w:val="28"/>
          <w:szCs w:val="28"/>
        </w:rPr>
      </w:pPr>
    </w:p>
    <w:p w14:paraId="45246B34" w14:textId="77777777" w:rsidR="00004A2B" w:rsidRDefault="00000000">
      <w:pPr>
        <w:rPr>
          <w:rFonts w:ascii="Times New Roman" w:eastAsia="Times New Roman" w:hAnsi="Times New Roman" w:cs="Times New Roman"/>
          <w:b/>
          <w:bCs/>
          <w:sz w:val="28"/>
          <w:szCs w:val="28"/>
        </w:rPr>
      </w:pPr>
      <w:r>
        <w:rPr>
          <w:noProof/>
        </w:rPr>
        <mc:AlternateContent>
          <mc:Choice Requires="wps">
            <w:drawing>
              <wp:anchor distT="57150" distB="57150" distL="57150" distR="57150" simplePos="0" relativeHeight="251660288" behindDoc="1" locked="0" layoutInCell="1" hidden="0" allowOverlap="1" wp14:anchorId="2A8F3782" wp14:editId="1EAF490C">
                <wp:simplePos x="0" y="0"/>
                <wp:positionH relativeFrom="column">
                  <wp:posOffset>69850</wp:posOffset>
                </wp:positionH>
                <wp:positionV relativeFrom="paragraph">
                  <wp:posOffset>90109</wp:posOffset>
                </wp:positionV>
                <wp:extent cx="6368000" cy="18674"/>
                <wp:effectExtent l="0" t="0" r="0" b="0"/>
                <wp:wrapNone/>
                <wp:docPr id="10" name="Connecteur droit avec flèche 10"/>
                <wp:cNvGraphicFramePr/>
                <a:graphic xmlns:a="http://schemas.openxmlformats.org/drawingml/2006/main">
                  <a:graphicData uri="http://schemas.microsoft.com/office/word/2010/wordprocessingShape">
                    <wps:wsp>
                      <wps:cNvCnPr/>
                      <wps:spPr>
                        <a:xfrm>
                          <a:off x="533400" y="2743200"/>
                          <a:ext cx="6477000" cy="0"/>
                        </a:xfrm>
                        <a:prstGeom prst="straightConnector1">
                          <a:avLst/>
                        </a:prstGeom>
                        <a:noFill/>
                        <a:ln w="19050" cap="flat" cmpd="sng">
                          <a:solidFill>
                            <a:srgbClr val="002E6D"/>
                          </a:solidFill>
                          <a:prstDash val="solid"/>
                          <a:round/>
                          <a:headEnd type="none" w="med" len="med"/>
                          <a:tailEnd type="none" w="med" len="med"/>
                        </a:ln>
                      </wps:spPr>
                      <wps:bodyPr/>
                    </wps:wsp>
                  </a:graphicData>
                </a:graphic>
              </wp:anchor>
            </w:drawing>
          </mc:Choice>
          <mc:Fallback>
            <w:pict>
              <v:shapetype w14:anchorId="61995C1F" id="_x0000_t32" coordsize="21600,21600" o:spt="32" o:oned="t" path="m,l21600,21600e" filled="f">
                <v:path arrowok="t" fillok="f" o:connecttype="none"/>
                <o:lock v:ext="edit" shapetype="t"/>
              </v:shapetype>
              <v:shape id="Connecteur droit avec flèche 10" o:spid="_x0000_s1026" type="#_x0000_t32" style="position:absolute;margin-left:5.5pt;margin-top:7.1pt;width:501.4pt;height:1.45pt;z-index:-251656192;visibility:visible;mso-wrap-style:square;mso-wrap-distance-left:4.5pt;mso-wrap-distance-top:4.5pt;mso-wrap-distance-right:4.5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" strokecolor="#002e6d" strokeweight="1.5pt"/>
            </w:pict>
          </mc:Fallback>
        </mc:AlternateContent>
      </w:r>
    </w:p>
    <w:p w14:paraId="213189BA" w14:textId="77777777" w:rsidR="00004A2B" w:rsidRDefault="00000000">
      <w:pPr>
        <w:jc w:val="center"/>
        <w:rPr>
          <w:rFonts w:ascii="Times New Roman" w:eastAsia="Times New Roman" w:hAnsi="Times New Roman" w:cs="Times New Roman"/>
          <w:b/>
          <w:bCs/>
          <w:color w:val="002E6D"/>
          <w:sz w:val="28"/>
          <w:szCs w:val="28"/>
          <w:highlight w:val="white"/>
        </w:rPr>
      </w:pPr>
      <w:r>
        <w:rPr>
          <w:rFonts w:ascii="Times New Roman" w:eastAsia="Times New Roman" w:hAnsi="Times New Roman" w:cs="Times New Roman"/>
          <w:b/>
          <w:bCs/>
          <w:sz w:val="36"/>
          <w:szCs w:val="36"/>
        </w:rPr>
        <w:t xml:space="preserve">          Impact de la politique monétaire de la Fed et de la             BCE sur les rendements financiers </w:t>
      </w:r>
      <w:r>
        <w:rPr>
          <w:rFonts w:ascii="Times New Roman" w:eastAsia="Times New Roman" w:hAnsi="Times New Roman" w:cs="Times New Roman"/>
          <w:b/>
          <w:bCs/>
          <w:color w:val="002E6D"/>
          <w:sz w:val="28"/>
          <w:szCs w:val="28"/>
          <w:highlight w:val="white"/>
        </w:rPr>
        <w:t xml:space="preserve">    </w:t>
      </w:r>
    </w:p>
    <w:p w14:paraId="047D6443" w14:textId="77777777" w:rsidR="00004A2B" w:rsidRDefault="00000000">
      <w:pPr>
        <w:spacing w:before="240" w:after="240" w:line="240" w:lineRule="auto"/>
        <w:jc w:val="center"/>
        <w:rPr>
          <w:rFonts w:ascii="Times New Roman" w:eastAsia="Times New Roman" w:hAnsi="Times New Roman" w:cs="Times New Roman"/>
          <w:b/>
          <w:bCs/>
          <w:color w:val="002E6D"/>
          <w:sz w:val="28"/>
          <w:szCs w:val="28"/>
          <w:highlight w:val="white"/>
        </w:rPr>
      </w:pPr>
      <w:r>
        <w:rPr>
          <w:rFonts w:ascii="Times New Roman" w:eastAsia="Times New Roman" w:hAnsi="Times New Roman" w:cs="Times New Roman"/>
          <w:b/>
          <w:bCs/>
          <w:color w:val="002E6D"/>
          <w:sz w:val="28"/>
          <w:szCs w:val="28"/>
          <w:highlight w:val="white"/>
        </w:rPr>
        <w:t xml:space="preserve">                Par BIZA Sarah Madelyne</w:t>
      </w:r>
    </w:p>
    <w:p w14:paraId="597C20F3" w14:textId="77777777" w:rsidR="00004A2B" w:rsidRDefault="00000000">
      <w:pPr>
        <w:spacing w:before="240" w:after="240" w:line="240" w:lineRule="auto"/>
        <w:jc w:val="cente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 xml:space="preserve">         Master 1 Économétrie et Statistique, parcours Économétrie Appliquée</w:t>
      </w:r>
    </w:p>
    <w:p w14:paraId="0A08F67A" w14:textId="77777777" w:rsidR="00004A2B" w:rsidRDefault="00000000">
      <w:pPr>
        <w:spacing w:before="240" w:after="240" w:line="240" w:lineRule="auto"/>
        <w:jc w:val="center"/>
        <w:rPr>
          <w:rFonts w:ascii="Times New Roman" w:eastAsia="Times New Roman" w:hAnsi="Times New Roman" w:cs="Times New Roman"/>
          <w:sz w:val="32"/>
          <w:szCs w:val="32"/>
          <w:highlight w:val="white"/>
        </w:rPr>
      </w:pPr>
      <w:r>
        <w:rPr>
          <w:rFonts w:ascii="Times New Roman" w:eastAsia="Times New Roman" w:hAnsi="Times New Roman" w:cs="Times New Roman"/>
          <w:b/>
          <w:bCs/>
          <w:sz w:val="24"/>
          <w:szCs w:val="24"/>
          <w:highlight w:val="white"/>
        </w:rPr>
        <w:t xml:space="preserve">                    </w:t>
      </w:r>
      <w:r>
        <w:rPr>
          <w:rFonts w:ascii="Times New Roman" w:eastAsia="Times New Roman" w:hAnsi="Times New Roman" w:cs="Times New Roman"/>
          <w:b/>
          <w:bCs/>
          <w:sz w:val="24"/>
          <w:szCs w:val="24"/>
          <w:highlight w:val="white"/>
          <w:u w:val="single"/>
        </w:rPr>
        <w:t>Année Universitaire :</w:t>
      </w:r>
      <w:r>
        <w:rPr>
          <w:rFonts w:ascii="Times New Roman" w:eastAsia="Times New Roman" w:hAnsi="Times New Roman" w:cs="Times New Roman"/>
          <w:b/>
          <w:bCs/>
          <w:sz w:val="24"/>
          <w:szCs w:val="24"/>
          <w:highlight w:val="white"/>
        </w:rPr>
        <w:t xml:space="preserve"> 2025-2026</w:t>
      </w:r>
      <w:r>
        <w:rPr>
          <w:noProof/>
        </w:rPr>
        <mc:AlternateContent>
          <mc:Choice Requires="wpg">
            <w:drawing>
              <wp:anchor distT="114300" distB="114300" distL="114300" distR="114300" simplePos="0" relativeHeight="251661312" behindDoc="0" locked="0" layoutInCell="1" hidden="0" allowOverlap="1" wp14:anchorId="6C326AA1" wp14:editId="459211A6">
                <wp:simplePos x="0" y="0"/>
                <wp:positionH relativeFrom="column">
                  <wp:posOffset>323967</wp:posOffset>
                </wp:positionH>
                <wp:positionV relativeFrom="paragraph">
                  <wp:posOffset>677333</wp:posOffset>
                </wp:positionV>
                <wp:extent cx="5959475" cy="1833685"/>
                <wp:effectExtent l="0" t="0" r="0" b="0"/>
                <wp:wrapTopAndBottom distT="114300" distB="114300"/>
                <wp:docPr id="4" name="Groupe 4"/>
                <wp:cNvGraphicFramePr/>
                <a:graphic xmlns:a="http://schemas.openxmlformats.org/drawingml/2006/main">
                  <a:graphicData uri="http://schemas.microsoft.com/office/word/2010/wordprocessingGroup">
                    <wpg:wgp>
                      <wpg:cNvGrpSpPr/>
                      <wpg:grpSpPr>
                        <a:xfrm>
                          <a:off x="0" y="0"/>
                          <a:ext cx="5959475" cy="1833685"/>
                          <a:chOff x="1874900" y="1165075"/>
                          <a:chExt cx="5338300" cy="1647700"/>
                        </a:xfrm>
                      </wpg:grpSpPr>
                      <wps:wsp>
                        <wps:cNvPr id="873811089" name="Rectangle : coins arrondis 873811089"/>
                        <wps:cNvSpPr/>
                        <wps:spPr>
                          <a:xfrm>
                            <a:off x="1889200" y="1179375"/>
                            <a:ext cx="5309700" cy="1619100"/>
                          </a:xfrm>
                          <a:prstGeom prst="roundRect">
                            <a:avLst>
                              <a:gd name="adj" fmla="val 16667"/>
                            </a:avLst>
                          </a:prstGeom>
                          <a:noFill/>
                          <a:ln w="28575" cap="flat" cmpd="sng">
                            <a:solidFill>
                              <a:srgbClr val="002E6D"/>
                            </a:solidFill>
                            <a:prstDash val="solid"/>
                            <a:round/>
                            <a:headEnd type="none" w="sm" len="sm"/>
                            <a:tailEnd type="none" w="sm" len="sm"/>
                          </a:ln>
                        </wps:spPr>
                        <wps:txbx>
                          <w:txbxContent>
                            <w:p w14:paraId="0AC1974A" w14:textId="77777777" w:rsidR="00004A2B" w:rsidRDefault="00004A2B">
                              <w:pPr>
                                <w:spacing w:line="240" w:lineRule="auto"/>
                                <w:jc w:val="center"/>
                                <w:textDirection w:val="btLr"/>
                              </w:pPr>
                            </w:p>
                          </w:txbxContent>
                        </wps:txbx>
                        <wps:bodyPr spcFirstLastPara="1" wrap="square" lIns="91425" tIns="91425" rIns="91425" bIns="91425" anchor="ctr" anchorCtr="0">
                          <a:noAutofit/>
                        </wps:bodyPr>
                      </wps:wsp>
                      <wps:wsp>
                        <wps:cNvPr id="1751481172" name="Zone de texte 1751481172"/>
                        <wps:cNvSpPr txBox="1"/>
                        <wps:spPr>
                          <a:xfrm>
                            <a:off x="1970650" y="1308525"/>
                            <a:ext cx="5146800" cy="1360800"/>
                          </a:xfrm>
                          <a:prstGeom prst="rect">
                            <a:avLst/>
                          </a:prstGeom>
                          <a:noFill/>
                          <a:ln>
                            <a:noFill/>
                          </a:ln>
                        </wps:spPr>
                        <wps:txbx>
                          <w:txbxContent>
                            <w:p w14:paraId="01B431EB" w14:textId="77777777" w:rsidR="00004A2B" w:rsidRDefault="00000000">
                              <w:pPr>
                                <w:spacing w:line="275" w:lineRule="auto"/>
                                <w:textDirection w:val="btLr"/>
                              </w:pPr>
                              <w:r>
                                <w:rPr>
                                  <w:rFonts w:ascii="Times New Roman" w:eastAsia="Times New Roman" w:hAnsi="Times New Roman" w:cs="Times New Roman"/>
                                  <w:color w:val="000000"/>
                                </w:rPr>
                                <w:t>Cette étude porte sur comment les décisions de la BCE et de la Fed influencent les marchés boursiers français et américains. À partir de trois indices majeurs (CAC 40, S&amp;P 500, NASDAQ 100), de neuf secteurs et de quatre actions, elle montre que les rendements dépendent des taux d’intérêt et de l’incertitude. Les effets diffèrent selon les périodes et les régimes monétaires, et les estimations par MCO doivent se lire avec leurs limites.</w:t>
                              </w:r>
                            </w:p>
                            <w:p w14:paraId="78EBB106" w14:textId="77777777" w:rsidR="00004A2B" w:rsidRDefault="00004A2B">
                              <w:pPr>
                                <w:spacing w:line="275" w:lineRule="auto"/>
                                <w:textDirection w:val="btLr"/>
                              </w:pPr>
                            </w:p>
                            <w:p w14:paraId="04F33D47" w14:textId="77777777" w:rsidR="00004A2B" w:rsidRDefault="00000000">
                              <w:pPr>
                                <w:spacing w:line="275" w:lineRule="auto"/>
                                <w:jc w:val="center"/>
                                <w:textDirection w:val="btLr"/>
                              </w:pPr>
                              <w:r>
                                <w:rPr>
                                  <w:rFonts w:ascii="Times New Roman" w:eastAsia="Times New Roman" w:hAnsi="Times New Roman" w:cs="Times New Roman"/>
                                  <w:color w:val="000000"/>
                                  <w:u w:val="single"/>
                                </w:rPr>
                                <w:t>Mots-clés :</w:t>
                              </w:r>
                              <w:r>
                                <w:rPr>
                                  <w:rFonts w:ascii="Times New Roman" w:eastAsia="Times New Roman" w:hAnsi="Times New Roman" w:cs="Times New Roman"/>
                                  <w:color w:val="000000"/>
                                </w:rPr>
                                <w:t xml:space="preserve"> Politique monétaire, BCE, Fed, marché actions, taux d’intérêt, MCO</w:t>
                              </w:r>
                            </w:p>
                          </w:txbxContent>
                        </wps:txbx>
                        <wps:bodyPr spcFirstLastPara="1" wrap="square" lIns="91425" tIns="91425" rIns="91425" bIns="91425" anchor="t" anchorCtr="0">
                          <a:noAutofit/>
                        </wps:bodyPr>
                      </wps:wsp>
                    </wpg:wgp>
                  </a:graphicData>
                </a:graphic>
              </wp:anchor>
            </w:drawing>
          </mc:Choice>
          <mc:Fallback>
            <w:pict>
              <v:group w14:anchorId="6C326AA1" id="Groupe 4" o:spid="_x0000_s1027" style="position:absolute;left:0;text-align:left;margin-left:25.5pt;margin-top:53.35pt;width:469.25pt;height:144.4pt;z-index:251661312;mso-wrap-distance-top:9pt;mso-wrap-distance-bottom:9pt" coordorigin="18749,11650" coordsize="53383,16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">
                <v:roundrect id="Rectangle : coins arrondis 873811089" o:spid="_x0000_s1028" style="position:absolute;left:18892;top:11793;width:53097;height:1619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" filled="f" strokecolor="#002e6d" strokeweight="2.25pt">
                  <v:stroke startarrowwidth="narrow" startarrowlength="short" endarrowwidth="narrow" endarrowlength="short"/>
                  <v:textbox inset="2.53958mm,2.53958mm,2.53958mm,2.53958mm">
                    <w:txbxContent>
                      <w:p w14:paraId="0AC1974A" w14:textId="77777777" w:rsidR="00004A2B" w:rsidRDefault="00004A2B">
                        <w:pPr>
                          <w:spacing w:line="240" w:lineRule="auto"/>
                          <w:jc w:val="center"/>
                          <w:textDirection w:val="btLr"/>
                        </w:pPr>
                      </w:p>
                    </w:txbxContent>
                  </v:textbox>
                </v:roundrect>
                <v:shapetype id="_x0000_t202" coordsize="21600,21600" o:spt="202" path="m,l,21600r21600,l21600,xe">
                  <v:stroke joinstyle="miter"/>
                  <v:path gradientshapeok="t" o:connecttype="rect"/>
                </v:shapetype>
                <v:shape id="Zone de texte 1751481172" o:spid="_x0000_s1029" type="#_x0000_t202" style="position:absolute;left:19706;top:13085;width:51468;height:13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" filled="f" stroked="f">
                  <v:textbox inset="2.53958mm,2.53958mm,2.53958mm,2.53958mm">
                    <w:txbxContent>
                      <w:p w14:paraId="01B431EB" w14:textId="77777777" w:rsidR="00004A2B" w:rsidRDefault="00000000">
                        <w:pPr>
                          <w:spacing w:line="275" w:lineRule="auto"/>
                          <w:textDirection w:val="btLr"/>
                        </w:pPr>
                        <w:r>
                          <w:rPr>
                            <w:rFonts w:ascii="Times New Roman" w:eastAsia="Times New Roman" w:hAnsi="Times New Roman" w:cs="Times New Roman"/>
                            <w:color w:val="000000"/>
                          </w:rPr>
                          <w:t>Cette étude porte sur comment les décisions de la BCE et de la Fed influencent les marchés boursiers français et américains. À partir de trois indices majeurs (CAC 40, S&amp;P 500, NASDAQ 100), de neuf secteurs et de quatre actions, elle montre que les rendements dépendent des taux d’intérêt et de l’incertitude. Les effets diffèrent selon les périodes et les régimes monétaires, et les estimations par MCO doivent se lire avec leurs limites.</w:t>
                        </w:r>
                      </w:p>
                      <w:p w14:paraId="78EBB106" w14:textId="77777777" w:rsidR="00004A2B" w:rsidRDefault="00004A2B">
                        <w:pPr>
                          <w:spacing w:line="275" w:lineRule="auto"/>
                          <w:textDirection w:val="btLr"/>
                        </w:pPr>
                      </w:p>
                      <w:p w14:paraId="04F33D47" w14:textId="77777777" w:rsidR="00004A2B" w:rsidRDefault="00000000">
                        <w:pPr>
                          <w:spacing w:line="275" w:lineRule="auto"/>
                          <w:jc w:val="center"/>
                          <w:textDirection w:val="btLr"/>
                        </w:pPr>
                        <w:r>
                          <w:rPr>
                            <w:rFonts w:ascii="Times New Roman" w:eastAsia="Times New Roman" w:hAnsi="Times New Roman" w:cs="Times New Roman"/>
                            <w:color w:val="000000"/>
                            <w:u w:val="single"/>
                          </w:rPr>
                          <w:t>Mots-clés :</w:t>
                        </w:r>
                        <w:r>
                          <w:rPr>
                            <w:rFonts w:ascii="Times New Roman" w:eastAsia="Times New Roman" w:hAnsi="Times New Roman" w:cs="Times New Roman"/>
                            <w:color w:val="000000"/>
                          </w:rPr>
                          <w:t xml:space="preserve"> Politique monétaire, BCE, Fed, marché actions, taux d’intérêt, MCO</w:t>
                        </w:r>
                      </w:p>
                    </w:txbxContent>
                  </v:textbox>
                </v:shape>
                <w10:wrap type="topAndBottom"/>
              </v:group>
            </w:pict>
          </mc:Fallback>
        </mc:AlternateContent>
      </w:r>
    </w:p>
    <w:p w14:paraId="14E464E3" w14:textId="77777777" w:rsidR="00004A2B" w:rsidRDefault="00000000">
      <w:pPr>
        <w:spacing w:before="240" w:after="240" w:line="240" w:lineRule="auto"/>
        <w:rPr>
          <w:rFonts w:ascii="Times New Roman" w:eastAsia="Times New Roman" w:hAnsi="Times New Roman" w:cs="Times New Roman"/>
          <w:b/>
          <w:bCs/>
          <w:color w:val="002E6D"/>
          <w:sz w:val="28"/>
          <w:szCs w:val="28"/>
          <w:highlight w:val="white"/>
        </w:rPr>
      </w:pPr>
      <w:r>
        <w:rPr>
          <w:noProof/>
        </w:rPr>
        <mc:AlternateContent>
          <mc:Choice Requires="wps">
            <w:drawing>
              <wp:anchor distT="57150" distB="57150" distL="57150" distR="57150" simplePos="0" relativeHeight="251662336" behindDoc="1" locked="0" layoutInCell="1" hidden="0" allowOverlap="1" wp14:anchorId="3938D4B5" wp14:editId="0FBBE14D">
                <wp:simplePos x="0" y="0"/>
                <wp:positionH relativeFrom="column">
                  <wp:posOffset>19051</wp:posOffset>
                </wp:positionH>
                <wp:positionV relativeFrom="paragraph">
                  <wp:posOffset>132292</wp:posOffset>
                </wp:positionV>
                <wp:extent cx="6368000" cy="18674"/>
                <wp:effectExtent l="0" t="0" r="0" b="0"/>
                <wp:wrapNone/>
                <wp:docPr id="6" name="Connecteur droit avec flèche 6"/>
                <wp:cNvGraphicFramePr/>
                <a:graphic xmlns:a="http://schemas.openxmlformats.org/drawingml/2006/main">
                  <a:graphicData uri="http://schemas.microsoft.com/office/word/2010/wordprocessingShape">
                    <wps:wsp>
                      <wps:cNvCnPr/>
                      <wps:spPr>
                        <a:xfrm>
                          <a:off x="533400" y="2743200"/>
                          <a:ext cx="6477000" cy="0"/>
                        </a:xfrm>
                        <a:prstGeom prst="straightConnector1">
                          <a:avLst/>
                        </a:prstGeom>
                        <a:noFill/>
                        <a:ln w="19050" cap="flat" cmpd="sng">
                          <a:solidFill>
                            <a:srgbClr val="002E6D"/>
                          </a:solidFill>
                          <a:prstDash val="solid"/>
                          <a:round/>
                          <a:headEnd type="none" w="med" len="med"/>
                          <a:tailEnd type="none" w="med" len="med"/>
                        </a:ln>
                      </wps:spPr>
                      <wps:bodyPr/>
                    </wps:wsp>
                  </a:graphicData>
                </a:graphic>
              </wp:anchor>
            </w:drawing>
          </mc:Choice>
          <mc:Fallback>
            <w:pict>
              <v:shape w14:anchorId="7AEAEF26" id="Connecteur droit avec flèche 6" o:spid="_x0000_s1026" type="#_x0000_t32" style="position:absolute;margin-left:1.5pt;margin-top:10.4pt;width:501.4pt;height:1.45pt;z-index:-251654144;visibility:visible;mso-wrap-style:square;mso-wrap-distance-left:4.5pt;mso-wrap-distance-top:4.5pt;mso-wrap-distance-right:4.5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" strokecolor="#002e6d" strokeweight="1.5pt"/>
            </w:pict>
          </mc:Fallback>
        </mc:AlternateContent>
      </w:r>
    </w:p>
    <w:p w14:paraId="18FF25A5" w14:textId="77777777" w:rsidR="00004A2B" w:rsidRDefault="00000000">
      <w:pPr>
        <w:spacing w:before="240" w:after="240" w:line="240" w:lineRule="auto"/>
        <w:rPr>
          <w:rFonts w:ascii="Times New Roman" w:eastAsia="Times New Roman" w:hAnsi="Times New Roman" w:cs="Times New Roman"/>
          <w:b/>
          <w:bCs/>
          <w:color w:val="002E6D"/>
          <w:sz w:val="32"/>
          <w:szCs w:val="32"/>
          <w:highlight w:val="white"/>
        </w:rPr>
      </w:pPr>
      <w:r>
        <w:rPr>
          <w:noProof/>
        </w:rPr>
        <mc:AlternateContent>
          <mc:Choice Requires="wps">
            <w:drawing>
              <wp:anchor distT="0" distB="0" distL="0" distR="0" simplePos="0" relativeHeight="251663360" behindDoc="0" locked="0" layoutInCell="1" hidden="0" allowOverlap="1" wp14:anchorId="7585249A" wp14:editId="35BF1234">
                <wp:simplePos x="0" y="0"/>
                <wp:positionH relativeFrom="column">
                  <wp:posOffset>57150</wp:posOffset>
                </wp:positionH>
                <wp:positionV relativeFrom="paragraph">
                  <wp:posOffset>2006600</wp:posOffset>
                </wp:positionV>
                <wp:extent cx="6368000" cy="18674"/>
                <wp:effectExtent l="0" t="0" r="0" b="0"/>
                <wp:wrapTopAndBottom distT="0" distB="0"/>
                <wp:docPr id="7" name="Connecteur droit avec flèche 7"/>
                <wp:cNvGraphicFramePr/>
                <a:graphic xmlns:a="http://schemas.openxmlformats.org/drawingml/2006/main">
                  <a:graphicData uri="http://schemas.microsoft.com/office/word/2010/wordprocessingShape">
                    <wps:wsp>
                      <wps:cNvCnPr/>
                      <wps:spPr>
                        <a:xfrm>
                          <a:off x="533400" y="2743200"/>
                          <a:ext cx="6477000" cy="0"/>
                        </a:xfrm>
                        <a:prstGeom prst="straightConnector1">
                          <a:avLst/>
                        </a:prstGeom>
                        <a:noFill/>
                        <a:ln w="19050" cap="flat" cmpd="sng">
                          <a:solidFill>
                            <a:srgbClr val="002E6D"/>
                          </a:solidFill>
                          <a:prstDash val="solid"/>
                          <a:round/>
                          <a:headEnd type="none" w="med" len="med"/>
                          <a:tailEnd type="none" w="med" len="med"/>
                        </a:ln>
                      </wps:spPr>
                      <wps:bodyPr/>
                    </wps:wsp>
                  </a:graphicData>
                </a:graphic>
              </wp:anchor>
            </w:drawing>
          </mc:Choice>
          <mc:Fallback>
            <w:pict>
              <v:shape w14:anchorId="7BB5FB2D" id="Connecteur droit avec flèche 7" o:spid="_x0000_s1026" type="#_x0000_t32" style="position:absolute;margin-left:4.5pt;margin-top:158pt;width:501.4pt;height:1.45pt;z-index:251663360;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" strokecolor="#002e6d" strokeweight="1.5pt">
                <w10:wrap type="topAndBottom"/>
              </v:shape>
            </w:pict>
          </mc:Fallback>
        </mc:AlternateContent>
      </w:r>
    </w:p>
    <w:p w14:paraId="0F53E1DE" w14:textId="77777777" w:rsidR="00004A2B" w:rsidRDefault="00000000">
      <w:pPr>
        <w:pStyle w:val="Titre"/>
        <w:spacing w:before="240" w:after="240" w:line="240" w:lineRule="auto"/>
        <w:ind w:left="720"/>
        <w:rPr>
          <w:rFonts w:ascii="Times New Roman" w:eastAsia="Times New Roman" w:hAnsi="Times New Roman" w:cs="Times New Roman"/>
          <w:b/>
          <w:bCs/>
          <w:color w:val="002E6D"/>
          <w:sz w:val="30"/>
          <w:szCs w:val="30"/>
          <w:highlight w:val="white"/>
        </w:rPr>
      </w:pPr>
      <w:bookmarkStart w:id="0" w:name="_ulbq1r1juvgy" w:colFirst="0" w:colLast="0"/>
      <w:bookmarkEnd w:id="0"/>
      <w:r>
        <w:rPr>
          <w:rFonts w:ascii="Times New Roman" w:eastAsia="Times New Roman" w:hAnsi="Times New Roman" w:cs="Times New Roman"/>
          <w:b/>
          <w:bCs/>
          <w:color w:val="002E6D"/>
          <w:sz w:val="30"/>
          <w:szCs w:val="30"/>
          <w:highlight w:val="white"/>
        </w:rPr>
        <w:t>I. Problématique et cadre de l’étude</w:t>
      </w:r>
    </w:p>
    <w:p w14:paraId="200CBA99" w14:textId="77777777" w:rsidR="00004A2B" w:rsidRDefault="00000000">
      <w:pPr>
        <w:spacing w:before="240" w:after="240" w:line="240" w:lineRule="auto"/>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Les décisions des banques centrales influencent les conditions financières mondiales. La Réserve fédérale américaine (Fed) et la Banque centrale européenne (BCE) sont particulièrement observées car leurs annonces modifient immédiatement le rendement des actions mais aussi la volatilité. Ce fait n’est pas nouveau mais il s’est accentué dans un contexte marqué par des chocs successifs (crise financière de 2008, crise de la dette souveraine, pandémie de COVID-19, retour brutal de l’inflation, guerre en Ukraine) qui ont modifié la manière dont les banques centrales interviennent.</w:t>
      </w:r>
    </w:p>
    <w:p w14:paraId="235F34DC" w14:textId="4ADFCDA0" w:rsidR="00004A2B" w:rsidRDefault="00000000">
      <w:pPr>
        <w:spacing w:before="240" w:after="240" w:line="240" w:lineRule="auto"/>
        <w:ind w:left="72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La Fed et la BCE n’agissent pas dans le même cadre institutionnel. La Fed fonctionne avec un double mandat. Elle doit à la fois maintenir la stabilité des prix et soutenir le plein emploi. Lorsque la Fed relève ou abaisse ses taux directeurs, les investisseurs y voient un signe sur la santé de l’économie américaine. En revanche, le mandat de la BCE est centré sur la stabilité </w:t>
      </w:r>
      <w:r>
        <w:rPr>
          <w:rFonts w:ascii="Times New Roman" w:eastAsia="Times New Roman" w:hAnsi="Times New Roman" w:cs="Times New Roman"/>
          <w:highlight w:val="white"/>
        </w:rPr>
        <w:t>des prix. Cette différence peut conduire les investisseurs à interpréter les décisions des banques pour ce qu’elles suggèrent sur l’évolution future de l’économie.</w:t>
      </w:r>
    </w:p>
    <w:p w14:paraId="167B9505" w14:textId="67169EFC" w:rsidR="00004A2B" w:rsidRDefault="00000000">
      <w:pPr>
        <w:spacing w:before="240" w:after="240" w:line="240" w:lineRule="auto"/>
        <w:ind w:left="72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L’échantillon couvre les années 2000 à 2024, ce qui permet d’intégrer trois régimes monétaires distincts : la période pré-QE, l’ère des politiques non conventionnelles et la période post-COVID. La période étudiée est suffisamment longue pour inclure des épisodes de forte volatilité financière (crise de la dette souveraine, pandémie, retour de l’inflation), qui permettent d’observer la réaction des marchés actions aux décisions monétaires.</w:t>
      </w:r>
    </w:p>
    <w:p w14:paraId="1E10A408" w14:textId="77777777" w:rsidR="00004A2B" w:rsidRDefault="00000000">
      <w:pPr>
        <w:spacing w:before="240" w:after="240" w:line="240" w:lineRule="auto"/>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La politique monétaire n’agit pas directement sur les marchés actions. Entre une décision de la banque centrale et une variation des cours boursiers, il existe toujours plusieurs mécanismes intermédiaires qui modifient soit les flux futurs des entreprises, soit la manière dont les investisseurs évaluent ces flux. La littérature identifie généralement quatre grands canaux : le taux d’actualisation, les anticipations, le risque et la liquidité, qui fonctionnent simultanément. Ces canaux expliquent pourquoi les marchés peuvent réagir fortement à une annonce.</w:t>
      </w:r>
    </w:p>
    <w:p w14:paraId="7F7177C2" w14:textId="77777777" w:rsidR="00004A2B" w:rsidRDefault="00000000">
      <w:pPr>
        <w:spacing w:before="240" w:after="240" w:line="240" w:lineRule="auto"/>
        <w:ind w:left="72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Ainsi nous pouvons nous demander : Dans quelle mesure les décisions de la BCE et de la Fed influencent-elles les rendements des marchés actions français et américains ? </w:t>
      </w:r>
    </w:p>
    <w:p w14:paraId="3F0C37CD" w14:textId="77777777" w:rsidR="00004A2B" w:rsidRDefault="00000000">
      <w:pPr>
        <w:pStyle w:val="Titre"/>
        <w:spacing w:before="240" w:after="240" w:line="240" w:lineRule="auto"/>
        <w:ind w:firstLine="720"/>
        <w:rPr>
          <w:rFonts w:ascii="Times New Roman" w:eastAsia="Times New Roman" w:hAnsi="Times New Roman" w:cs="Times New Roman"/>
          <w:b/>
          <w:bCs/>
          <w:color w:val="002E6D"/>
          <w:highlight w:val="white"/>
        </w:rPr>
      </w:pPr>
      <w:bookmarkStart w:id="1" w:name="_w06ynun303jz" w:colFirst="0" w:colLast="0"/>
      <w:bookmarkEnd w:id="1"/>
      <w:r>
        <w:rPr>
          <w:rFonts w:ascii="Times New Roman" w:eastAsia="Times New Roman" w:hAnsi="Times New Roman" w:cs="Times New Roman"/>
          <w:b/>
          <w:bCs/>
          <w:color w:val="002E6D"/>
          <w:sz w:val="30"/>
          <w:szCs w:val="30"/>
          <w:highlight w:val="white"/>
        </w:rPr>
        <w:t>II. Données utilisées</w:t>
      </w:r>
    </w:p>
    <w:tbl>
      <w:tblPr>
        <w:tblStyle w:val="a"/>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6"/>
        <w:gridCol w:w="4214"/>
      </w:tblGrid>
      <w:tr w:rsidR="00004A2B" w14:paraId="1DB05CCA" w14:textId="77777777">
        <w:trPr>
          <w:cantSplit/>
          <w:trHeight w:val="7890"/>
        </w:trPr>
        <w:tc>
          <w:tcPr>
            <w:tcW w:w="4186" w:type="dxa"/>
            <w:tcBorders>
              <w:top w:val="nil"/>
              <w:left w:val="nil"/>
              <w:bottom w:val="nil"/>
              <w:right w:val="nil"/>
            </w:tcBorders>
          </w:tcPr>
          <w:p w14:paraId="52C583B8" w14:textId="77777777" w:rsidR="00004A2B" w:rsidRDefault="00000000">
            <w:pPr>
              <w:rPr>
                <w:rFonts w:ascii="Times New Roman" w:eastAsia="Times New Roman" w:hAnsi="Times New Roman" w:cs="Times New Roman"/>
                <w:highlight w:val="white"/>
              </w:rPr>
            </w:pPr>
            <w:r>
              <w:rPr>
                <w:rFonts w:ascii="Times New Roman" w:eastAsia="Times New Roman" w:hAnsi="Times New Roman" w:cs="Times New Roman"/>
                <w:highlight w:val="white"/>
              </w:rPr>
              <w:t>L’ensemble des séries repose sur des bases statistiques publiques, des institutions financières officielles et des plateformes spécialisées dans la diffusion de données macroéconomiques et de marché (FRED, Yahoo Finance, ECB).</w:t>
            </w:r>
          </w:p>
          <w:p w14:paraId="7E5B1849" w14:textId="77777777" w:rsidR="00004A2B" w:rsidRDefault="00004A2B">
            <w:pPr>
              <w:rPr>
                <w:rFonts w:ascii="Times New Roman" w:eastAsia="Times New Roman" w:hAnsi="Times New Roman" w:cs="Times New Roman"/>
                <w:highlight w:val="white"/>
              </w:rPr>
            </w:pPr>
          </w:p>
          <w:p w14:paraId="07BF9EAF" w14:textId="77777777" w:rsidR="00004A2B" w:rsidRDefault="00000000">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La fréquence mensuelle des données a été retenue pour assurer une cohérence entre les différentes séries (297 observations, d’avril 2000 à décembre 2024). Les variables macroéconomiques (inflation, chômage) ne sont généralement publiées qu’à un rythme mensuel tandis que les taux directeurs et les taux obligataires peuvent être observés à des fréquences plus élevées.</w:t>
            </w:r>
            <w:proofErr w:type="gramStart"/>
            <w:proofErr w:type="gramEnd"/>
          </w:p>
          <w:p w14:paraId="5D376448" w14:textId="77777777" w:rsidR="00004A2B" w:rsidRDefault="00004A2B">
            <w:pPr>
              <w:rPr>
                <w:rFonts w:ascii="Times New Roman" w:eastAsia="Times New Roman" w:hAnsi="Times New Roman" w:cs="Times New Roman"/>
                <w:highlight w:val="white"/>
              </w:rPr>
            </w:pPr>
          </w:p>
          <w:p w14:paraId="310F0DA7" w14:textId="77777777" w:rsidR="00004A2B" w:rsidRDefault="00000000">
            <w:pPr>
              <w:rPr>
                <w:rFonts w:ascii="Times New Roman" w:eastAsia="Times New Roman" w:hAnsi="Times New Roman" w:cs="Times New Roman"/>
                <w:highlight w:val="white"/>
              </w:rPr>
            </w:pPr>
            <w:r>
              <w:rPr>
                <w:rFonts w:ascii="Times New Roman" w:eastAsia="Times New Roman" w:hAnsi="Times New Roman" w:cs="Times New Roman"/>
                <w:highlight w:val="white"/>
              </w:rPr>
              <w:t>Les variables expliquées correspondent aux différentes mesures de rendements financiers utilisées : le CAC 40 pour le marché français, le S&amp;P 500 et le Nasdaq 100 pour les marchés américains, ainsi que neuf secteurs du CAC 40 et quatre actions (LVMH, BNP Paribas, Microsoft, Apple).</w:t>
            </w:r>
          </w:p>
        </w:tc>
        <w:tc>
          <w:tcPr>
            <w:tcW w:w="4214" w:type="dxa"/>
            <w:tcBorders>
              <w:top w:val="nil"/>
              <w:left w:val="nil"/>
              <w:bottom w:val="nil"/>
              <w:right w:val="nil"/>
            </w:tcBorders>
          </w:tcPr>
          <w:p w14:paraId="298B7DEF" w14:textId="77777777" w:rsidR="00004A2B" w:rsidRDefault="00000000">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Les rendements des actions et des secteurs sont calculés à partir des prix ajustés (adjusted close), ce qui intègre les dividendes ; les trois indices sont des indices de prix. Chaque secteur est la moyenne des rendements de ses entreprises.</w:t>
            </w:r>
            <w:proofErr w:type="spellStart"/>
            <w:proofErr w:type="spellEnd"/>
          </w:p>
          <w:p w14:paraId="676B117D" w14:textId="77777777" w:rsidR="00004A2B" w:rsidRDefault="00004A2B">
            <w:pPr>
              <w:rPr>
                <w:rFonts w:ascii="Times New Roman" w:eastAsia="Times New Roman" w:hAnsi="Times New Roman" w:cs="Times New Roman"/>
                <w:highlight w:val="white"/>
              </w:rPr>
            </w:pPr>
          </w:p>
          <w:p w14:paraId="118AD62F" w14:textId="77777777" w:rsidR="00004A2B" w:rsidRDefault="00000000">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Les variables d’intérêt regroupent les indicateurs qui permettent de mesurer directement l’impulsion exercée par les banques centrales sur l’économie et par extension, sur les marchés actions : les taux directeurs de la BCE et de la Fed, les taux souverains à 10 ans, les </w:t>
            </w:r>
            <w:proofErr w:type="spellStart"/>
            <w:r>
              <w:rPr>
                <w:rFonts w:ascii="Times New Roman" w:eastAsia="Times New Roman" w:hAnsi="Times New Roman" w:cs="Times New Roman"/>
                <w:highlight w:val="white"/>
              </w:rPr>
              <w:t>dummies</w:t>
            </w:r>
            <w:proofErr w:type="spellEnd"/>
            <w:r>
              <w:rPr>
                <w:rFonts w:ascii="Times New Roman" w:eastAsia="Times New Roman" w:hAnsi="Times New Roman" w:cs="Times New Roman"/>
                <w:highlight w:val="white"/>
              </w:rPr>
              <w:t xml:space="preserve"> de régime (pré-2008, post-2008, post-COVID) et les </w:t>
            </w:r>
            <w:proofErr w:type="spellStart"/>
            <w:r>
              <w:rPr>
                <w:rFonts w:ascii="Times New Roman" w:eastAsia="Times New Roman" w:hAnsi="Times New Roman" w:cs="Times New Roman"/>
                <w:highlight w:val="white"/>
              </w:rPr>
              <w:t>dummies</w:t>
            </w:r>
            <w:proofErr w:type="spellEnd"/>
            <w:r>
              <w:rPr>
                <w:rFonts w:ascii="Times New Roman" w:eastAsia="Times New Roman" w:hAnsi="Times New Roman" w:cs="Times New Roman"/>
                <w:highlight w:val="white"/>
              </w:rPr>
              <w:t xml:space="preserve"> de QE (phases d’achats massifs d’actifs par les banques centrales).</w:t>
            </w:r>
          </w:p>
          <w:p w14:paraId="16478086" w14:textId="77777777" w:rsidR="00004A2B" w:rsidRDefault="00004A2B">
            <w:pPr>
              <w:rPr>
                <w:rFonts w:ascii="Times New Roman" w:eastAsia="Times New Roman" w:hAnsi="Times New Roman" w:cs="Times New Roman"/>
                <w:highlight w:val="white"/>
              </w:rPr>
            </w:pPr>
          </w:p>
          <w:p w14:paraId="501A580A" w14:textId="77777777" w:rsidR="00004A2B" w:rsidRDefault="00000000">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Enfin, plusieurs variables de contrôle ont été introduites afin de replacer la politique monétaire dans le contexte économique et financier dans lequel elle s’exerce : inflation, taux de chômage, taux de change usd/eur (dollars pour un euro), la volatilité (VIX) et le prix du pétrole. Une extension utilise les chocs à haute fréquence de Jarociński et Karadi (2020).</w:t>
            </w:r>
            <w:proofErr w:type="spellStart"/>
            <w:proofErr w:type="spellEnd"/>
            <w:proofErr w:type="spellStart"/>
            <w:proofErr w:type="spellEnd"/>
          </w:p>
        </w:tc>
      </w:tr>
    </w:tbl>
    <w:p w14:paraId="033A4F5F" w14:textId="3D59B3DA" w:rsidR="00004A2B" w:rsidRDefault="00000000">
      <w:pPr>
        <w:pStyle w:val="Titre"/>
        <w:spacing w:before="240" w:after="240" w:line="240" w:lineRule="auto"/>
        <w:ind w:firstLine="720"/>
        <w:rPr>
          <w:rFonts w:ascii="Times New Roman" w:eastAsia="Times New Roman" w:hAnsi="Times New Roman" w:cs="Times New Roman"/>
          <w:b/>
          <w:bCs/>
          <w:color w:val="002E6D"/>
          <w:highlight w:val="white"/>
        </w:rPr>
      </w:pPr>
      <w:bookmarkStart w:id="2" w:name="_4a7dr86054sv" w:colFirst="0" w:colLast="0"/>
      <w:bookmarkEnd w:id="2"/>
      <w:r>
        <w:rPr>
          <w:rFonts w:ascii="Times New Roman" w:eastAsia="Times New Roman" w:hAnsi="Times New Roman" w:cs="Times New Roman"/>
          <w:b/>
          <w:bCs/>
          <w:color w:val="002E6D"/>
          <w:sz w:val="30"/>
          <w:szCs w:val="30"/>
          <w:highlight w:val="white"/>
        </w:rPr>
        <w:t>III. Méthodologie</w:t>
      </w:r>
    </w:p>
    <w:p w14:paraId="6F03A994" w14:textId="77777777" w:rsidR="00004A2B" w:rsidRDefault="00000000">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highlight w:val="white"/>
        </w:rPr>
        <w:t xml:space="preserve">Avant d’estimer les modèles, il faut vérifier que les hypothèses statistiques sont satisfaites : stationnarité, absence d’autocorrélation, variance stable des résidus et faible corrélation entre les variables explicatives. Sans ces vérifications, les coefficients estimés pourraient être biaisés.</w:t>
      </w:r>
    </w:p>
    <w:p w14:paraId="7A8D8A33" w14:textId="77777777" w:rsidR="00004A2B" w:rsidRDefault="00000000">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 xml:space="preserve">C’est pourquoi l’analyse commence par une série de tests de stationnarité complétée par l'examen des fonctions d’autocorrélation (ACF) et d’autocorrélation partielle (PACF), qui permettent de détecter d’éventuelles dépendances temporelles persistantes. Les fonctions ACF et PACF confirment l’absence de dépendance temporelle persistante dans les rendements. Les variables macroéconomiques différenciées présentent également une dynamique compatible avec une estimation en régression linéaire.</w:t>
      </w:r>
    </w:p>
    <w:p w14:paraId="22FBCBFA" w14:textId="77777777" w:rsidR="00004A2B" w:rsidRDefault="00000000">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 xml:space="preserve">Les modèles sont ensuite estimés par la méthode des moindres carrés ordinaires (MCO), avec des erreurs standards robustes à l’hétéroscédasticité (HC3). Plusieurs tests, menés au seuil de 10 %, évaluent la validité des modèles : la normalité des résidus (Jarque-Bera), la spécification (RESET), la multicolinéarité (VIF), l’hétéroscédasticité (Breusch-Pagan), l’autocorrélation (Breusch-Godfrey), les effets ARCH et les observations influentes (distance de Cook). Ces tests ne valident pas toutes les hypothèses des MCO : leurs résultats font partie des résultats et sont présentés dans la section V.</w:t>
      </w:r>
      <w:proofErr w:type="spellStart"/>
      <w:proofErr w:type="spellEnd"/>
      <w:proofErr w:type="spellStart"/>
      <w:proofErr w:type="spellEnd"/>
      <w:proofErr w:type="spellStart"/>
      <w:proofErr w:type="spellEnd"/>
      <w:proofErr w:type="spellStart"/>
      <w:proofErr w:type="spellEnd"/>
    </w:p>
    <w:p w14:paraId="46971757" w14:textId="3F5DE1F9" w:rsidR="00D9011F" w:rsidRDefault="00000000" w:rsidP="00D9011F">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Les résultats présentés dans la note de synthèse portent sur les modèles les plus complets. La dynamique des effets est étudiée par des fenêtres roulantes de 84 mois, puis la politique monétaire est mesurée par les surprises d’annonce. L’équation générique utilisée pour les trois marchés est la suivante :</w:t>
      </w:r>
    </w:p>
    <w:p w14:paraId="0BE0B56D" w14:textId="77777777" w:rsidR="00D9011F" w:rsidRDefault="00D9011F" w:rsidP="00D9011F">
      <w:pPr>
        <w:spacing w:before="0" w:after="120" w:line="240" w:lineRule="auto"/>
        <w:rPr>
          <w:rFonts w:ascii="Times New Roman" w:eastAsia="Times New Roman" w:hAnsi="Times New Roman" w:cs="Times New Roman"/>
        </w:rPr>
        <w:jc w:val="center"/>
      </w:pPr>
      <w:r>
        <w:rPr>
          <w:noProof/>
        </w:rPr>
        <w:lastRenderedPageBreak/>
        <mc:AlternateContent>
          <mc:Choice Requires="wps">
            <w:drawing>
              <wp:inline distT="0" distB="0" distL="0" distR="0">
                <wp:extent cx="5600000" cy="1801857"/>
                <wp:effectExtent l="19050" t="19050" r="16510" b="27305"/>
                <wp:docPr id="746436973" name="Rectangle : coins arrondis 726079696"/>
                <wp:cNvGraphicFramePr/>
                <a:graphic xmlns:a="http://schemas.openxmlformats.org/drawingml/2006/main">
                  <a:graphicData uri="http://schemas.microsoft.com/office/word/2010/wordprocessingShape">
                    <wps:wsp>
                      <wps:cNvSpPr/>
                      <wps:spPr>
                        <a:xfrm>
                          <a:off x="0" y="0"/>
                          <a:ext cx="5600000" cy="1801857"/>
                        </a:xfrm>
                        <a:prstGeom prst="roundRect">
                          <a:avLst>
                            <a:gd name="adj" fmla="val 16667"/>
                          </a:avLst>
                        </a:prstGeom>
                        <a:solidFill>
                          <a:schemeClr val="tx2"/>
                        </a:solidFill>
                        <a:ln w="28575" cap="flat" cmpd="sng">
                          <a:solidFill>
                            <a:srgbClr val="002E6D"/>
                          </a:solidFill>
                          <a:prstDash val="solid"/>
                          <a:round/>
                          <a:headEnd type="none" w="sm" len="sm"/>
                          <a:tailEnd type="none" w="sm" len="sm"/>
                        </a:ln>
                      </wps:spPr>
                      <wps:txbx>
                        <w:txbxContent>
                          <w:p w14:paraId="6C81EB82" w14:textId="561ECC64" w:rsidR="00D9011F" w:rsidRDefault="00D9011F" w:rsidP="00D9011F">
                            <w:pPr>
                              <w:spacing w:line="240" w:lineRule="auto"/>
                              <w:jc w:val="center"/>
                              <w:textDirection w:val="btLr"/>
                            </w:pPr>
                            <w:r w:rsidRPr="00D9011F">
                              <w:rPr>
                                <w:noProof/>
                              </w:rPr>
                              <w:drawing>
                                <wp:inline distT="0" distB="0" distL="0" distR="0" wp14:anchorId="54F7CBA5" wp14:editId="227BF5B2">
                                  <wp:extent cx="5600000" cy="1493192"/>
                                  <wp:effectExtent l="0" t="0" r="0" b="0"/>
                                  <wp:docPr id="2036772887" name="Image 10"/>
                                  <wp:cNvGraphicFramePr>
                                    <a:graphicFrameLocks noChangeAspect="1"/>
                                  </wp:cNvGraphicFramePr>
                                  <a:graphic>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000" cy="1510547"/>
                                          </a:xfrm>
                                          <a:prstGeom prst="rect">
                                            <a:avLst/>
                                          </a:prstGeom>
                                          <a:noFill/>
                                          <a:ln>
                                            <a:noFill/>
                                          </a:ln>
                                        </pic:spPr>
                                      </pic:pic>
                                    </a:graphicData>
                                  </a:graphic>
                                </wp:inline>
                              </w:drawing>
                            </w:r>
                          </w:p>
                        </w:txbxContent>
                      </wps:txbx>
                      <wps:bodyPr spcFirstLastPara="1" wrap="square" lIns="91425" tIns="91425" rIns="91425" bIns="91425" anchor="ctr" anchorCtr="0">
                        <a:noAutofit/>
                      </wps:bodyPr>
                    </wps:wsp>
                  </a:graphicData>
                </a:graphic>
              </wp:inline>
            </w:drawing>
          </mc:Choice>
        </mc:AlternateContent>
      </w:r>
    </w:p>
    <w:p w14:paraId="5A8708C2" w14:textId="0967E135" w:rsidR="00D9011F" w:rsidRDefault="00D9011F">
      <w:pPr>
        <w:spacing w:before="240" w:after="240" w:line="240" w:lineRule="auto"/>
        <w:ind w:left="720"/>
        <w:rPr>
          <w:rFonts w:ascii="Times New Roman" w:eastAsia="Times New Roman" w:hAnsi="Times New Roman" w:cs="Times New Roman"/>
          <w:b/>
          <w:bCs/>
          <w:color w:val="002E6D"/>
          <w:sz w:val="30"/>
          <w:szCs w:val="30"/>
        </w:rPr>
      </w:pPr>
      <w:r>
        <w:rPr>
          <w:rFonts w:ascii="Times New Roman" w:eastAsia="Times New Roman" w:hAnsi="Times New Roman" w:cs="Times New Roman"/>
          <w:b/>
          <w:bCs/>
          <w:color w:val="002E6D"/>
          <w:sz w:val="30"/>
          <w:szCs w:val="30"/>
        </w:rPr>
        <w:t>IV. Résultats</w:t>
      </w:r>
    </w:p>
    <w:p w14:paraId="64B50ADC" w14:textId="340454B6" w:rsidR="00D9011F" w:rsidRDefault="00D9011F">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 xml:space="preserve">Les résultats montrent que la politique monétaire influence les marchés actions, de manière hétérogène selon les instruments, les périodes et les zones géographiques. Le taux directeur de la BCE apparaît comme un déterminant robuste.</w:t>
      </w:r>
    </w:p>
    <w:p w14:paraId="21626796" w14:textId="5E6A67E8" w:rsidR="004D677E" w:rsidRDefault="004D677E">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Dans le modèle le plus complet, une hausse de 1 point observée deux mois auparavant entraîne une baisse du rendement mensuel de 1,4 point de pourcentage pour le CAC 40, de 0,8 pour le S&amp;P 500 et de 0,9 pour le Nasdaq 100 (significatif à 10 % pour ce dernier), ce qui correspond au canal du taux d’actualisation décrit dans la littérature</w:t>
      </w:r>
      <w:r>
        <w:rPr>
          <w:rFonts w:ascii="Times New Roman" w:eastAsia="Times New Roman" w:hAnsi="Times New Roman" w:cs="Times New Roman"/>
        </w:rPr>
        <w:t>.</w:t>
      </w:r>
    </w:p>
    <w:tbl>
      <w:tblPr>
        <w:tblStyle w:val="a0"/>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6"/>
        <w:gridCol w:w="4214"/>
      </w:tblGrid>
      <w:tr w:rsidR="00004A2B" w14:paraId="60CD350F" w14:textId="77777777">
        <w:trPr>
          <w:cantSplit/>
          <w:trHeight w:val="300"/>
        </w:trPr>
        <w:tc>
          <w:tcPr>
            <w:tcW w:w="4186" w:type="dxa"/>
            <w:tcBorders>
              <w:top w:val="nil"/>
              <w:left w:val="nil"/>
              <w:bottom w:val="nil"/>
              <w:right w:val="nil"/>
            </w:tcBorders>
          </w:tcPr>
          <w:p w14:paraId="633730C6"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Le taux directeur de la Fed, pris en niveau, n’a pas d’effet négatif : il est positif pour le CAC 40 et le S&amp;P 500 et non significatif pour le Nasdaq 100. Les deux taux directeurs étant corrélés à 0,72, ils se lisent ensemble.</w:t>
            </w:r>
          </w:p>
          <w:p w14:paraId="429484E5" w14:textId="77777777" w:rsidR="004D677E" w:rsidRDefault="004D677E">
            <w:pPr>
              <w:rPr>
                <w:rFonts w:ascii="Times New Roman" w:eastAsia="Times New Roman" w:hAnsi="Times New Roman" w:cs="Times New Roman"/>
              </w:rPr>
            </w:pPr>
          </w:p>
          <w:p w14:paraId="071566F3" w14:textId="014401B3" w:rsidR="004D677E" w:rsidRPr="004D677E" w:rsidRDefault="004D677E">
            <w:pPr>
              <w:rPr>
                <w:rFonts w:ascii="Times New Roman" w:eastAsia="Times New Roman" w:hAnsi="Times New Roman" w:cs="Times New Roman"/>
                <w:sz w:val="20"/>
                <w:szCs w:val="20"/>
                <w:highlight w:val="white"/>
              </w:rPr>
            </w:pPr>
            <w:r>
              <w:rPr>
                <w:rFonts w:ascii="Times New Roman" w:eastAsia="Times New Roman" w:hAnsi="Times New Roman" w:cs="Times New Roman"/>
              </w:rPr>
              <w:t>Les taux longs sont un autre canal de transmission, qui agit en sens opposé. À contrôles égaux, une hausse des taux français fait baisser le CAC 40 (−1,3 point par écart-type de l’OAT 10 ans) et une hausse des taux américains le fait monter (+1,9 point). Les coefficients étant presque symétriques et les deux taux corrélés à 0,74, les rendements réagissent à l’écart entre les mouvements des deux taux longs. Les résultats sont du même ordre pour les indices américains</w:t>
            </w:r>
            <w:r>
              <w:rPr>
                <w:rFonts w:ascii="Times New Roman" w:eastAsia="Times New Roman" w:hAnsi="Times New Roman" w:cs="Times New Roman"/>
              </w:rPr>
              <w:t>.</w:t>
            </w:r>
          </w:p>
        </w:tc>
        <w:tc>
          <w:tcPr>
            <w:tcW w:w="4214" w:type="dxa"/>
            <w:tcBorders>
              <w:top w:val="nil"/>
              <w:left w:val="nil"/>
              <w:bottom w:val="nil"/>
              <w:right w:val="nil"/>
            </w:tcBorders>
          </w:tcPr>
          <w:p w14:paraId="0E8A0ACE" w14:textId="77777777" w:rsidR="00004A2B"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rPr>
              <w:t xml:space="preserve">La volatilité financière, mesurée par le VIX, apparaît comme le déterminant le plus stable : son coefficient est toujours négatif et très significatif. Une hausse de 1 % du VIX réduit le rendement mensuel du CAC 40, du S&amp;P 500 et du Nasdaq 100 de 0,14 à 0,17 point. Une hausse de 1 % du taux usd/eur (plus de dollars pour un euro, soit une dépréciation du dollar) est associée à une hausse du rendement mensuel de 0,23 point pour le CAC 40, 0,40 pour le S&amp;P 500 et 0,56 pour le Nasdaq 100.</w:t>
            </w:r>
            <w:proofErr w:type="spellStart"/>
            <w:proofErr w:type="spellEnd"/>
            <w:proofErr w:type="spellStart"/>
            <w:proofErr w:type="spellEnd"/>
          </w:p>
        </w:tc>
      </w:tr>
    </w:tbl>
    <w:p w14:paraId="3B797171" w14:textId="77777777" w:rsidR="00004A2B" w:rsidRDefault="00004A2B">
      <w:pPr>
        <w:spacing w:before="0" w:after="0" w:line="240" w:lineRule="auto"/>
        <w:rPr>
          <w:rFonts w:ascii="Times New Roman" w:eastAsia="Times New Roman" w:hAnsi="Times New Roman" w:cs="Times New Roman"/>
          <w:b/>
          <w:bCs/>
          <w:color w:val="002E6D"/>
          <w:sz w:val="30"/>
          <w:szCs w:val="30"/>
        </w:rPr>
      </w:pPr>
    </w:p>
    <w:tbl>
      <w:tblPr>
        <w:tblStyle w:val="a1"/>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2"/>
        <w:gridCol w:w="1788"/>
        <w:gridCol w:w="1539"/>
        <w:gridCol w:w="1994"/>
        <w:gridCol w:w="1847"/>
      </w:tblGrid>
      <w:tr w:rsidR="00004A2B" w14:paraId="0486E934" w14:textId="77777777">
        <w:trPr>
          <w:cantSplit/>
        </w:trPr>
        <w:tc>
          <w:tcPr>
            <w:tcW w:w="1231" w:type="dxa"/>
            <w:shd w:val="clear" w:color="auto" w:fill="002E6D"/>
          </w:tcPr>
          <w:p w14:paraId="3D01D298"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
                <w:bCs/>
                <w:color w:val="FFFFFF"/>
                <w:sz w:val="20"/>
                <w:szCs w:val="20"/>
                <w:shd w:val="clear" w:color="auto" w:fill="002E6D"/>
              </w:rPr>
              <w:t xml:space="preserve">Modèles </w:t>
            </w:r>
          </w:p>
        </w:tc>
        <w:tc>
          <w:tcPr>
            <w:tcW w:w="1788" w:type="dxa"/>
            <w:shd w:val="clear" w:color="auto" w:fill="002E6D"/>
          </w:tcPr>
          <w:p w14:paraId="09F8E332"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
                <w:bCs/>
                <w:color w:val="FFFFFF"/>
                <w:sz w:val="20"/>
                <w:szCs w:val="20"/>
                <w:shd w:val="clear" w:color="auto" w:fill="002E6D"/>
              </w:rPr>
              <w:t>Taux BCE (lag 2)</w:t>
            </w:r>
          </w:p>
        </w:tc>
        <w:tc>
          <w:tcPr>
            <w:tcW w:w="1539" w:type="dxa"/>
            <w:shd w:val="clear" w:color="auto" w:fill="002E6D"/>
          </w:tcPr>
          <w:p w14:paraId="2C309DB4"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
                <w:bCs/>
                <w:color w:val="FFFFFF"/>
                <w:sz w:val="20"/>
                <w:szCs w:val="20"/>
                <w:shd w:val="clear" w:color="auto" w:fill="002E6D"/>
              </w:rPr>
              <w:t>Taux Fed</w:t>
            </w:r>
          </w:p>
        </w:tc>
        <w:tc>
          <w:tcPr>
            <w:tcW w:w="1994" w:type="dxa"/>
            <w:shd w:val="clear" w:color="auto" w:fill="002E6D"/>
          </w:tcPr>
          <w:p w14:paraId="601EC021"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
                <w:bCs/>
                <w:color w:val="FFFFFF"/>
                <w:sz w:val="20"/>
                <w:szCs w:val="20"/>
                <w:shd w:val="clear" w:color="auto" w:fill="002E6D"/>
              </w:rPr>
              <w:t>OAT10Y</w:t>
            </w:r>
          </w:p>
        </w:tc>
        <w:tc>
          <w:tcPr>
            <w:tcW w:w="1847" w:type="dxa"/>
            <w:shd w:val="clear" w:color="auto" w:fill="002E6D"/>
          </w:tcPr>
          <w:p w14:paraId="16BDA59B"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
                <w:bCs/>
                <w:color w:val="FFFFFF"/>
                <w:sz w:val="20"/>
                <w:szCs w:val="20"/>
                <w:shd w:val="clear" w:color="auto" w:fill="002E6D"/>
              </w:rPr>
              <w:t>US10Y</w:t>
            </w:r>
          </w:p>
        </w:tc>
      </w:tr>
      <w:tr w:rsidR="00004A2B" w14:paraId="5EF9D93C" w14:textId="77777777">
        <w:trPr>
          <w:cantSplit/>
        </w:trPr>
        <w:tc>
          <w:tcPr>
            <w:tcW w:w="1231" w:type="dxa"/>
          </w:tcPr>
          <w:p w14:paraId="46AD24B7"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CAC 40</w:t>
            </w:r>
          </w:p>
        </w:tc>
        <w:tc>
          <w:tcPr>
            <w:tcW w:w="1788" w:type="dxa"/>
          </w:tcPr>
          <w:p w14:paraId="7B665C7D"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539" w:type="dxa"/>
          </w:tcPr>
          <w:p w14:paraId="20F729B6"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994" w:type="dxa"/>
          </w:tcPr>
          <w:p w14:paraId="45080029"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847" w:type="dxa"/>
          </w:tcPr>
          <w:p w14:paraId="5EFB04F3"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r>
      <w:tr w:rsidR="00004A2B" w14:paraId="69382771" w14:textId="77777777">
        <w:trPr>
          <w:cantSplit/>
        </w:trPr>
        <w:tc>
          <w:tcPr>
            <w:tcW w:w="1231" w:type="dxa"/>
          </w:tcPr>
          <w:p w14:paraId="320FAF69"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S&amp;P 500</w:t>
            </w:r>
          </w:p>
        </w:tc>
        <w:tc>
          <w:tcPr>
            <w:tcW w:w="1788" w:type="dxa"/>
          </w:tcPr>
          <w:p w14:paraId="1EC9161B"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539" w:type="dxa"/>
          </w:tcPr>
          <w:p w14:paraId="2361BDD0"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994" w:type="dxa"/>
          </w:tcPr>
          <w:p w14:paraId="77BB8A48"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847" w:type="dxa"/>
          </w:tcPr>
          <w:p w14:paraId="70B4F56C"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r>
      <w:tr w:rsidR="00004A2B" w14:paraId="1A86F38F" w14:textId="77777777">
        <w:trPr>
          <w:cantSplit/>
        </w:trPr>
        <w:tc>
          <w:tcPr>
            <w:tcW w:w="1231" w:type="dxa"/>
          </w:tcPr>
          <w:p w14:paraId="2A4E19F4"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Nasdaq 100</w:t>
            </w:r>
          </w:p>
        </w:tc>
        <w:tc>
          <w:tcPr>
            <w:tcW w:w="1788" w:type="dxa"/>
          </w:tcPr>
          <w:p w14:paraId="114681CE"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à 10 % (-)</w:t>
            </w:r>
          </w:p>
        </w:tc>
        <w:tc>
          <w:tcPr>
            <w:tcW w:w="1539" w:type="dxa"/>
          </w:tcPr>
          <w:p w14:paraId="58EE7F58"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non</w:t>
            </w:r>
            <w:proofErr w:type="gramEnd"/>
            <w:r>
              <w:rPr>
                <w:rFonts w:ascii="Times New Roman" w:eastAsia="Times New Roman" w:hAnsi="Times New Roman" w:cs="Times New Roman"/>
                <w:sz w:val="20"/>
                <w:szCs w:val="20"/>
                <w:highlight w:val="white"/>
              </w:rPr>
              <w:t xml:space="preserve"> significatif</w:t>
            </w:r>
          </w:p>
        </w:tc>
        <w:tc>
          <w:tcPr>
            <w:tcW w:w="1994" w:type="dxa"/>
          </w:tcPr>
          <w:p w14:paraId="5098460F"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c>
          <w:tcPr>
            <w:tcW w:w="1847" w:type="dxa"/>
          </w:tcPr>
          <w:p w14:paraId="7CC48749"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coef</w:t>
            </w:r>
            <w:proofErr w:type="gramEnd"/>
            <w:r>
              <w:rPr>
                <w:rFonts w:ascii="Times New Roman" w:eastAsia="Times New Roman" w:hAnsi="Times New Roman" w:cs="Times New Roman"/>
                <w:sz w:val="20"/>
                <w:szCs w:val="20"/>
                <w:highlight w:val="white"/>
              </w:rPr>
              <w:t xml:space="preserve">. </w:t>
            </w:r>
            <w:proofErr w:type="gramStart"/>
            <w:r>
              <w:rPr>
                <w:rFonts w:ascii="Times New Roman" w:eastAsia="Times New Roman" w:hAnsi="Times New Roman" w:cs="Times New Roman"/>
                <w:sz w:val="20"/>
                <w:szCs w:val="20"/>
                <w:highlight w:val="white"/>
              </w:rPr>
              <w:t>significatif</w:t>
            </w:r>
            <w:proofErr w:type="gramEnd"/>
            <w:r>
              <w:rPr>
                <w:rFonts w:ascii="Times New Roman" w:eastAsia="Times New Roman" w:hAnsi="Times New Roman" w:cs="Times New Roman"/>
                <w:sz w:val="20"/>
                <w:szCs w:val="20"/>
                <w:highlight w:val="white"/>
              </w:rPr>
              <w:t xml:space="preserve"> (+)</w:t>
            </w:r>
          </w:p>
        </w:tc>
      </w:tr>
    </w:tbl>
    <w:p w14:paraId="3144AF5E" w14:textId="77777777" w:rsidR="00004A2B" w:rsidRDefault="00000000">
      <w:pPr>
        <w:spacing w:before="200" w:after="240" w:line="240" w:lineRule="auto"/>
        <w:ind w:left="720"/>
        <w:rPr>
          <w:rFonts w:ascii="Times New Roman" w:eastAsia="Times New Roman" w:hAnsi="Times New Roman" w:cs="Times New Roman"/>
        </w:rPr>
      </w:pPr>
      <w:r>
        <w:rPr>
          <w:rFonts w:ascii="Times New Roman" w:eastAsia="Times New Roman" w:hAnsi="Times New Roman" w:cs="Times New Roman"/>
        </w:rPr>
        <w:t xml:space="preserve">Les fenêtres roulantes de 84 mois montrent que ces effets ne sont pas constants. Le coefficient du taux BCE sur le CAC 40 est négatif et significatif dans 95 % des fenêtres se terminant entre 2007 et 2015 (−1,2 point en médiane), puis dans 5 % seulement de celles qui se terminent entre janvier 2016 et novembre 2020. Entre décembre 2020 et août 2022, il devient très négatif (de −3 à −46) et souvent significatif, mais le taux ne prend alors que deux à quatre valeurs dans la fenêtre, entre 0 et 0,25 % : ces estimations ne mesurent pas une sensibilité plus forte. Quand le taux recommence à varier, le coefficient est positif jusqu’en mars 2023, puis proche de zéro.</w:t>
      </w:r>
    </w:p>
    <w:p w14:paraId="3144AF5E" w14:textId="77777777" w:rsidR="00004A2B" w:rsidRDefault="00000000">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 xml:space="preserve">Aux États-Unis, le taux de la Fed n’est significatif que dans 28 % (S&amp;P 500) et 19 % (Nasdaq 100) des fenêtres jusqu’en 2015, et dans 10 % au plus ensuite. Ses valeurs très négatives, dans les fenêtres se terminant entre fin 2014 et début 2017, ont la même origine : le taux est resté à 0,125 % de 2009 à 2015. Le taux des Treasuries à 10 ans est positif et significatif dans la plupart des fenêtres jusqu’en 2021 (74 à 99 % pour le S&amp;P 500) avant de changer de signe en 2022-2024, et le coefficient de l’OAT est instable (positif jusqu’en 2015, négatif ensuite). Seul le VIX est significatif et négatif dans 100 % des fenêtres.</w:t>
      </w:r>
    </w:p>
    <w:tbl>
      <w:tblPr>
        <w:tblStyle w:val="a2"/>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4"/>
        <w:gridCol w:w="4166"/>
      </w:tblGrid>
      <w:tr w:rsidR="00004A2B" w14:paraId="03A021FE" w14:textId="77777777">
        <w:trPr>
          <w:cantSplit/>
          <w:trHeight w:val="300"/>
        </w:trPr>
        <w:tc>
          <w:tcPr>
            <w:tcW w:w="4234" w:type="dxa"/>
            <w:tcBorders>
              <w:top w:val="nil"/>
              <w:left w:val="nil"/>
              <w:bottom w:val="nil"/>
              <w:right w:val="nil"/>
            </w:tcBorders>
          </w:tcPr>
          <w:p w14:paraId="4B9BA25D"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La transmission n’est pas uniforme selon les secteurs et les actions. Le taux de la BCE est significativement négatif pour 11 des 13 séries (hors télécoms et Microsoft), avec l’effet le plus fort pour l’automobile (−2,2 points par point de taux) puis le luxe, la technologie, LVMH et Apple (−1,5 à −1,7).</w:t>
            </w:r>
          </w:p>
        </w:tc>
        <w:tc>
          <w:tcPr>
            <w:tcW w:w="4166" w:type="dxa"/>
            <w:tcBorders>
              <w:top w:val="nil"/>
              <w:left w:val="nil"/>
              <w:bottom w:val="nil"/>
              <w:right w:val="nil"/>
            </w:tcBorders>
          </w:tcPr>
          <w:p w14:paraId="107C178C"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 xml:space="preserve">La finance, l’automobile, la technologie, les télécoms et BNP Paribas ont les coefficients les plus élevés sur les deux taux longs : +0,12 à +0,17 pour les taux américains et −0,11 à −0,15 pour l’OAT. Le taux directeur de la Fed n’a un coefficient négatif pour aucune série française : l’influence américaine passe par les taux longs, le dollar et le VIX.</w:t>
            </w:r>
          </w:p>
        </w:tc>
      </w:tr>
    </w:tbl>
    <w:p w14:paraId="3144AF5E" w14:textId="77777777" w:rsidR="00004A2B" w:rsidRDefault="00000000">
      <w:pPr>
        <w:keepNext/>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Un niveau de taux étant connu à l’avance par les marchés, la politique monétaire est aussi mesurée par les surprises d’annonce : les chocs de Jarociński et Karadi (2020) séparent un choc de politique monétaire d’un choc d’information. Le tableau ci-dessous donne la variation du rendement mensuel (en %) pour un choc d’un écart-type (* : 10 %, ** : 5 %, *** : 1 %).</w:t>
      </w:r>
    </w:p>
    <w:tbl>
      <w:tblPr>
        <w:tblStyle w:val="a1"/>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2"/>
        <w:gridCol w:w="1788"/>
        <w:gridCol w:w="1539"/>
        <w:gridCol w:w="1994"/>
        <w:gridCol w:w="1847"/>
      </w:tblGrid>
      <w:tr w:rsidR="00004A2B" w14:paraId="7117B74F" w14:textId="77777777">
        <w:trPr>
          <w:cantSplit/>
        </w:trPr>
        <w:tc>
          <w:tcPr>
            <w:tcW w:w="1231" w:type="dxa"/>
            <w:shd w:val="clear" w:color="auto" w:fill="002E6D"/>
          </w:tcPr>
          <w:p w14:paraId="3308756D"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Indices</w:t>
            </w:r>
          </w:p>
        </w:tc>
        <w:tc>
          <w:tcPr>
            <w:tcW w:w="1788" w:type="dxa"/>
            <w:shd w:val="clear" w:color="auto" w:fill="002E6D"/>
          </w:tcPr>
          <w:p w14:paraId="668DACFD"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Politique BCE</w:t>
            </w:r>
          </w:p>
        </w:tc>
        <w:tc>
          <w:tcPr>
            <w:tcW w:w="1539" w:type="dxa"/>
            <w:shd w:val="clear" w:color="auto" w:fill="002E6D"/>
          </w:tcPr>
          <w:p w14:paraId="6432504E"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Information BCE</w:t>
            </w:r>
          </w:p>
        </w:tc>
        <w:tc>
          <w:tcPr>
            <w:tcW w:w="1994" w:type="dxa"/>
            <w:shd w:val="clear" w:color="auto" w:fill="002E6D"/>
          </w:tcPr>
          <w:p w14:paraId="793FBDD6"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Politique Fed</w:t>
            </w:r>
          </w:p>
        </w:tc>
        <w:tc>
          <w:tcPr>
            <w:tcW w:w="1847" w:type="dxa"/>
            <w:shd w:val="clear" w:color="auto" w:fill="002E6D"/>
          </w:tcPr>
          <w:p w14:paraId="1D62C476"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Information Fed</w:t>
            </w:r>
          </w:p>
        </w:tc>
      </w:tr>
      <w:tr w:rsidR="00004A2B" w14:paraId="1278FD53" w14:textId="77777777">
        <w:trPr>
          <w:cantSplit/>
        </w:trPr>
        <w:tc>
          <w:tcPr>
            <w:tcW w:w="1231" w:type="dxa"/>
          </w:tcPr>
          <w:p w14:paraId="35E046BD"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CAC 40</w:t>
            </w:r>
          </w:p>
        </w:tc>
        <w:tc>
          <w:tcPr>
            <w:tcW w:w="1788" w:type="dxa"/>
          </w:tcPr>
          <w:p w14:paraId="78069002"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−0,69 **</w:t>
            </w:r>
          </w:p>
        </w:tc>
        <w:tc>
          <w:tcPr>
            <w:tcW w:w="1539" w:type="dxa"/>
          </w:tcPr>
          <w:p w14:paraId="2ECF8447"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+1,09 ***</w:t>
            </w:r>
          </w:p>
        </w:tc>
        <w:tc>
          <w:tcPr>
            <w:tcW w:w="1994" w:type="dxa"/>
          </w:tcPr>
          <w:p w14:paraId="6A1272D4"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−0,53 **</w:t>
            </w:r>
          </w:p>
        </w:tc>
        <w:tc>
          <w:tcPr>
            <w:tcW w:w="1847" w:type="dxa"/>
          </w:tcPr>
          <w:p w14:paraId="60CC2374"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+0,60 **</w:t>
            </w:r>
          </w:p>
        </w:tc>
      </w:tr>
      <w:tr w:rsidR="00004A2B" w14:paraId="58A55675" w14:textId="77777777">
        <w:trPr>
          <w:cantSplit/>
        </w:trPr>
        <w:tc>
          <w:tcPr>
            <w:tcW w:w="1231" w:type="dxa"/>
          </w:tcPr>
          <w:p w14:paraId="469B0702"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S&amp;P 500</w:t>
            </w:r>
          </w:p>
        </w:tc>
        <w:tc>
          <w:tcPr>
            <w:tcW w:w="1788" w:type="dxa"/>
          </w:tcPr>
          <w:p w14:paraId="4468B7DC"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−0,40</w:t>
            </w:r>
          </w:p>
        </w:tc>
        <w:tc>
          <w:tcPr>
            <w:tcW w:w="1539" w:type="dxa"/>
          </w:tcPr>
          <w:p w14:paraId="00624E7D"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+0,61 **</w:t>
            </w:r>
          </w:p>
        </w:tc>
        <w:tc>
          <w:tcPr>
            <w:tcW w:w="1994" w:type="dxa"/>
          </w:tcPr>
          <w:p w14:paraId="5669C389"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−0,83 ***</w:t>
            </w:r>
          </w:p>
        </w:tc>
        <w:tc>
          <w:tcPr>
            <w:tcW w:w="1847" w:type="dxa"/>
          </w:tcPr>
          <w:p w14:paraId="327F4C78"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+0,50 *</w:t>
            </w:r>
          </w:p>
        </w:tc>
      </w:tr>
      <w:tr w:rsidR="00004A2B" w14:paraId="0DA2147C" w14:textId="77777777">
        <w:trPr>
          <w:cantSplit/>
        </w:trPr>
        <w:tc>
          <w:tcPr>
            <w:tcW w:w="1231" w:type="dxa"/>
          </w:tcPr>
          <w:p w14:paraId="59F2AF8D"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Nasdaq 100</w:t>
            </w:r>
          </w:p>
        </w:tc>
        <w:tc>
          <w:tcPr>
            <w:tcW w:w="1788" w:type="dxa"/>
          </w:tcPr>
          <w:p w14:paraId="4E45A763"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−0,22</w:t>
            </w:r>
          </w:p>
        </w:tc>
        <w:tc>
          <w:tcPr>
            <w:tcW w:w="1539" w:type="dxa"/>
          </w:tcPr>
          <w:p w14:paraId="613361C5"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+0,76 **</w:t>
            </w:r>
          </w:p>
        </w:tc>
        <w:tc>
          <w:tcPr>
            <w:tcW w:w="1994" w:type="dxa"/>
          </w:tcPr>
          <w:p w14:paraId="0B3AB67C"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−1,53 ***</w:t>
            </w:r>
          </w:p>
        </w:tc>
        <w:tc>
          <w:tcPr>
            <w:tcW w:w="1847" w:type="dxa"/>
          </w:tcPr>
          <w:p w14:paraId="66776672"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+0,55</w:t>
            </w:r>
          </w:p>
        </w:tc>
      </w:tr>
    </w:tbl>
    <w:p w14:paraId="1DF89032" w14:textId="77777777" w:rsidR="00004A2B" w:rsidRDefault="00000000">
      <w:pPr>
        <w:spacing w:before="0" w:after="0" w:line="240" w:lineRule="auto"/>
        <w:rPr>
          <w:rFonts w:ascii="Times New Roman" w:eastAsia="Times New Roman" w:hAnsi="Times New Roman" w:cs="Times New Roman"/>
          <w:b/>
          <w:bCs/>
          <w:color w:val="002E6D"/>
          <w:sz w:val="30"/>
          <w:szCs w:val="30"/>
        </w:rPr>
      </w:pPr>
    </w:p>
    <w:tbl>
      <w:tblPr>
        <w:tblStyle w:val="a2"/>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4"/>
        <w:gridCol w:w="4166"/>
      </w:tblGrid>
      <w:tr w:rsidR="00004A2B" w14:paraId="1CFD77D6" w14:textId="77777777">
        <w:trPr>
          <w:cantSplit/>
          <w:trHeight w:val="300"/>
        </w:trPr>
        <w:tc>
          <w:tcPr>
            <w:tcW w:w="4234" w:type="dxa"/>
            <w:tcBorders>
              <w:top w:val="nil"/>
              <w:left w:val="nil"/>
              <w:bottom w:val="nil"/>
              <w:right w:val="nil"/>
            </w:tcBorders>
          </w:tcPr>
          <w:p w14:paraId="63C09C03"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 xml:space="preserve">Chaque marché réagit d’abord à sa propre banque centrale : </w:t>
            </w:r>
            <w:proofErr w:type="gramStart"/>
            <w:r>
              <w:rPr>
                <w:rFonts w:ascii="Times New Roman" w:eastAsia="Times New Roman" w:hAnsi="Times New Roman" w:cs="Times New Roman"/>
              </w:rPr>
              <w:t>un resserrement surprise</w:t>
            </w:r>
            <w:proofErr w:type="gramEnd"/>
            <w:r>
              <w:rPr>
                <w:rFonts w:ascii="Times New Roman" w:eastAsia="Times New Roman" w:hAnsi="Times New Roman" w:cs="Times New Roman"/>
              </w:rPr>
              <w:t xml:space="preserve"> de la BCE fait baisser le CAC 40 de 0,7 % ; </w:t>
            </w:r>
            <w:proofErr w:type="gramStart"/>
            <w:r>
              <w:rPr>
                <w:rFonts w:ascii="Times New Roman" w:eastAsia="Times New Roman" w:hAnsi="Times New Roman" w:cs="Times New Roman"/>
              </w:rPr>
              <w:t>un resserrement surprise</w:t>
            </w:r>
            <w:proofErr w:type="gramEnd"/>
            <w:r>
              <w:rPr>
                <w:rFonts w:ascii="Times New Roman" w:eastAsia="Times New Roman" w:hAnsi="Times New Roman" w:cs="Times New Roman"/>
              </w:rPr>
              <w:t xml:space="preserve"> de la Fed fait baisser le S&amp;P 500 de 0,8 % et le Nasdaq 100 de 1,5 %.</w:t>
            </w:r>
          </w:p>
          <w:p w14:paraId="6F2E14BA" w14:textId="77777777" w:rsidR="00004A2B" w:rsidRDefault="00004A2B">
            <w:pPr>
              <w:rPr>
                <w:rFonts w:ascii="Times New Roman" w:eastAsia="Times New Roman" w:hAnsi="Times New Roman" w:cs="Times New Roman"/>
              </w:rPr>
            </w:pPr>
          </w:p>
          <w:p w14:paraId="55DE0427"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La transmission est asymétrique. Le choc de la Fed pèse aussi sur le CAC 40 (−0,5 %), alors que celui de la BCE n’a pas d’effet significatif sur les indices américains, ce qui est cohérent avec le rôle central du dollar dans la finance mondiale. Le Nasdaq 100, dominé par les valeurs de croissance, réagit près de deux fois plus que le S&amp;P 500.</w:t>
            </w:r>
          </w:p>
        </w:tc>
        <w:tc>
          <w:tcPr>
            <w:tcW w:w="4166" w:type="dxa"/>
            <w:tcBorders>
              <w:top w:val="nil"/>
              <w:left w:val="nil"/>
              <w:bottom w:val="nil"/>
              <w:right w:val="nil"/>
            </w:tcBorders>
          </w:tcPr>
          <w:p w14:paraId="41522B41"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Les chocs d’information font monter les actions (+0,5 % à +1,1 %) : une banque centrale qui relève ses taux parce que la conjoncture est meilleure rassure les marchés. Les deux effets se compensent en partie, ce qui brouille l’effet du niveau des taux.</w:t>
            </w:r>
          </w:p>
          <w:p w14:paraId="08522359" w14:textId="77777777" w:rsidR="00004A2B" w:rsidRDefault="00004A2B">
            <w:pPr>
              <w:rPr>
                <w:rFonts w:ascii="Times New Roman" w:eastAsia="Times New Roman" w:hAnsi="Times New Roman" w:cs="Times New Roman"/>
              </w:rPr>
            </w:pPr>
          </w:p>
          <w:p w14:paraId="5222D2CA"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 xml:space="preserve">Par secteur, un choc de la BCE fait baisser l’énergie (−1,2 %), l’automobile (−1,3 %), l’industrie (−0,9 %), la santé (−0,7 %), la consommation (−0,5 %) et BNP Paribas (−1,6 %) ; un choc de la Fed fait baisser la technologie (−1,7 %), le luxe (−1,0 %), LVMH (−1,2 %), les télécoms (−0,8 %), Microsoft (−1,4 %) et Apple (−1,6 %).</w:t>
            </w:r>
          </w:p>
        </w:tc>
      </w:tr>
    </w:tbl>
    <w:p w14:paraId="42EB0829" w14:textId="77777777" w:rsidR="00004A2B" w:rsidRDefault="00000000">
      <w:pPr>
        <w:pStyle w:val="Titre"/>
        <w:spacing w:before="240" w:after="240" w:line="240" w:lineRule="auto"/>
        <w:ind w:firstLine="720"/>
        <w:rPr>
          <w:rFonts w:ascii="Times New Roman" w:eastAsia="Times New Roman" w:hAnsi="Times New Roman" w:cs="Times New Roman"/>
          <w:b/>
          <w:bCs/>
          <w:color w:val="002E6D"/>
          <w:sz w:val="30"/>
          <w:szCs w:val="30"/>
        </w:rPr>
      </w:pPr>
      <w:r>
        <w:rPr>
          <w:rFonts w:ascii="Times New Roman" w:eastAsia="Times New Roman" w:hAnsi="Times New Roman" w:cs="Times New Roman"/>
          <w:bCs/>
          <w:color w:val="002E6D"/>
          <w:sz w:val="30"/>
          <w:szCs w:val="30"/>
        </w:rPr>
        <w:t>V. Limites des MCO</w:t>
      </w:r>
    </w:p>
    <w:p w14:paraId="4DA4E84E" w14:textId="77777777" w:rsidR="00004A2B" w:rsidRDefault="00000000">
      <w:pPr>
        <w:keepNext/>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 xml:space="preserve">Ces limites font partie des résultats. Tests de validité du modèle complet, au seuil de 10 % (p-value entre parenthèses ; chaque colonne donne l’hypothèse testée) :</w:t>
      </w:r>
    </w:p>
    <w:tbl>
      <w:tblPr>
        <w:tblStyle w:val="a1"/>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2"/>
        <w:gridCol w:w="1788"/>
        <w:gridCol w:w="1539"/>
        <w:gridCol w:w="1994"/>
        <w:gridCol w:w="1847"/>
      </w:tblGrid>
      <w:tr w:rsidR="00004A2B" w14:paraId="04C613DA" w14:textId="77777777">
        <w:trPr>
          <w:cantSplit/>
        </w:trPr>
        <w:tc>
          <w:tcPr>
            <w:tcW w:w="1231" w:type="dxa"/>
            <w:shd w:val="clear" w:color="auto" w:fill="002E6D"/>
          </w:tcPr>
          <w:p w14:paraId="4A70E941"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Indices</w:t>
            </w:r>
          </w:p>
        </w:tc>
        <w:tc>
          <w:tcPr>
            <w:tcW w:w="1788" w:type="dxa"/>
            <w:shd w:val="clear" w:color="auto" w:fill="002E6D"/>
          </w:tcPr>
          <w:p w14:paraId="68B1322F"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Normalité (</w:t>
            </w:r>
            <w:proofErr w:type="spellStart"/>
            <w:r>
              <w:rPr>
                <w:rFonts w:ascii="Times New Roman" w:eastAsia="Times New Roman" w:hAnsi="Times New Roman" w:cs="Times New Roman"/>
                <w:bCs/>
                <w:color w:val="FFFFFF"/>
                <w:sz w:val="20"/>
                <w:szCs w:val="20"/>
                <w:shd w:val="clear" w:color="auto" w:fill="002E6D"/>
              </w:rPr>
              <w:t>Jarque</w:t>
            </w:r>
            <w:proofErr w:type="spellEnd"/>
            <w:r>
              <w:rPr>
                <w:rFonts w:ascii="Times New Roman" w:eastAsia="Times New Roman" w:hAnsi="Times New Roman" w:cs="Times New Roman"/>
                <w:bCs/>
                <w:color w:val="FFFFFF"/>
                <w:sz w:val="20"/>
                <w:szCs w:val="20"/>
                <w:shd w:val="clear" w:color="auto" w:fill="002E6D"/>
              </w:rPr>
              <w:t>-Bera)</w:t>
            </w:r>
          </w:p>
        </w:tc>
        <w:tc>
          <w:tcPr>
            <w:tcW w:w="1539" w:type="dxa"/>
            <w:shd w:val="clear" w:color="auto" w:fill="002E6D"/>
          </w:tcPr>
          <w:p w14:paraId="70DF3187"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Forme fonctionnelle (RESET)</w:t>
            </w:r>
          </w:p>
        </w:tc>
        <w:tc>
          <w:tcPr>
            <w:tcW w:w="1994" w:type="dxa"/>
            <w:shd w:val="clear" w:color="auto" w:fill="002E6D"/>
          </w:tcPr>
          <w:p w14:paraId="3D7BFCEE"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Homoscédasticité (</w:t>
            </w:r>
            <w:proofErr w:type="spellStart"/>
            <w:r>
              <w:rPr>
                <w:rFonts w:ascii="Times New Roman" w:eastAsia="Times New Roman" w:hAnsi="Times New Roman" w:cs="Times New Roman"/>
                <w:bCs/>
                <w:color w:val="FFFFFF"/>
                <w:sz w:val="20"/>
                <w:szCs w:val="20"/>
                <w:shd w:val="clear" w:color="auto" w:fill="002E6D"/>
              </w:rPr>
              <w:t>Breusch</w:t>
            </w:r>
            <w:proofErr w:type="spellEnd"/>
            <w:r>
              <w:rPr>
                <w:rFonts w:ascii="Times New Roman" w:eastAsia="Times New Roman" w:hAnsi="Times New Roman" w:cs="Times New Roman"/>
                <w:bCs/>
                <w:color w:val="FFFFFF"/>
                <w:sz w:val="20"/>
                <w:szCs w:val="20"/>
                <w:shd w:val="clear" w:color="auto" w:fill="002E6D"/>
              </w:rPr>
              <w:t>-Pagan)</w:t>
            </w:r>
          </w:p>
        </w:tc>
        <w:tc>
          <w:tcPr>
            <w:tcW w:w="1847" w:type="dxa"/>
            <w:shd w:val="clear" w:color="auto" w:fill="002E6D"/>
          </w:tcPr>
          <w:p w14:paraId="58A31E16" w14:textId="77777777" w:rsidR="00004A2B" w:rsidRDefault="00000000">
            <w:pPr>
              <w:keepNext/>
              <w:widowControl w:val="0"/>
              <w:spacing w:line="240" w:lineRule="auto"/>
              <w:jc w:val="center"/>
              <w:rPr>
                <w:rFonts w:ascii="Times New Roman" w:eastAsia="Times New Roman" w:hAnsi="Times New Roman" w:cs="Times New Roman"/>
                <w:b/>
                <w:bCs/>
                <w:color w:val="FFFFFF"/>
                <w:sz w:val="20"/>
                <w:szCs w:val="20"/>
                <w:shd w:val="clear" w:color="auto" w:fill="002E6D"/>
              </w:rPr>
            </w:pPr>
            <w:r>
              <w:rPr>
                <w:rFonts w:ascii="Times New Roman" w:eastAsia="Times New Roman" w:hAnsi="Times New Roman" w:cs="Times New Roman"/>
                <w:bCs/>
                <w:color w:val="FFFFFF"/>
                <w:sz w:val="20"/>
                <w:szCs w:val="20"/>
                <w:shd w:val="clear" w:color="auto" w:fill="002E6D"/>
              </w:rPr>
              <w:t xml:space="preserve">Absence d’autocorrélation ; absence d’effets ARCH</w:t>
            </w:r>
          </w:p>
        </w:tc>
      </w:tr>
      <w:tr w:rsidR="00004A2B" w14:paraId="601C9092" w14:textId="77777777">
        <w:trPr>
          <w:cantSplit/>
        </w:trPr>
        <w:tc>
          <w:tcPr>
            <w:tcW w:w="1231" w:type="dxa"/>
          </w:tcPr>
          <w:p w14:paraId="3DF44E37"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CAC 40</w:t>
            </w:r>
          </w:p>
        </w:tc>
        <w:tc>
          <w:tcPr>
            <w:tcW w:w="1788" w:type="dxa"/>
          </w:tcPr>
          <w:p w14:paraId="60695A69"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 xml:space="preserve">rejetée (0,09)</w:t>
            </w:r>
            <w:proofErr w:type="gramEnd"/>
          </w:p>
        </w:tc>
        <w:tc>
          <w:tcPr>
            <w:tcW w:w="1539" w:type="dxa"/>
          </w:tcPr>
          <w:p w14:paraId="44BE6475"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 xml:space="preserve">non rejetée (0,18)</w:t>
            </w:r>
            <w:proofErr w:type="gramEnd"/>
          </w:p>
        </w:tc>
        <w:tc>
          <w:tcPr>
            <w:tcW w:w="1994" w:type="dxa"/>
          </w:tcPr>
          <w:p w14:paraId="5720AF13"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 xml:space="preserve">rejetée (0,055)</w:t>
            </w:r>
            <w:proofErr w:type="gramEnd"/>
          </w:p>
        </w:tc>
        <w:tc>
          <w:tcPr>
            <w:tcW w:w="1847" w:type="dxa"/>
          </w:tcPr>
          <w:p w14:paraId="1BE94C30"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 xml:space="preserve">rejetée (0,02) ; rejetée (0,001)</w:t>
            </w:r>
            <w:proofErr w:type="gramEnd"/>
          </w:p>
        </w:tc>
      </w:tr>
      <w:tr w:rsidR="00004A2B" w14:paraId="24DC9F75" w14:textId="77777777">
        <w:trPr>
          <w:cantSplit/>
        </w:trPr>
        <w:tc>
          <w:tcPr>
            <w:tcW w:w="1231" w:type="dxa"/>
          </w:tcPr>
          <w:p w14:paraId="42E327A7"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S&amp;P 500</w:t>
            </w:r>
          </w:p>
        </w:tc>
        <w:tc>
          <w:tcPr>
            <w:tcW w:w="1788" w:type="dxa"/>
          </w:tcPr>
          <w:p w14:paraId="1F74F9C0"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rejetée</w:t>
            </w:r>
            <w:proofErr w:type="gramEnd"/>
            <w:r>
              <w:rPr>
                <w:rFonts w:ascii="Times New Roman" w:eastAsia="Times New Roman" w:hAnsi="Times New Roman" w:cs="Times New Roman"/>
                <w:sz w:val="20"/>
                <w:szCs w:val="20"/>
                <w:highlight w:val="white"/>
              </w:rPr>
              <w:t xml:space="preserve"> (&lt; 0,001)</w:t>
            </w:r>
          </w:p>
        </w:tc>
        <w:tc>
          <w:tcPr>
            <w:tcW w:w="1539" w:type="dxa"/>
          </w:tcPr>
          <w:p w14:paraId="659E0A8C"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 xml:space="preserve">non rejetée (0,62)</w:t>
            </w:r>
            <w:proofErr w:type="gramEnd"/>
          </w:p>
        </w:tc>
        <w:tc>
          <w:tcPr>
            <w:tcW w:w="1994" w:type="dxa"/>
          </w:tcPr>
          <w:p w14:paraId="7B0787DB"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rejetée</w:t>
            </w:r>
            <w:proofErr w:type="gramEnd"/>
            <w:r>
              <w:rPr>
                <w:rFonts w:ascii="Times New Roman" w:eastAsia="Times New Roman" w:hAnsi="Times New Roman" w:cs="Times New Roman"/>
                <w:sz w:val="20"/>
                <w:szCs w:val="20"/>
                <w:highlight w:val="white"/>
              </w:rPr>
              <w:t xml:space="preserve"> (&lt; 0,001)</w:t>
            </w:r>
          </w:p>
        </w:tc>
        <w:tc>
          <w:tcPr>
            <w:tcW w:w="1847" w:type="dxa"/>
          </w:tcPr>
          <w:p w14:paraId="6AF3C515" w14:textId="77777777" w:rsidR="00004A2B" w:rsidRDefault="00000000">
            <w:pPr>
              <w:keepNext/>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non rejetée (0,11) ; rejetée (&lt; 0,001)</w:t>
            </w:r>
          </w:p>
        </w:tc>
      </w:tr>
      <w:tr w:rsidR="00004A2B" w14:paraId="19B305C4" w14:textId="77777777">
        <w:trPr>
          <w:cantSplit/>
        </w:trPr>
        <w:tc>
          <w:tcPr>
            <w:tcW w:w="1231" w:type="dxa"/>
          </w:tcPr>
          <w:p w14:paraId="3EDE037A"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Nasdaq 100</w:t>
            </w:r>
          </w:p>
        </w:tc>
        <w:tc>
          <w:tcPr>
            <w:tcW w:w="1788" w:type="dxa"/>
          </w:tcPr>
          <w:p w14:paraId="66382D18"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rejetée</w:t>
            </w:r>
            <w:proofErr w:type="gramEnd"/>
            <w:r>
              <w:rPr>
                <w:rFonts w:ascii="Times New Roman" w:eastAsia="Times New Roman" w:hAnsi="Times New Roman" w:cs="Times New Roman"/>
                <w:sz w:val="20"/>
                <w:szCs w:val="20"/>
                <w:highlight w:val="white"/>
              </w:rPr>
              <w:t xml:space="preserve"> (&lt; 0,001)</w:t>
            </w:r>
          </w:p>
        </w:tc>
        <w:tc>
          <w:tcPr>
            <w:tcW w:w="1539" w:type="dxa"/>
          </w:tcPr>
          <w:p w14:paraId="1426E064"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 xml:space="preserve">rejetée (0,036)</w:t>
            </w:r>
            <w:proofErr w:type="gramEnd"/>
          </w:p>
        </w:tc>
        <w:tc>
          <w:tcPr>
            <w:tcW w:w="1994" w:type="dxa"/>
          </w:tcPr>
          <w:p w14:paraId="327B1AAB" w14:textId="77777777" w:rsidR="00004A2B" w:rsidRDefault="00000000">
            <w:pPr>
              <w:widowControl w:val="0"/>
              <w:spacing w:line="240" w:lineRule="auto"/>
              <w:rPr>
                <w:rFonts w:ascii="Times New Roman" w:eastAsia="Times New Roman" w:hAnsi="Times New Roman" w:cs="Times New Roman"/>
                <w:sz w:val="20"/>
                <w:szCs w:val="20"/>
                <w:highlight w:val="white"/>
              </w:rPr>
            </w:pPr>
            <w:proofErr w:type="gramStart"/>
            <w:r>
              <w:rPr>
                <w:rFonts w:ascii="Times New Roman" w:eastAsia="Times New Roman" w:hAnsi="Times New Roman" w:cs="Times New Roman"/>
                <w:sz w:val="20"/>
                <w:szCs w:val="20"/>
                <w:highlight w:val="white"/>
              </w:rPr>
              <w:t>rejetée</w:t>
            </w:r>
            <w:proofErr w:type="gramEnd"/>
            <w:r>
              <w:rPr>
                <w:rFonts w:ascii="Times New Roman" w:eastAsia="Times New Roman" w:hAnsi="Times New Roman" w:cs="Times New Roman"/>
                <w:sz w:val="20"/>
                <w:szCs w:val="20"/>
                <w:highlight w:val="white"/>
              </w:rPr>
              <w:t xml:space="preserve"> (&lt; 0,001)</w:t>
            </w:r>
          </w:p>
        </w:tc>
        <w:tc>
          <w:tcPr>
            <w:tcW w:w="1847" w:type="dxa"/>
          </w:tcPr>
          <w:p w14:paraId="37BAF0C2" w14:textId="77777777" w:rsidR="00004A2B"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non rejetée (0,32) ; rejetée (&lt; 0,001)</w:t>
            </w:r>
          </w:p>
        </w:tc>
      </w:tr>
    </w:tbl>
    <w:p w14:paraId="03F0E807" w14:textId="77777777" w:rsidR="00004A2B" w:rsidRDefault="00000000">
      <w:pPr>
        <w:spacing w:before="0" w:after="0" w:line="240" w:lineRule="auto"/>
        <w:rPr>
          <w:rFonts w:ascii="Times New Roman" w:eastAsia="Times New Roman" w:hAnsi="Times New Roman" w:cs="Times New Roman"/>
          <w:b/>
          <w:bCs/>
          <w:color w:val="002E6D"/>
          <w:sz w:val="30"/>
          <w:szCs w:val="30"/>
        </w:rPr>
      </w:pPr>
    </w:p>
    <w:tbl>
      <w:tblPr>
        <w:tblStyle w:val="a2"/>
        <w:tblW w:w="8400" w:type="dxa"/>
        <w:tblInd w:w="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34"/>
        <w:gridCol w:w="4166"/>
      </w:tblGrid>
      <w:tr w:rsidR="00004A2B" w14:paraId="3982BA38" w14:textId="77777777">
        <w:trPr>
          <w:cantSplit/>
          <w:trHeight w:val="300"/>
        </w:trPr>
        <w:tc>
          <w:tcPr>
            <w:tcW w:w="4234" w:type="dxa"/>
            <w:tcBorders>
              <w:top w:val="nil"/>
              <w:left w:val="nil"/>
              <w:bottom w:val="nil"/>
              <w:right w:val="nil"/>
            </w:tcBorders>
          </w:tcPr>
          <w:p w14:paraId="4C021462"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 xml:space="preserve">Au seuil de 10 %, les résidus ne sont normaux pour aucun des trois indices (queues épaisses), leur variance n’est pas constante, des effets ARCH (regroupement de la volatilité) apparaissent partout, une autocorrélation subsiste pour le CAC 40 et la forme fonctionnelle est rejetée pour le Nasdaq 100. La </w:t>
            </w:r>
            <w:proofErr w:type="spellStart"/>
            <w:r>
              <w:rPr>
                <w:rFonts w:ascii="Times New Roman" w:eastAsia="Times New Roman" w:hAnsi="Times New Roman" w:cs="Times New Roman"/>
              </w:rPr>
              <w:t>multicolinéarité</w:t>
            </w:r>
            <w:proofErr w:type="spellEnd"/>
            <w:r>
              <w:rPr>
                <w:rFonts w:ascii="Times New Roman" w:eastAsia="Times New Roman" w:hAnsi="Times New Roman" w:cs="Times New Roman"/>
              </w:rPr>
              <w:t xml:space="preserve"> est faible (VIF maximal de 4,2) et aucune observation n’est influente (distance de Cook maximale de 0,15).</w:t>
            </w:r>
          </w:p>
          <w:p w14:paraId="06D4C427" w14:textId="77777777" w:rsidR="00004A2B" w:rsidRDefault="00004A2B">
            <w:pPr>
              <w:rPr>
                <w:rFonts w:ascii="Times New Roman" w:eastAsia="Times New Roman" w:hAnsi="Times New Roman" w:cs="Times New Roman"/>
              </w:rPr>
            </w:pPr>
          </w:p>
          <w:p w14:paraId="2B75C9C3"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Les variables laissées en niveau, très persistantes, posent aussi problème : le test ADF rejette la racine unitaire mais le test KPSS rejette la stationnarité (à 10 %) pour les taux de la BCE et de la Fed et pour le taux de chômage américain. Le résultat ne dépend pas du retard choisi : sans retard, avec un retard et avec deux, le coefficient du taux de la BCE vaut -1,47, -1,42 et -1,37 point pour le CAC 40.</w:t>
            </w:r>
            <w:proofErr w:type="gramStart"/>
            <w:proofErr w:type="gramEnd"/>
          </w:p>
        </w:tc>
        <w:tc>
          <w:tcPr>
            <w:tcW w:w="4166" w:type="dxa"/>
            <w:tcBorders>
              <w:top w:val="nil"/>
              <w:left w:val="nil"/>
              <w:bottom w:val="nil"/>
              <w:right w:val="nil"/>
            </w:tcBorders>
          </w:tcPr>
          <w:p w14:paraId="60C9FD27"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 xml:space="preserve">Conséquences. L’hétéroscédasticité, l’autocorrélation et la non-normalité laissent les estimateurs MCO convergents, mais les écarts-types classiques ne sont plus fiables : les résultats sont donc présentés avec des erreurs robustes (HC3). Le résultat principal résiste : le taux de la BCE reste significatif à 5 % pour le CAC 40 et le S&amp;P 500 avec des erreurs HC3 ou HAC, et autour de 5 % pour le Nasdaq 100 (p = 0,05 en HC3, 0,03 en HAC). Pour le Nasdaq 100, le rejet du test RESET indique que la forme linéaire est une approximation.</w:t>
            </w:r>
          </w:p>
          <w:p w14:paraId="4001ADAA" w14:textId="77777777" w:rsidR="00004A2B" w:rsidRDefault="00004A2B">
            <w:pPr>
              <w:rPr>
                <w:rFonts w:ascii="Times New Roman" w:eastAsia="Times New Roman" w:hAnsi="Times New Roman" w:cs="Times New Roman"/>
              </w:rPr>
            </w:pPr>
          </w:p>
          <w:p w14:paraId="1B702D33" w14:textId="77777777" w:rsidR="00004A2B" w:rsidRDefault="00000000">
            <w:pPr>
              <w:rPr>
                <w:rFonts w:ascii="Times New Roman" w:eastAsia="Times New Roman" w:hAnsi="Times New Roman" w:cs="Times New Roman"/>
              </w:rPr>
            </w:pPr>
            <w:r>
              <w:rPr>
                <w:rFonts w:ascii="Times New Roman" w:eastAsia="Times New Roman" w:hAnsi="Times New Roman" w:cs="Times New Roman"/>
              </w:rPr>
              <w:t>Interprétation. Les MCO mesurent des corrélations conditionnelles, pas des effets causaux : le taux directeur réagit lui-même à la conjoncture et aux marchés, et le VIX ou la variation des taux longs, observés le même mois, réagissent aux mêmes nouvelles. Les coefficients moyens sur 25 ans masquent des régimes différents, et les données mensuelles diluent la réaction à l’annonce.</w:t>
            </w:r>
          </w:p>
        </w:tc>
      </w:tr>
    </w:tbl>
    <w:p w14:paraId="672ED520" w14:textId="77777777" w:rsidR="00004A2B" w:rsidRDefault="00004A2B">
      <w:pPr>
        <w:spacing w:before="0" w:after="0" w:line="240" w:lineRule="auto"/>
        <w:rPr>
          <w:rFonts w:ascii="Times New Roman" w:eastAsia="Times New Roman" w:hAnsi="Times New Roman" w:cs="Times New Roman"/>
          <w:b/>
          <w:bCs/>
          <w:color w:val="002E6D"/>
          <w:sz w:val="30"/>
          <w:szCs w:val="30"/>
        </w:rPr>
      </w:pPr>
    </w:p>
    <w:p w14:paraId="0AB32437" w14:textId="77777777" w:rsidR="00004A2B" w:rsidRDefault="00000000">
      <w:pPr>
        <w:pStyle w:val="Titre"/>
        <w:spacing w:before="240" w:after="240" w:line="240" w:lineRule="auto"/>
        <w:ind w:firstLine="720"/>
        <w:rPr>
          <w:rFonts w:ascii="Times New Roman" w:eastAsia="Times New Roman" w:hAnsi="Times New Roman" w:cs="Times New Roman"/>
          <w:b/>
          <w:bCs/>
          <w:color w:val="002E6D"/>
          <w:sz w:val="30"/>
          <w:szCs w:val="30"/>
        </w:rPr>
      </w:pPr>
      <w:bookmarkStart w:id="5" w:name="_plw0put0oobz" w:colFirst="0" w:colLast="0"/>
      <w:bookmarkEnd w:id="5"/>
      <w:r>
        <w:rPr>
          <w:rFonts w:ascii="Times New Roman" w:eastAsia="Times New Roman" w:hAnsi="Times New Roman" w:cs="Times New Roman"/>
          <w:bCs/>
          <w:color w:val="002E6D"/>
          <w:sz w:val="30"/>
          <w:szCs w:val="30"/>
        </w:rPr>
        <w:t>VI. Conclusion</w:t>
      </w:r>
    </w:p>
    <w:p w14:paraId="15810190" w14:textId="77777777" w:rsidR="00004A2B" w:rsidRDefault="00000000">
      <w:pP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highlight w:val="white"/>
        </w:rPr>
        <w:t>L’analyse montre que la politique monétaire influence les marchés actions français et américains, mais selon des mécanismes et une intensité qui varient selon les instruments, les périodes et les secteurs. Le taux directeur de la BCE pèse sur les trois indices et sur la plupart des secteurs, les taux longs agissent en sens opposé en Europe et aux États-Unis, et le VIX est le déterminant le plus stable. L’effet des taux directeurs n’est pas constant dans le temps. Les surprises d’annonce montrent que chaque marché réagit d’abord à sa propre banque centrale et que la Fed se transmet à l’Europe mais pas l’inverse. Ces résultats reposent sur des MCO dont plusieurs hypothèses sont rejetées et qui ne permettent pas d’établir de causalité : ils se lisent comme des corrélations conditionnelles robustes.</w:t>
      </w:r>
    </w:p>
    <w:p w14:paraId="1125B1E7" w14:textId="77777777" w:rsidR="00004A2B" w:rsidRDefault="00000000">
      <w:pPr>
        <w:spacing w:before="240" w:after="240" w:line="240" w:lineRule="auto"/>
        <w:ind w:left="720"/>
        <w:rPr>
          <w:rFonts w:ascii="Times New Roman" w:eastAsia="Times New Roman" w:hAnsi="Times New Roman" w:cs="Times New Roman"/>
          <w:b/>
          <w:bCs/>
          <w:color w:val="002E6D"/>
          <w:sz w:val="30"/>
          <w:szCs w:val="30"/>
        </w:rPr>
      </w:pPr>
      <w:r>
        <w:rPr>
          <w:rFonts w:ascii="Times New Roman" w:eastAsia="Times New Roman" w:hAnsi="Times New Roman" w:cs="Times New Roman"/>
          <w:bCs/>
          <w:color w:val="002E6D"/>
          <w:sz w:val="30"/>
          <w:szCs w:val="30"/>
        </w:rPr>
        <w:t>VII. Bibliographie</w:t>
      </w:r>
    </w:p>
    <w:p w14:paraId="6E26B46C" w14:textId="77777777" w:rsidR="00004A2B" w:rsidRPr="00D9011F" w:rsidRDefault="00000000">
      <w:pPr>
        <w:spacing w:before="240" w:after="240" w:line="240" w:lineRule="auto"/>
        <w:ind w:left="720"/>
        <w:rPr>
          <w:rFonts w:ascii="Roboto" w:eastAsia="Roboto" w:hAnsi="Roboto" w:cs="Roboto"/>
          <w:b/>
          <w:bCs/>
          <w:sz w:val="42"/>
          <w:szCs w:val="42"/>
          <w:highlight w:val="white"/>
          <w:lang w:val="en-US"/>
        </w:rPr>
      </w:pPr>
      <w:r>
        <w:rPr>
          <w:rFonts w:ascii="Times New Roman" w:eastAsia="Times New Roman" w:hAnsi="Times New Roman" w:cs="Times New Roman"/>
          <w:sz w:val="24"/>
          <w:szCs w:val="24"/>
        </w:rPr>
        <w:t xml:space="preserve">Altavilla C., </w:t>
      </w:r>
      <w:proofErr w:type="spellStart"/>
      <w:r>
        <w:rPr>
          <w:rFonts w:ascii="Times New Roman" w:eastAsia="Times New Roman" w:hAnsi="Times New Roman" w:cs="Times New Roman"/>
          <w:sz w:val="24"/>
          <w:szCs w:val="24"/>
        </w:rPr>
        <w:t>Brugnolini</w:t>
      </w:r>
      <w:proofErr w:type="spellEnd"/>
      <w:r>
        <w:rPr>
          <w:rFonts w:ascii="Times New Roman" w:eastAsia="Times New Roman" w:hAnsi="Times New Roman" w:cs="Times New Roman"/>
          <w:sz w:val="24"/>
          <w:szCs w:val="24"/>
        </w:rPr>
        <w:t xml:space="preserve"> L., </w:t>
      </w:r>
      <w:proofErr w:type="spellStart"/>
      <w:r>
        <w:rPr>
          <w:rFonts w:ascii="Times New Roman" w:eastAsia="Times New Roman" w:hAnsi="Times New Roman" w:cs="Times New Roman"/>
          <w:sz w:val="24"/>
          <w:szCs w:val="24"/>
        </w:rPr>
        <w:t>Gürkaynak</w:t>
      </w:r>
      <w:proofErr w:type="spellEnd"/>
      <w:r>
        <w:rPr>
          <w:rFonts w:ascii="Times New Roman" w:eastAsia="Times New Roman" w:hAnsi="Times New Roman" w:cs="Times New Roman"/>
          <w:sz w:val="24"/>
          <w:szCs w:val="24"/>
        </w:rPr>
        <w:t xml:space="preserve"> R., Motto R. et Ragusa G. (2019). </w:t>
      </w:r>
      <w:r w:rsidRPr="00D9011F">
        <w:rPr>
          <w:rFonts w:ascii="Times New Roman" w:eastAsia="Times New Roman" w:hAnsi="Times New Roman" w:cs="Times New Roman"/>
          <w:sz w:val="24"/>
          <w:szCs w:val="24"/>
          <w:lang w:val="en-US"/>
        </w:rPr>
        <w:t xml:space="preserve">Measuring euro area monetary policy. </w:t>
      </w:r>
      <w:r w:rsidRPr="00D9011F">
        <w:rPr>
          <w:rFonts w:ascii="Times New Roman" w:eastAsia="Times New Roman" w:hAnsi="Times New Roman" w:cs="Times New Roman"/>
          <w:i/>
          <w:sz w:val="24"/>
          <w:szCs w:val="24"/>
          <w:lang w:val="en-US"/>
        </w:rPr>
        <w:t>Journal of Monetary Economics,</w:t>
      </w:r>
      <w:r w:rsidRPr="00D9011F">
        <w:rPr>
          <w:rFonts w:ascii="Times New Roman" w:eastAsia="Times New Roman" w:hAnsi="Times New Roman" w:cs="Times New Roman"/>
          <w:sz w:val="24"/>
          <w:szCs w:val="24"/>
          <w:lang w:val="en-US"/>
        </w:rPr>
        <w:t xml:space="preserve"> vol. 108, pp. 162-179.</w:t>
      </w:r>
    </w:p>
    <w:p w14:paraId="5DE47457" w14:textId="77777777" w:rsidR="00004A2B" w:rsidRPr="00D9011F" w:rsidRDefault="00000000">
      <w:pPr>
        <w:spacing w:before="240" w:after="240" w:line="240" w:lineRule="auto"/>
        <w:ind w:left="720"/>
        <w:rPr>
          <w:rFonts w:ascii="Roboto" w:eastAsia="Roboto" w:hAnsi="Roboto" w:cs="Roboto"/>
          <w:b/>
          <w:bCs/>
          <w:sz w:val="42"/>
          <w:szCs w:val="42"/>
          <w:highlight w:val="white"/>
          <w:lang w:val="en-US"/>
        </w:rPr>
      </w:pPr>
      <w:r>
        <w:rPr>
          <w:rFonts w:ascii="Times New Roman" w:eastAsia="Times New Roman" w:hAnsi="Times New Roman" w:cs="Times New Roman"/>
          <w:sz w:val="24"/>
          <w:szCs w:val="24"/>
        </w:rPr>
        <w:t xml:space="preserve">Bernanke B. S. et Kuttner K. N. (2005). </w:t>
      </w:r>
      <w:r w:rsidRPr="00D9011F">
        <w:rPr>
          <w:rFonts w:ascii="Times New Roman" w:eastAsia="Times New Roman" w:hAnsi="Times New Roman" w:cs="Times New Roman"/>
          <w:sz w:val="24"/>
          <w:szCs w:val="24"/>
          <w:lang w:val="en-US"/>
        </w:rPr>
        <w:t xml:space="preserve">What Explains the Stock Market’s Reaction to Federal Reserve </w:t>
      </w:r>
      <w:proofErr w:type="gramStart"/>
      <w:r w:rsidRPr="00D9011F">
        <w:rPr>
          <w:rFonts w:ascii="Times New Roman" w:eastAsia="Times New Roman" w:hAnsi="Times New Roman" w:cs="Times New Roman"/>
          <w:sz w:val="24"/>
          <w:szCs w:val="24"/>
          <w:lang w:val="en-US"/>
        </w:rPr>
        <w:t>Policy ?</w:t>
      </w:r>
      <w:proofErr w:type="gramEnd"/>
      <w:r w:rsidRPr="00D9011F">
        <w:rPr>
          <w:rFonts w:ascii="Times New Roman" w:eastAsia="Times New Roman" w:hAnsi="Times New Roman" w:cs="Times New Roman"/>
          <w:sz w:val="24"/>
          <w:szCs w:val="24"/>
          <w:lang w:val="en-US"/>
        </w:rPr>
        <w:t xml:space="preserve"> </w:t>
      </w:r>
      <w:r w:rsidRPr="00D9011F">
        <w:rPr>
          <w:rFonts w:ascii="Times New Roman" w:eastAsia="Times New Roman" w:hAnsi="Times New Roman" w:cs="Times New Roman"/>
          <w:i/>
          <w:sz w:val="24"/>
          <w:szCs w:val="24"/>
          <w:lang w:val="en-US"/>
        </w:rPr>
        <w:t>The Journal of Finance,</w:t>
      </w:r>
      <w:r w:rsidRPr="00D9011F">
        <w:rPr>
          <w:rFonts w:ascii="Times New Roman" w:eastAsia="Times New Roman" w:hAnsi="Times New Roman" w:cs="Times New Roman"/>
          <w:sz w:val="24"/>
          <w:szCs w:val="24"/>
          <w:lang w:val="en-US"/>
        </w:rPr>
        <w:t xml:space="preserve"> vol. 60, n°3, pp. 1221-1257.</w:t>
      </w:r>
    </w:p>
    <w:p w14:paraId="20501708" w14:textId="77777777" w:rsidR="00004A2B" w:rsidRDefault="00000000">
      <w:pPr>
        <w:spacing w:before="240" w:after="240" w:line="240" w:lineRule="auto"/>
        <w:ind w:left="720"/>
        <w:rPr>
          <w:rFonts w:ascii="Roboto" w:eastAsia="Roboto" w:hAnsi="Roboto" w:cs="Roboto"/>
          <w:b/>
          <w:bCs/>
          <w:sz w:val="42"/>
          <w:szCs w:val="42"/>
          <w:highlight w:val="white"/>
        </w:rPr>
      </w:pPr>
      <w:proofErr w:type="spellStart"/>
      <w:r w:rsidRPr="00D9011F">
        <w:rPr>
          <w:rFonts w:ascii="Times New Roman" w:eastAsia="Times New Roman" w:hAnsi="Times New Roman" w:cs="Times New Roman"/>
          <w:sz w:val="24"/>
          <w:szCs w:val="24"/>
          <w:lang w:val="en-US"/>
        </w:rPr>
        <w:t>Jarociński</w:t>
      </w:r>
      <w:proofErr w:type="spellEnd"/>
      <w:r w:rsidRPr="00D9011F">
        <w:rPr>
          <w:rFonts w:ascii="Times New Roman" w:eastAsia="Times New Roman" w:hAnsi="Times New Roman" w:cs="Times New Roman"/>
          <w:sz w:val="24"/>
          <w:szCs w:val="24"/>
          <w:lang w:val="en-US"/>
        </w:rPr>
        <w:t xml:space="preserve"> M. et Karadi P. (2020). Deconstructing monetary policy surprises: the role of information shocks. </w:t>
      </w:r>
      <w:r>
        <w:rPr>
          <w:rFonts w:ascii="Times New Roman" w:eastAsia="Times New Roman" w:hAnsi="Times New Roman" w:cs="Times New Roman"/>
          <w:i/>
          <w:sz w:val="24"/>
          <w:szCs w:val="24"/>
        </w:rPr>
        <w:t xml:space="preserve">American </w:t>
      </w:r>
      <w:proofErr w:type="spellStart"/>
      <w:r>
        <w:rPr>
          <w:rFonts w:ascii="Times New Roman" w:eastAsia="Times New Roman" w:hAnsi="Times New Roman" w:cs="Times New Roman"/>
          <w:i/>
          <w:sz w:val="24"/>
          <w:szCs w:val="24"/>
        </w:rPr>
        <w:t>Economic</w:t>
      </w:r>
      <w:proofErr w:type="spellEnd"/>
      <w:r>
        <w:rPr>
          <w:rFonts w:ascii="Times New Roman" w:eastAsia="Times New Roman" w:hAnsi="Times New Roman" w:cs="Times New Roman"/>
          <w:i/>
          <w:sz w:val="24"/>
          <w:szCs w:val="24"/>
        </w:rPr>
        <w:t xml:space="preserve"> </w:t>
      </w:r>
      <w:proofErr w:type="gramStart"/>
      <w:r>
        <w:rPr>
          <w:rFonts w:ascii="Times New Roman" w:eastAsia="Times New Roman" w:hAnsi="Times New Roman" w:cs="Times New Roman"/>
          <w:i/>
          <w:sz w:val="24"/>
          <w:szCs w:val="24"/>
        </w:rPr>
        <w:t>Journal:</w:t>
      </w:r>
      <w:proofErr w:type="gramEnd"/>
      <w:r>
        <w:rPr>
          <w:rFonts w:ascii="Times New Roman" w:eastAsia="Times New Roman" w:hAnsi="Times New Roman" w:cs="Times New Roman"/>
          <w:i/>
          <w:sz w:val="24"/>
          <w:szCs w:val="24"/>
        </w:rPr>
        <w:t xml:space="preserve"> </w:t>
      </w:r>
      <w:proofErr w:type="spellStart"/>
      <w:r>
        <w:rPr>
          <w:rFonts w:ascii="Times New Roman" w:eastAsia="Times New Roman" w:hAnsi="Times New Roman" w:cs="Times New Roman"/>
          <w:i/>
          <w:sz w:val="24"/>
          <w:szCs w:val="24"/>
        </w:rPr>
        <w:t>Macroeconomics</w:t>
      </w:r>
      <w:proofErr w:type="spell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vol. 12, n°2, pp. 1-43.</w:t>
      </w:r>
    </w:p>
    <w:sectPr w:rsidR="00004A2B">
      <w:footerReference w:type="default" r:id="rId9"/>
      <w:headerReference w:type="default" r:id="rId12"/>
      <w:pgSz w:w="11909" w:h="16834"/>
      <w:pgMar w:top="1417" w:right="1417" w:bottom="141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FA182" w14:textId="77777777" w:rsidR="00F37C16" w:rsidRDefault="00F37C16">
      <w:pPr>
        <w:spacing w:line="240" w:lineRule="auto"/>
      </w:pPr>
      <w:r>
        <w:separator/>
      </w:r>
    </w:p>
  </w:endnote>
  <w:endnote w:type="continuationSeparator" w:id="0">
    <w:p w14:paraId="23859C6A" w14:textId="77777777" w:rsidR="00F37C16" w:rsidRDefault="00F37C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Bold r:id="rId1" w:fontKey="{633B104F-B0AE-4680-8E70-4745A0450083}"/>
  </w:font>
  <w:font w:name="Calibri">
    <w:panose1 w:val="020F0502020204030204"/>
    <w:charset w:val="00"/>
    <w:family w:val="swiss"/>
    <w:pitch w:val="variable"/>
    <w:sig w:usb0="E4002EFF" w:usb1="C200247B" w:usb2="00000009" w:usb3="00000000" w:csb0="000001FF" w:csb1="00000000"/>
    <w:embedRegular r:id="rId2" w:fontKey="{3DF606BD-76F0-42E3-B61A-8DB2E1713454}"/>
  </w:font>
  <w:font w:name="Cambria">
    <w:panose1 w:val="02040503050406030204"/>
    <w:charset w:val="00"/>
    <w:family w:val="roman"/>
    <w:pitch w:val="variable"/>
    <w:sig w:usb0="E00006FF" w:usb1="420024FF" w:usb2="02000000" w:usb3="00000000" w:csb0="0000019F" w:csb1="00000000"/>
    <w:embedRegular r:id="rId3" w:fontKey="{AB505BAA-3604-446A-89FF-2C56E85966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267A" w14:textId="77777777" w:rsidR="00004A2B" w:rsidRDefault="00000000">
    <w:pPr>
      <w:jc w:val="right"/>
    </w:pPr>
    <w:r>
      <w:fldChar w:fldCharType="begin"/>
    </w:r>
    <w:r>
      <w:instrText>PAGE</w:instrText>
    </w:r>
    <w:r>
      <w:fldChar w:fldCharType="separate"/>
    </w:r>
    <w:r w:rsidR="00D9011F">
      <w:rPr>
        <w:noProof/>
      </w:rPr>
      <w:t>1</w:t>
    </w:r>
    <w:r>
      <w:fldChar w:fldCharType="end"/>
    </w:r>
    <w:r>
      <w:rPr>
        <w:noProof/>
      </w:rPr>
      <mc:AlternateContent>
        <mc:Choice Requires="wps">
          <w:drawing>
            <wp:anchor distT="114300" distB="114300" distL="114300" distR="114300" simplePos="0" relativeHeight="251658240" behindDoc="1" locked="0" layoutInCell="1" hidden="0" allowOverlap="1" wp14:anchorId="2015D1EC" wp14:editId="0022FDFD">
              <wp:simplePos x="0" y="0"/>
              <wp:positionH relativeFrom="column">
                <wp:posOffset>-523874</wp:posOffset>
              </wp:positionH>
              <wp:positionV relativeFrom="paragraph">
                <wp:posOffset>17928979</wp:posOffset>
              </wp:positionV>
              <wp:extent cx="542925" cy="8782050"/>
              <wp:effectExtent l="0" t="0" r="0" b="0"/>
              <wp:wrapNone/>
              <wp:docPr id="1" name="Rectangle 1"/>
              <wp:cNvGraphicFramePr/>
              <a:graphic xmlns:a="http://schemas.openxmlformats.org/drawingml/2006/main">
                <a:graphicData uri="http://schemas.microsoft.com/office/word/2010/wordprocessingShape">
                  <wps:wsp>
                    <wps:cNvSpPr/>
                    <wps:spPr>
                      <a:xfrm>
                        <a:off x="1822975" y="64375"/>
                        <a:ext cx="521400" cy="5031000"/>
                      </a:xfrm>
                      <a:prstGeom prst="rect">
                        <a:avLst/>
                      </a:prstGeom>
                      <a:solidFill>
                        <a:srgbClr val="002E6D"/>
                      </a:solidFill>
                      <a:ln w="9525" cap="flat" cmpd="sng">
                        <a:solidFill>
                          <a:srgbClr val="000000"/>
                        </a:solidFill>
                        <a:prstDash val="solid"/>
                        <a:round/>
                        <a:headEnd type="none" w="sm" len="sm"/>
                        <a:tailEnd type="none" w="sm" len="sm"/>
                      </a:ln>
                    </wps:spPr>
                    <wps:txbx>
                      <w:txbxContent>
                        <w:p w14:paraId="7D8955A9" w14:textId="77777777" w:rsidR="00004A2B" w:rsidRDefault="00004A2B">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2015D1EC" id="Rectangle 1" o:spid="_x0000_s1037" style="position:absolute;left:0;text-align:left;margin-left:-41.25pt;margin-top:1411.75pt;width:42.75pt;height:691.5pt;z-index:-251658240;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" fillcolor="#002e6d">
              <v:stroke startarrowwidth="narrow" startarrowlength="short" endarrowwidth="narrow" endarrowlength="short" joinstyle="round"/>
              <v:textbox inset="2.53958mm,2.53958mm,2.53958mm,2.53958mm">
                <w:txbxContent>
                  <w:p w14:paraId="7D8955A9" w14:textId="77777777" w:rsidR="00004A2B" w:rsidRDefault="00004A2B">
                    <w:pPr>
                      <w:spacing w:line="240" w:lineRule="auto"/>
                      <w:jc w:val="center"/>
                      <w:textDirection w:val="btL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A62DC" w14:textId="77777777" w:rsidR="00F37C16" w:rsidRDefault="00F37C16">
      <w:pPr>
        <w:spacing w:line="240" w:lineRule="auto"/>
      </w:pPr>
      <w:r>
        <w:separator/>
      </w:r>
    </w:p>
  </w:footnote>
  <w:footnote w:type="continuationSeparator" w:id="0">
    <w:p w14:paraId="706DF1C9" w14:textId="77777777" w:rsidR="00F37C16" w:rsidRDefault="00F37C16">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noProof/>
      </w:rPr>
      <w:lastRenderedPageBreak/>
      <mc:AlternateContent>
        <mc:Choice Requires="wps">
          <w:drawing>
            <wp:anchor distT="114300" distB="114300" distL="114300" distR="114300" simplePos="0" relativeHeight="251667456" behindDoc="1" locked="0" layoutInCell="1" hidden="0" allowOverlap="1" wp14:anchorId="48E0A1E9" wp14:editId="5D137B4C">
              <wp:simplePos x="0" y="0"/>
              <wp:positionH relativeFrom="page">
                <wp:posOffset>453372</wp:posOffset>
              </wp:positionH>
              <wp:positionV relativeFrom="page">
                <wp:posOffset>560000</wp:posOffset>
              </wp:positionV>
              <wp:extent cx="542925" cy="8782050"/>
              <wp:effectExtent l="0" t="0" r="0" b="0"/>
              <wp:wrapNone/>
              <wp:docPr id="1347099310" name="Rectangle 1347099310"/>
              <wp:cNvGraphicFramePr/>
              <a:graphic xmlns:a="http://schemas.openxmlformats.org/drawingml/2006/main">
                <a:graphicData uri="http://schemas.microsoft.com/office/word/2010/wordprocessingShape">
                  <wps:wsp>
                    <wps:cNvSpPr/>
                    <wps:spPr>
                      <a:xfrm>
                        <a:off x="1822975" y="64375"/>
                        <a:ext cx="521400" cy="5031000"/>
                      </a:xfrm>
                      <a:prstGeom prst="rect">
                        <a:avLst/>
                      </a:prstGeom>
                      <a:solidFill>
                        <a:srgbClr val="002E6D"/>
                      </a:solidFill>
                      <a:ln w="9525" cap="flat" cmpd="sng">
                        <a:solidFill>
                          <a:srgbClr val="000000"/>
                        </a:solidFill>
                        <a:prstDash val="solid"/>
                        <a:round/>
                        <a:headEnd type="none" w="sm" len="sm"/>
                        <a:tailEnd type="none" w="sm" len="sm"/>
                      </a:ln>
                    </wps:spPr>
                    <wps:txbx>
                      <w:txbxContent>
                        <w:p w14:paraId="7FFFE80B" w14:textId="77777777" w:rsidR="00004A2B" w:rsidRDefault="00004A2B">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A2B"/>
    <w:rsid w:val="00004A2B"/>
    <w:rsid w:val="004D677E"/>
    <w:rsid w:val="00CB73F8"/>
    <w:rsid w:val="00D9011F"/>
    <w:rsid w:val="00F37C1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98583"/>
  <w15:docId w15:val="{790F75DF-54BA-4930-B7A8-F27A68856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styleId="Grilledutableau">
    <w:name w:val="Table Grid"/>
    <w:basedOn w:val="TableauNormal"/>
    <w:uiPriority w:val="39"/>
    <w:rsid w:val="00D9011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7</Pages>
  <Words>2334</Words>
  <Characters>12837</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Sarah Biza</cp:lastModifiedBy>
  <cp:revision>2</cp:revision>
  <dcterms:created xsi:type="dcterms:W3CDTF">2026-10-06T10:19:00Z</dcterms:created>
  <dcterms:modified xsi:type="dcterms:W3CDTF">2026-10-06T10:33:00Z</dcterms:modified>
  <dc:creator>Sarah Biza</dc:creator>
  <dc:title>Note de synthèse : impact de la politique monétaire de la Fed et de la BCE sur les rendements financiers</dc:title>
</cp:coreProperties>
</file>