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A338" w14:textId="77777777" w:rsidR="00004A2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Note de synthèse</w:t>
      </w:r>
      <w:r>
        <w:rPr>
          <w:rFonts w:ascii="Times New Roman" w:eastAsia="Times New Roman" w:hAnsi="Times New Roman" w:cs="Times New Roman"/>
          <w:b/>
          <w:bCs/>
          <w:sz w:val="28"/>
          <w:szCs w:val="28"/>
        </w:rPr>
        <w:t xml:space="preserve"> </w:t>
      </w:r>
      <w:r>
        <w:rPr>
          <w:noProof/>
        </w:rPr>
        <w:drawing>
          <wp:anchor distT="114300" distB="114300" distL="114300" distR="114300" simplePos="0" relativeHeight="251657216" behindDoc="0" locked="0" layoutInCell="1" hidden="0" allowOverlap="1" wp14:anchorId="3B905730" wp14:editId="411064FB">
            <wp:simplePos x="0" y="0"/>
            <wp:positionH relativeFrom="column">
              <wp:posOffset>3324225</wp:posOffset>
            </wp:positionH>
            <wp:positionV relativeFrom="paragraph">
              <wp:posOffset>266700</wp:posOffset>
            </wp:positionV>
            <wp:extent cx="2465062" cy="841940"/>
            <wp:effectExtent l="0" t="0" r="0" b="0"/>
            <wp:wrapSquare wrapText="bothSides" distT="114300" distB="11430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65062" cy="841940"/>
                    </a:xfrm>
                    <a:prstGeom prst="rect">
                      <a:avLst/>
                    </a:prstGeom>
                    <a:ln/>
                  </pic:spPr>
                </pic:pic>
              </a:graphicData>
            </a:graphic>
          </wp:anchor>
        </w:drawing>
      </w:r>
      <w:r>
        <w:rPr>
          <w:noProof/>
        </w:rPr>
        <w:drawing>
          <wp:anchor distT="57150" distB="57150" distL="57150" distR="57150" simplePos="0" relativeHeight="251658240" behindDoc="0" locked="0" layoutInCell="1" hidden="0" allowOverlap="1" wp14:anchorId="26859B01" wp14:editId="2CFEB8E4">
            <wp:simplePos x="0" y="0"/>
            <wp:positionH relativeFrom="column">
              <wp:posOffset>110067</wp:posOffset>
            </wp:positionH>
            <wp:positionV relativeFrom="paragraph">
              <wp:posOffset>110067</wp:posOffset>
            </wp:positionV>
            <wp:extent cx="3281363" cy="1666875"/>
            <wp:effectExtent l="0" t="0" r="0" b="0"/>
            <wp:wrapSquare wrapText="bothSides" distT="57150" distB="57150" distL="57150" distR="5715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81363" cy="1666875"/>
                    </a:xfrm>
                    <a:prstGeom prst="rect">
                      <a:avLst/>
                    </a:prstGeom>
                    <a:ln/>
                  </pic:spPr>
                </pic:pic>
              </a:graphicData>
            </a:graphic>
          </wp:anchor>
        </w:drawing>
      </w:r>
    </w:p>
    <w:p w14:paraId="6F2A4EF8" w14:textId="77777777" w:rsidR="00004A2B" w:rsidRDefault="00004A2B">
      <w:pPr>
        <w:rPr>
          <w:rFonts w:ascii="Times New Roman" w:eastAsia="Times New Roman" w:hAnsi="Times New Roman" w:cs="Times New Roman"/>
          <w:b/>
          <w:bCs/>
          <w:sz w:val="28"/>
          <w:szCs w:val="28"/>
        </w:rPr>
      </w:pPr>
    </w:p>
    <w:p w14:paraId="45246B34" w14:textId="77777777" w:rsidR="00004A2B" w:rsidRDefault="00000000">
      <w:pPr>
        <w:rPr>
          <w:rFonts w:ascii="Times New Roman" w:eastAsia="Times New Roman" w:hAnsi="Times New Roman" w:cs="Times New Roman"/>
          <w:b/>
          <w:bCs/>
          <w:sz w:val="28"/>
          <w:szCs w:val="28"/>
        </w:rPr>
      </w:pPr>
      <w:r>
        <w:rPr>
          <w:noProof/>
        </w:rPr>
        <mc:AlternateContent>
          <mc:Choice Requires="wps">
            <w:drawing>
              <wp:anchor distT="57150" distB="57150" distL="57150" distR="57150" simplePos="0" relativeHeight="251660288" behindDoc="1" locked="0" layoutInCell="1" hidden="0" allowOverlap="1" wp14:anchorId="2A8F3782" wp14:editId="1EAF490C">
                <wp:simplePos x="0" y="0"/>
                <wp:positionH relativeFrom="column">
                  <wp:posOffset>69850</wp:posOffset>
                </wp:positionH>
                <wp:positionV relativeFrom="paragraph">
                  <wp:posOffset>90109</wp:posOffset>
                </wp:positionV>
                <wp:extent cx="6368000" cy="18674"/>
                <wp:effectExtent l="0" t="0" r="0" b="0"/>
                <wp:wrapNone/>
                <wp:docPr id="10" name="Connecteur droit avec flèche 10"/>
                <wp:cNvGraphicFramePr/>
                <a:graphic xmlns:a="http://schemas.openxmlformats.org/drawingml/2006/main">
                  <a:graphicData uri="http://schemas.microsoft.com/office/word/2010/wordprocessingShape">
                    <wps:wsp>
                      <wps:cNvCnPr/>
                      <wps:spPr>
                        <a:xfrm>
                          <a:off x="533400" y="2743200"/>
                          <a:ext cx="6477000" cy="0"/>
                        </a:xfrm>
                        <a:prstGeom prst="straightConnector1">
                          <a:avLst/>
                        </a:prstGeom>
                        <a:noFill/>
                        <a:ln w="19050" cap="flat" cmpd="sng">
                          <a:solidFill>
                            <a:srgbClr val="002E6D"/>
                          </a:solidFill>
                          <a:prstDash val="solid"/>
                          <a:round/>
                          <a:headEnd type="none" w="med" len="med"/>
                          <a:tailEnd type="none" w="med" len="med"/>
                        </a:ln>
                      </wps:spPr>
                      <wps:bodyPr/>
                    </wps:wsp>
                  </a:graphicData>
                </a:graphic>
              </wp:anchor>
            </w:drawing>
          </mc:Choice>
          <mc:Fallback>
            <w:pict>
              <v:shapetype w14:anchorId="61995C1F" id="_x0000_t32" coordsize="21600,21600" o:spt="32" o:oned="t" path="m,l21600,21600e" filled="f">
                <v:path arrowok="t" fillok="f" o:connecttype="none"/>
                <o:lock v:ext="edit" shapetype="t"/>
              </v:shapetype>
              <v:shape id="Connecteur droit avec flèche 10" o:spid="_x0000_s1026" type="#_x0000_t32" style="position:absolute;margin-left:5.5pt;margin-top:7.1pt;width:501.4pt;height:1.45pt;z-index:-251656192;visibility:visible;mso-wrap-style:square;mso-wrap-distance-left:4.5pt;mso-wrap-distance-top:4.5pt;mso-wrap-distance-right:4.5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" strokecolor="#002e6d" strokeweight="1.5pt"/>
            </w:pict>
          </mc:Fallback>
        </mc:AlternateContent>
      </w:r>
    </w:p>
    <w:p w14:paraId="213189BA" w14:textId="77777777" w:rsidR="00004A2B" w:rsidRDefault="00000000">
      <w:pPr>
        <w:jc w:val="center"/>
        <w:rPr>
          <w:rFonts w:ascii="Times New Roman" w:eastAsia="Times New Roman" w:hAnsi="Times New Roman" w:cs="Times New Roman"/>
          <w:b/>
          <w:bCs/>
          <w:color w:val="002E6D"/>
          <w:sz w:val="28"/>
          <w:szCs w:val="28"/>
          <w:highlight w:val="white"/>
        </w:rPr>
      </w:pPr>
      <w:r>
        <w:rPr>
          <w:rFonts w:ascii="Times New Roman" w:eastAsia="Times New Roman" w:hAnsi="Times New Roman" w:cs="Times New Roman"/>
          <w:b/>
          <w:bCs/>
          <w:sz w:val="36"/>
          <w:szCs w:val="36"/>
        </w:rPr>
        <w:t xml:space="preserve">          Impact de la politique monétaire de la Fed et de la             BCE sur les rendements financiers </w:t>
      </w:r>
      <w:r>
        <w:rPr>
          <w:rFonts w:ascii="Times New Roman" w:eastAsia="Times New Roman" w:hAnsi="Times New Roman" w:cs="Times New Roman"/>
          <w:b/>
          <w:bCs/>
          <w:color w:val="002E6D"/>
          <w:sz w:val="28"/>
          <w:szCs w:val="28"/>
          <w:highlight w:val="white"/>
        </w:rPr>
        <w:t xml:space="preserve">    </w:t>
      </w:r>
    </w:p>
    <w:p w14:paraId="047D6443" w14:textId="77777777" w:rsidR="00004A2B" w:rsidRDefault="00000000">
      <w:pPr>
        <w:spacing w:before="240" w:after="240" w:line="240" w:lineRule="auto"/>
        <w:jc w:val="center"/>
        <w:rPr>
          <w:rFonts w:ascii="Times New Roman" w:eastAsia="Times New Roman" w:hAnsi="Times New Roman" w:cs="Times New Roman"/>
          <w:b/>
          <w:bCs/>
          <w:color w:val="002E6D"/>
          <w:sz w:val="28"/>
          <w:szCs w:val="28"/>
          <w:highlight w:val="white"/>
        </w:rPr>
      </w:pPr>
      <w:r>
        <w:rPr>
          <w:rFonts w:ascii="Times New Roman" w:eastAsia="Times New Roman" w:hAnsi="Times New Roman" w:cs="Times New Roman"/>
          <w:b/>
          <w:bCs/>
          <w:color w:val="002E6D"/>
          <w:sz w:val="28"/>
          <w:szCs w:val="28"/>
          <w:highlight w:val="white"/>
        </w:rPr>
        <w:t xml:space="preserve">                Par BIZA Sarah Madelyne</w:t>
      </w:r>
    </w:p>
    <w:p w14:paraId="597C20F3" w14:textId="77777777" w:rsidR="00004A2B" w:rsidRDefault="00000000">
      <w:pPr>
        <w:spacing w:before="240" w:after="240" w:line="24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Master 1 Économétrie et Statistique, parcours Économétrie Appliquée</w:t>
      </w:r>
    </w:p>
    <w:p w14:paraId="0A08F67A" w14:textId="77777777" w:rsidR="00004A2B" w:rsidRDefault="00000000">
      <w:pPr>
        <w:spacing w:before="240" w:after="240" w:line="240" w:lineRule="auto"/>
        <w:jc w:val="center"/>
        <w:rPr>
          <w:rFonts w:ascii="Times New Roman" w:eastAsia="Times New Roman" w:hAnsi="Times New Roman" w:cs="Times New Roman"/>
          <w:sz w:val="32"/>
          <w:szCs w:val="32"/>
          <w:highlight w:val="white"/>
        </w:rPr>
      </w:pP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b/>
          <w:bCs/>
          <w:sz w:val="24"/>
          <w:szCs w:val="24"/>
          <w:highlight w:val="white"/>
          <w:u w:val="single"/>
        </w:rPr>
        <w:t>Année Universitaire :</w:t>
      </w:r>
      <w:r>
        <w:rPr>
          <w:rFonts w:ascii="Times New Roman" w:eastAsia="Times New Roman" w:hAnsi="Times New Roman" w:cs="Times New Roman"/>
          <w:b/>
          <w:bCs/>
          <w:sz w:val="24"/>
          <w:szCs w:val="24"/>
          <w:highlight w:val="white"/>
        </w:rPr>
        <w:t xml:space="preserve"> 2025-2026</w:t>
      </w:r>
      <w:r>
        <w:rPr>
          <w:noProof/>
        </w:rPr>
        <mc:AlternateContent>
          <mc:Choice Requires="wpg">
            <w:drawing>
              <wp:anchor distT="114300" distB="114300" distL="114300" distR="114300" simplePos="0" relativeHeight="251661312" behindDoc="0" locked="0" layoutInCell="1" hidden="0" allowOverlap="1" wp14:anchorId="6C326AA1" wp14:editId="459211A6">
                <wp:simplePos x="0" y="0"/>
                <wp:positionH relativeFrom="column">
                  <wp:posOffset>323967</wp:posOffset>
                </wp:positionH>
                <wp:positionV relativeFrom="paragraph">
                  <wp:posOffset>677333</wp:posOffset>
                </wp:positionV>
                <wp:extent cx="5959475" cy="1833685"/>
                <wp:effectExtent l="0" t="0" r="0" b="0"/>
                <wp:wrapTopAndBottom distT="114300" distB="114300"/>
                <wp:docPr id="4" name="Groupe 4"/>
                <wp:cNvGraphicFramePr/>
                <a:graphic xmlns:a="http://schemas.openxmlformats.org/drawingml/2006/main">
                  <a:graphicData uri="http://schemas.microsoft.com/office/word/2010/wordprocessingGroup">
                    <wpg:wgp>
                      <wpg:cNvGrpSpPr/>
                      <wpg:grpSpPr>
                        <a:xfrm>
                          <a:off x="0" y="0"/>
                          <a:ext cx="5959475" cy="1833685"/>
                          <a:chOff x="1874900" y="1165075"/>
                          <a:chExt cx="5338300" cy="1647700"/>
                        </a:xfrm>
                      </wpg:grpSpPr>
                      <wps:wsp>
                        <wps:cNvPr id="873811089" name="Rectangle : coins arrondis 873811089"/>
                        <wps:cNvSpPr/>
                        <wps:spPr>
                          <a:xfrm>
                            <a:off x="1889200" y="1179375"/>
                            <a:ext cx="5309700" cy="1619100"/>
                          </a:xfrm>
                          <a:prstGeom prst="roundRect">
                            <a:avLst>
                              <a:gd name="adj" fmla="val 16667"/>
                            </a:avLst>
                          </a:prstGeom>
                          <a:noFill/>
                          <a:ln w="28575" cap="flat" cmpd="sng">
                            <a:solidFill>
                              <a:srgbClr val="002E6D"/>
                            </a:solidFill>
                            <a:prstDash val="solid"/>
                            <a:round/>
                            <a:headEnd type="none" w="sm" len="sm"/>
                            <a:tailEnd type="none" w="sm" len="sm"/>
                          </a:ln>
                        </wps:spPr>
                        <wps:txbx>
                          <w:txbxContent>
                            <w:p w14:paraId="0AC1974A" w14:textId="77777777" w:rsidR="00004A2B" w:rsidRDefault="00004A2B">
                              <w:pPr>
                                <w:spacing w:line="240" w:lineRule="auto"/>
                                <w:jc w:val="center"/>
                                <w:textDirection w:val="btLr"/>
                              </w:pPr>
                            </w:p>
                          </w:txbxContent>
                        </wps:txbx>
                        <wps:bodyPr spcFirstLastPara="1" wrap="square" lIns="91425" tIns="91425" rIns="91425" bIns="91425" anchor="ctr" anchorCtr="0">
                          <a:noAutofit/>
                        </wps:bodyPr>
                      </wps:wsp>
                      <wps:wsp>
                        <wps:cNvPr id="1751481172" name="Zone de texte 1751481172"/>
                        <wps:cNvSpPr txBox="1"/>
                        <wps:spPr>
                          <a:xfrm>
                            <a:off x="1970650" y="1308525"/>
                            <a:ext cx="5146800" cy="1360800"/>
                          </a:xfrm>
                          <a:prstGeom prst="rect">
                            <a:avLst/>
                          </a:prstGeom>
                          <a:noFill/>
                          <a:ln>
                            <a:noFill/>
                          </a:ln>
                        </wps:spPr>
                        <wps:txbx>
                          <w:txbxContent>
                            <w:p w14:paraId="01B431EB" w14:textId="77777777" w:rsidR="00004A2B" w:rsidRDefault="00000000">
                              <w:pPr>
                                <w:spacing w:line="275" w:lineRule="auto"/>
                                <w:textDirection w:val="btLr"/>
                              </w:pPr>
                              <w:r>
                                <w:rPr>
                                  <w:rFonts w:ascii="Times New Roman" w:eastAsia="Times New Roman" w:hAnsi="Times New Roman" w:cs="Times New Roman"/>
                                  <w:color w:val="000000"/>
                                </w:rPr>
                                <w:t>Cette étude porte sur comment les décisions de la BCE et de la Fed influencent les marchés boursiers français et américains. À partir de trois indices majeurs (CAC 40, S&amp;P 500, NASDAQ 100), de neuf secteurs et de quatre actions, elle montre que les rendements dépendent des taux d’intérêt et de l’incertitude. Les effets diffèrent selon les périodes et les régimes monétaires, et les estimations par MCO doivent se lire avec leurs limites.</w:t>
                              </w:r>
                            </w:p>
                            <w:p w14:paraId="78EBB106" w14:textId="77777777" w:rsidR="00004A2B" w:rsidRDefault="00004A2B">
                              <w:pPr>
                                <w:spacing w:line="275" w:lineRule="auto"/>
                                <w:textDirection w:val="btLr"/>
                              </w:pPr>
                            </w:p>
                            <w:p w14:paraId="04F33D47" w14:textId="77777777" w:rsidR="00004A2B" w:rsidRDefault="00000000">
                              <w:pPr>
                                <w:spacing w:line="275" w:lineRule="auto"/>
                                <w:jc w:val="center"/>
                                <w:textDirection w:val="btLr"/>
                              </w:pPr>
                              <w:r>
                                <w:rPr>
                                  <w:rFonts w:ascii="Times New Roman" w:eastAsia="Times New Roman" w:hAnsi="Times New Roman" w:cs="Times New Roman"/>
                                  <w:color w:val="000000"/>
                                  <w:u w:val="single"/>
                                </w:rPr>
                                <w:t>Mots-clés :</w:t>
                              </w:r>
                              <w:r>
                                <w:rPr>
                                  <w:rFonts w:ascii="Times New Roman" w:eastAsia="Times New Roman" w:hAnsi="Times New Roman" w:cs="Times New Roman"/>
                                  <w:color w:val="000000"/>
                                </w:rPr>
                                <w:t xml:space="preserve"> Politique monétaire, BCE, Fed, marché actions, taux d’intérêt, MCO</w:t>
                              </w:r>
                            </w:p>
                          </w:txbxContent>
                        </wps:txbx>
                        <wps:bodyPr spcFirstLastPara="1" wrap="square" lIns="91425" tIns="91425" rIns="91425" bIns="91425" anchor="t" anchorCtr="0">
                          <a:noAutofit/>
                        </wps:bodyPr>
                      </wps:wsp>
                    </wpg:wgp>
                  </a:graphicData>
                </a:graphic>
              </wp:anchor>
            </w:drawing>
          </mc:Choice>
          <mc:Fallback>
            <w:pict>
              <v:group w14:anchorId="6C326AA1" id="Groupe 4" o:spid="_x0000_s1027" style="position:absolute;left:0;text-align:left;margin-left:25.5pt;margin-top:53.35pt;width:469.25pt;height:144.4pt;z-index:251661312;mso-wrap-distance-top:9pt;mso-wrap-distance-bottom:9pt" coordorigin="18749,11650" coordsize="53383,1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">
                <v:roundrect id="Rectangle : coins arrondis 873811089" o:spid="_x0000_s1028" style="position:absolute;left:18892;top:11793;width:53097;height:16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" filled="f" strokecolor="#002e6d" strokeweight="2.25pt">
                  <v:stroke startarrowwidth="narrow" startarrowlength="short" endarrowwidth="narrow" endarrowlength="short"/>
                  <v:textbox inset="2.53958mm,2.53958mm,2.53958mm,2.53958mm">
                    <w:txbxContent>
                      <w:p w14:paraId="0AC1974A" w14:textId="77777777" w:rsidR="00004A2B" w:rsidRDefault="00004A2B">
                        <w:pPr>
                          <w:spacing w:line="240" w:lineRule="auto"/>
                          <w:jc w:val="center"/>
                          <w:textDirection w:val="btLr"/>
                        </w:pPr>
                      </w:p>
                    </w:txbxContent>
                  </v:textbox>
                </v:roundrect>
                <v:shapetype id="_x0000_t202" coordsize="21600,21600" o:spt="202" path="m,l,21600r21600,l21600,xe">
                  <v:stroke joinstyle="miter"/>
                  <v:path gradientshapeok="t" o:connecttype="rect"/>
                </v:shapetype>
                <v:shape id="Zone de texte 1751481172" o:spid="_x0000_s1029" type="#_x0000_t202" style="position:absolute;left:19706;top:13085;width:51468;height:1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" filled="f" stroked="f">
                  <v:textbox inset="2.53958mm,2.53958mm,2.53958mm,2.53958mm">
                    <w:txbxContent>
                      <w:p w14:paraId="01B431EB" w14:textId="77777777" w:rsidR="00004A2B" w:rsidRDefault="00000000">
                        <w:pPr>
                          <w:spacing w:line="275" w:lineRule="auto"/>
                          <w:textDirection w:val="btLr"/>
                        </w:pPr>
                        <w:r>
                          <w:rPr>
                            <w:rFonts w:ascii="Times New Roman" w:eastAsia="Times New Roman" w:hAnsi="Times New Roman" w:cs="Times New Roman"/>
                            <w:color w:val="000000"/>
                          </w:rPr>
                          <w:t>Cette étude porte sur comment les décisions de la BCE et de la Fed influencent les marchés boursiers français et américains. À partir de trois indices majeurs (CAC 40, S&amp;P 500, NASDAQ 100), de neuf secteurs et de quatre actions, elle montre que les rendements dépendent des taux d’intérêt et de l’incertitude. Les effets diffèrent selon les périodes et les régimes monétaires, et les estimations par MCO doivent se lire avec leurs limites.</w:t>
                        </w:r>
                      </w:p>
                      <w:p w14:paraId="78EBB106" w14:textId="77777777" w:rsidR="00004A2B" w:rsidRDefault="00004A2B">
                        <w:pPr>
                          <w:spacing w:line="275" w:lineRule="auto"/>
                          <w:textDirection w:val="btLr"/>
                        </w:pPr>
                      </w:p>
                      <w:p w14:paraId="04F33D47" w14:textId="77777777" w:rsidR="00004A2B" w:rsidRDefault="00000000">
                        <w:pPr>
                          <w:spacing w:line="275" w:lineRule="auto"/>
                          <w:jc w:val="center"/>
                          <w:textDirection w:val="btLr"/>
                        </w:pPr>
                        <w:r>
                          <w:rPr>
                            <w:rFonts w:ascii="Times New Roman" w:eastAsia="Times New Roman" w:hAnsi="Times New Roman" w:cs="Times New Roman"/>
                            <w:color w:val="000000"/>
                            <w:u w:val="single"/>
                          </w:rPr>
                          <w:t>Mots-clés :</w:t>
                        </w:r>
                        <w:r>
                          <w:rPr>
                            <w:rFonts w:ascii="Times New Roman" w:eastAsia="Times New Roman" w:hAnsi="Times New Roman" w:cs="Times New Roman"/>
                            <w:color w:val="000000"/>
                          </w:rPr>
                          <w:t xml:space="preserve"> Politique monétaire, BCE, Fed, marché actions, taux d’intérêt, MCO</w:t>
                        </w:r>
                      </w:p>
                    </w:txbxContent>
                  </v:textbox>
                </v:shape>
                <w10:wrap type="topAndBottom"/>
              </v:group>
            </w:pict>
          </mc:Fallback>
        </mc:AlternateContent>
      </w:r>
    </w:p>
    <w:p w14:paraId="14E464E3" w14:textId="77777777" w:rsidR="00004A2B" w:rsidRDefault="00000000">
      <w:pPr>
        <w:spacing w:before="240" w:after="240" w:line="240" w:lineRule="auto"/>
        <w:rPr>
          <w:rFonts w:ascii="Times New Roman" w:eastAsia="Times New Roman" w:hAnsi="Times New Roman" w:cs="Times New Roman"/>
          <w:b/>
          <w:bCs/>
          <w:color w:val="002E6D"/>
          <w:sz w:val="28"/>
          <w:szCs w:val="28"/>
          <w:highlight w:val="white"/>
        </w:rPr>
      </w:pPr>
      <w:r>
        <w:rPr>
          <w:noProof/>
        </w:rPr>
        <mc:AlternateContent>
          <mc:Choice Requires="wps">
            <w:drawing>
              <wp:anchor distT="57150" distB="57150" distL="57150" distR="57150" simplePos="0" relativeHeight="251662336" behindDoc="1" locked="0" layoutInCell="1" hidden="0" allowOverlap="1" wp14:anchorId="3938D4B5" wp14:editId="0FBBE14D">
                <wp:simplePos x="0" y="0"/>
                <wp:positionH relativeFrom="column">
                  <wp:posOffset>19051</wp:posOffset>
                </wp:positionH>
                <wp:positionV relativeFrom="paragraph">
                  <wp:posOffset>132292</wp:posOffset>
                </wp:positionV>
                <wp:extent cx="6368000" cy="18674"/>
                <wp:effectExtent l="0" t="0" r="0" b="0"/>
                <wp:wrapNone/>
                <wp:docPr id="6" name="Connecteur droit avec flèche 6"/>
                <wp:cNvGraphicFramePr/>
                <a:graphic xmlns:a="http://schemas.openxmlformats.org/drawingml/2006/main">
                  <a:graphicData uri="http://schemas.microsoft.com/office/word/2010/wordprocessingShape">
                    <wps:wsp>
                      <wps:cNvCnPr/>
                      <wps:spPr>
                        <a:xfrm>
                          <a:off x="533400" y="2743200"/>
                          <a:ext cx="6477000" cy="0"/>
                        </a:xfrm>
                        <a:prstGeom prst="straightConnector1">
                          <a:avLst/>
                        </a:prstGeom>
                        <a:noFill/>
                        <a:ln w="19050" cap="flat" cmpd="sng">
                          <a:solidFill>
                            <a:srgbClr val="002E6D"/>
                          </a:solidFill>
                          <a:prstDash val="solid"/>
                          <a:round/>
                          <a:headEnd type="none" w="med" len="med"/>
                          <a:tailEnd type="none" w="med" len="med"/>
                        </a:ln>
                      </wps:spPr>
                      <wps:bodyPr/>
                    </wps:wsp>
                  </a:graphicData>
                </a:graphic>
              </wp:anchor>
            </w:drawing>
          </mc:Choice>
          <mc:Fallback>
            <w:pict>
              <v:shape w14:anchorId="7AEAEF26" id="Connecteur droit avec flèche 6" o:spid="_x0000_s1026" type="#_x0000_t32" style="position:absolute;margin-left:1.5pt;margin-top:10.4pt;width:501.4pt;height:1.45pt;z-index:-251654144;visibility:visible;mso-wrap-style:square;mso-wrap-distance-left:4.5pt;mso-wrap-distance-top:4.5pt;mso-wrap-distance-right:4.5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" strokecolor="#002e6d" strokeweight="1.5pt"/>
            </w:pict>
          </mc:Fallback>
        </mc:AlternateContent>
      </w:r>
    </w:p>
    <w:p w14:paraId="18FF25A5" w14:textId="77777777" w:rsidR="00004A2B" w:rsidRDefault="00000000">
      <w:pPr>
        <w:spacing w:before="240" w:after="240" w:line="240" w:lineRule="auto"/>
        <w:rPr>
          <w:rFonts w:ascii="Times New Roman" w:eastAsia="Times New Roman" w:hAnsi="Times New Roman" w:cs="Times New Roman"/>
          <w:b/>
          <w:bCs/>
          <w:color w:val="002E6D"/>
          <w:sz w:val="32"/>
          <w:szCs w:val="32"/>
          <w:highlight w:val="white"/>
        </w:rPr>
      </w:pPr>
      <w:r>
        <w:rPr>
          <w:noProof/>
        </w:rPr>
        <mc:AlternateContent>
          <mc:Choice Requires="wps">
            <w:drawing>
              <wp:anchor distT="0" distB="0" distL="0" distR="0" simplePos="0" relativeHeight="251663360" behindDoc="0" locked="0" layoutInCell="1" hidden="0" allowOverlap="1" wp14:anchorId="7585249A" wp14:editId="35BF1234">
                <wp:simplePos x="0" y="0"/>
                <wp:positionH relativeFrom="column">
                  <wp:posOffset>57150</wp:posOffset>
                </wp:positionH>
                <wp:positionV relativeFrom="paragraph">
                  <wp:posOffset>2006600</wp:posOffset>
                </wp:positionV>
                <wp:extent cx="6368000" cy="18674"/>
                <wp:effectExtent l="0" t="0" r="0" b="0"/>
                <wp:wrapTopAndBottom distT="0" distB="0"/>
                <wp:docPr id="7" name="Connecteur droit avec flèche 7"/>
                <wp:cNvGraphicFramePr/>
                <a:graphic xmlns:a="http://schemas.openxmlformats.org/drawingml/2006/main">
                  <a:graphicData uri="http://schemas.microsoft.com/office/word/2010/wordprocessingShape">
                    <wps:wsp>
                      <wps:cNvCnPr/>
                      <wps:spPr>
                        <a:xfrm>
                          <a:off x="533400" y="2743200"/>
                          <a:ext cx="6477000" cy="0"/>
                        </a:xfrm>
                        <a:prstGeom prst="straightConnector1">
                          <a:avLst/>
                        </a:prstGeom>
                        <a:noFill/>
                        <a:ln w="19050" cap="flat" cmpd="sng">
                          <a:solidFill>
                            <a:srgbClr val="002E6D"/>
                          </a:solidFill>
                          <a:prstDash val="solid"/>
                          <a:round/>
                          <a:headEnd type="none" w="med" len="med"/>
                          <a:tailEnd type="none" w="med" len="med"/>
                        </a:ln>
                      </wps:spPr>
                      <wps:bodyPr/>
                    </wps:wsp>
                  </a:graphicData>
                </a:graphic>
              </wp:anchor>
            </w:drawing>
          </mc:Choice>
          <mc:Fallback>
            <w:pict>
              <v:shape w14:anchorId="7BB5FB2D" id="Connecteur droit avec flèche 7" o:spid="_x0000_s1026" type="#_x0000_t32" style="position:absolute;margin-left:4.5pt;margin-top:158pt;width:501.4pt;height:1.45pt;z-index:25166336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" strokecolor="#002e6d" strokeweight="1.5pt">
                <w10:wrap type="topAndBottom"/>
              </v:shape>
            </w:pict>
          </mc:Fallback>
        </mc:AlternateContent>
      </w:r>
    </w:p>
    <w:p w14:paraId="0F53E1DE" w14:textId="77777777" w:rsidR="00004A2B" w:rsidRDefault="00000000">
      <w:pPr>
        <w:pStyle w:val="Titre"/>
        <w:spacing w:before="240" w:after="240" w:line="240" w:lineRule="auto"/>
        <w:ind w:left="720"/>
        <w:rPr>
          <w:rFonts w:ascii="Times New Roman" w:eastAsia="Times New Roman" w:hAnsi="Times New Roman" w:cs="Times New Roman"/>
          <w:b/>
          <w:bCs/>
          <w:color w:val="002E6D"/>
          <w:sz w:val="30"/>
          <w:szCs w:val="30"/>
          <w:highlight w:val="white"/>
        </w:rPr>
      </w:pPr>
      <w:bookmarkStart w:id="0" w:name="_ulbq1r1juvgy" w:colFirst="0" w:colLast="0"/>
      <w:bookmarkEnd w:id="0"/>
      <w:r>
        <w:rPr>
          <w:rFonts w:ascii="Times New Roman" w:eastAsia="Times New Roman" w:hAnsi="Times New Roman" w:cs="Times New Roman"/>
          <w:b/>
          <w:bCs/>
          <w:color w:val="002E6D"/>
          <w:sz w:val="30"/>
          <w:szCs w:val="30"/>
          <w:highlight w:val="white"/>
        </w:rPr>
        <w:t>I. Problématique et cadre de l’étude</w:t>
      </w:r>
    </w:p>
    <w:p w14:paraId="200CBA99" w14:textId="77777777" w:rsidR="00004A2B" w:rsidRDefault="00000000">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Les décisions des banques centrales influencent les conditions financières mondiales. La Réserve fédérale américaine (Fed) et la Banque centrale européenne (BCE) sont particulièrement observées car leurs annonces modifient immédiatement le rendement des actions mais aussi la volatilité. Ce fait n’est pas nouveau mais il s’est accentué dans un contexte marqué par des chocs successifs (crise financière de 2008, crise de la dette souveraine, pandémie de COVID-19, retour brutal de l’inflation, guerre en Ukraine) qui ont modifié la manière dont les banques centrales interviennent.</w:t>
      </w:r>
    </w:p>
    <w:p w14:paraId="235F34DC" w14:textId="4ADFCDA0" w:rsidR="00004A2B" w:rsidRDefault="00000000">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La Fed et la BCE n’agissent pas dans le même cadre institutionnel. La Fed fonctionne avec un double mandat. Elle doit à la fois maintenir la stabilité des prix et soutenir le plein emploi. Lorsque la Fed relève ou abaisse ses taux directeurs, les investisseurs y voient un signe sur la santé de l’économie américaine. En revanche, le mandat de la BCE est centré sur la stabilité </w:t>
      </w:r>
      <w:r>
        <w:rPr>
          <w:rFonts w:ascii="Times New Roman" w:eastAsia="Times New Roman" w:hAnsi="Times New Roman" w:cs="Times New Roman"/>
          <w:highlight w:val="white"/>
        </w:rPr>
        <w:t>des prix. Cette différence peut conduire les investisseurs à interpréter les décisions des banques pour ce qu’elles suggèrent sur l’évolution future de l’économie.</w:t>
      </w:r>
    </w:p>
    <w:p w14:paraId="167B9505" w14:textId="67169EFC" w:rsidR="00004A2B" w:rsidRDefault="00000000">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L’échantillon couvre les années 2000 à 2024, ce qui permet d’intégrer trois régimes monétaires distincts : la période pré-QE, l’ère des politiques non conventionnelles et la période post-COVID. La période étudiée est suffisamment longue pour inclure des épisodes de forte volatilité financière (crise de la dette souveraine, pandémie, retour de l’inflation), qui permettent d’observer la réaction des marchés actions aux décisions monétaires.</w:t>
      </w:r>
    </w:p>
    <w:p w14:paraId="1E10A408" w14:textId="77777777" w:rsidR="00004A2B" w:rsidRDefault="00000000">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La politique monétaire n’agit pas directement sur les marchés actions. Entre une décision de la banque centrale et une variation des cours boursiers, il existe toujours plusieurs mécanismes intermédiaires qui modifient soit les flux futurs des entreprises, soit la manière dont les investisseurs évaluent ces flux. La littérature identifie généralement quatre grands canaux : le taux d’actualisation, les anticipations, le risque et la liquidité, qui fonctionnent simultanément. Ces canaux expliquent pourquoi les marchés peuvent réagir fortement à une annonce.</w:t>
      </w:r>
    </w:p>
    <w:p w14:paraId="7F7177C2" w14:textId="77777777" w:rsidR="00004A2B" w:rsidRDefault="00000000">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Ainsi nous pouvons nous demander : Dans quelle mesure les décisions de la BCE et de la Fed influencent-elles les rendements des marchés actions français et américains ? </w:t>
      </w:r>
    </w:p>
    <w:p w14:paraId="3F0C37CD" w14:textId="77777777" w:rsidR="00004A2B" w:rsidRDefault="00000000">
      <w:pPr>
        <w:pStyle w:val="Titre"/>
        <w:spacing w:before="240" w:after="240" w:line="240" w:lineRule="auto"/>
        <w:ind w:firstLine="720"/>
        <w:rPr>
          <w:rFonts w:ascii="Times New Roman" w:eastAsia="Times New Roman" w:hAnsi="Times New Roman" w:cs="Times New Roman"/>
          <w:b/>
          <w:bCs/>
          <w:color w:val="002E6D"/>
          <w:highlight w:val="white"/>
        </w:rPr>
      </w:pPr>
      <w:bookmarkStart w:id="1" w:name="_w06ynun303jz" w:colFirst="0" w:colLast="0"/>
      <w:bookmarkEnd w:id="1"/>
      <w:r>
        <w:rPr>
          <w:rFonts w:ascii="Times New Roman" w:eastAsia="Times New Roman" w:hAnsi="Times New Roman" w:cs="Times New Roman"/>
          <w:b/>
          <w:bCs/>
          <w:color w:val="002E6D"/>
          <w:sz w:val="30"/>
          <w:szCs w:val="30"/>
          <w:highlight w:val="white"/>
        </w:rPr>
        <w:t>II. Données utilisées</w:t>
      </w:r>
    </w:p>
    <w:tbl>
      <w:tblPr>
        <w:tblStyle w:val="a"/>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6"/>
        <w:gridCol w:w="4214"/>
      </w:tblGrid>
      <w:tr w:rsidR="00004A2B" w14:paraId="1DB05CCA" w14:textId="77777777">
        <w:trPr>
          <w:cantSplit/>
          <w:trHeight w:val="7890"/>
        </w:trPr>
        <w:tc>
          <w:tcPr>
            <w:tcW w:w="4186" w:type="dxa"/>
            <w:tcBorders>
              <w:top w:val="nil"/>
              <w:left w:val="nil"/>
              <w:bottom w:val="nil"/>
              <w:right w:val="nil"/>
            </w:tcBorders>
          </w:tcPr>
          <w:p w14:paraId="52C583B8"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L’ensemble des séries repose sur des bases statistiques publiques, des institutions financières officielles et des plateformes spécialisées dans la diffusion de données macroéconomiques et de marché (FRED, Yahoo Finance, ECB).</w:t>
            </w:r>
          </w:p>
          <w:p w14:paraId="7E5B1849" w14:textId="77777777" w:rsidR="00004A2B" w:rsidRDefault="00004A2B">
            <w:pPr>
              <w:rPr>
                <w:rFonts w:ascii="Times New Roman" w:eastAsia="Times New Roman" w:hAnsi="Times New Roman" w:cs="Times New Roman"/>
                <w:highlight w:val="white"/>
              </w:rPr>
            </w:pPr>
          </w:p>
          <w:p w14:paraId="07BF9EAF"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La fréquence mensuelle des données a été retenue pour assurer une cohérence entre les différentes séries (297 observations, d’avril 2000 à décembre 2024). Les variables macroéconomiques (inflation, chômage) ne sont généralement publiées qu’à un rythme mensuel tandis que les taux directeurs et les taux obligataires peuvent être observés à des fréquences plus élevées.</w:t>
            </w:r>
            <w:proofErr w:type="gramStart"/>
            <w:proofErr w:type="gramEnd"/>
          </w:p>
          <w:p w14:paraId="5D376448" w14:textId="77777777" w:rsidR="00004A2B" w:rsidRDefault="00004A2B">
            <w:pPr>
              <w:rPr>
                <w:rFonts w:ascii="Times New Roman" w:eastAsia="Times New Roman" w:hAnsi="Times New Roman" w:cs="Times New Roman"/>
                <w:highlight w:val="white"/>
              </w:rPr>
            </w:pPr>
          </w:p>
          <w:p w14:paraId="310F0DA7"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Les variables expliquées correspondent aux différentes mesures de rendements financiers utilisées : le CAC 40 pour le marché français, le S&amp;P 500 et le Nasdaq 100 pour les marchés américains, ainsi que neuf secteurs du CAC 40 et quatre actions (LVMH, BNP Paribas, Microsoft, Apple).</w:t>
            </w:r>
          </w:p>
        </w:tc>
        <w:tc>
          <w:tcPr>
            <w:tcW w:w="4214" w:type="dxa"/>
            <w:tcBorders>
              <w:top w:val="nil"/>
              <w:left w:val="nil"/>
              <w:bottom w:val="nil"/>
              <w:right w:val="nil"/>
            </w:tcBorders>
          </w:tcPr>
          <w:p w14:paraId="298B7DEF"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Les rendements des actions et des secteurs sont calculés à partir des prix ajustés (adjusted close), ce qui intègre les dividendes ; les trois indices sont des indices de prix. Chaque secteur est la moyenne des rendements de ses entreprises.</w:t>
            </w:r>
            <w:proofErr w:type="spellStart"/>
            <w:proofErr w:type="spellEnd"/>
          </w:p>
          <w:p w14:paraId="676B117D" w14:textId="77777777" w:rsidR="00004A2B" w:rsidRDefault="00004A2B">
            <w:pPr>
              <w:rPr>
                <w:rFonts w:ascii="Times New Roman" w:eastAsia="Times New Roman" w:hAnsi="Times New Roman" w:cs="Times New Roman"/>
                <w:highlight w:val="white"/>
              </w:rPr>
            </w:pPr>
          </w:p>
          <w:p w14:paraId="118AD62F"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Les variables d’intérêt regroupent les indicateurs qui permettent de mesurer directement l’impulsion exercée par les banques centrales sur l’économie et par extension, sur les marchés actions : les taux directeurs de la BCE et de la Fed, les taux souverains à 10 ans, les </w:t>
            </w:r>
            <w:proofErr w:type="spellStart"/>
            <w:r>
              <w:rPr>
                <w:rFonts w:ascii="Times New Roman" w:eastAsia="Times New Roman" w:hAnsi="Times New Roman" w:cs="Times New Roman"/>
                <w:highlight w:val="white"/>
              </w:rPr>
              <w:t>dummies</w:t>
            </w:r>
            <w:proofErr w:type="spellEnd"/>
            <w:r>
              <w:rPr>
                <w:rFonts w:ascii="Times New Roman" w:eastAsia="Times New Roman" w:hAnsi="Times New Roman" w:cs="Times New Roman"/>
                <w:highlight w:val="white"/>
              </w:rPr>
              <w:t xml:space="preserve"> de régime (pré-2008, post-2008, post-COVID) et les </w:t>
            </w:r>
            <w:proofErr w:type="spellStart"/>
            <w:r>
              <w:rPr>
                <w:rFonts w:ascii="Times New Roman" w:eastAsia="Times New Roman" w:hAnsi="Times New Roman" w:cs="Times New Roman"/>
                <w:highlight w:val="white"/>
              </w:rPr>
              <w:t>dummies</w:t>
            </w:r>
            <w:proofErr w:type="spellEnd"/>
            <w:r>
              <w:rPr>
                <w:rFonts w:ascii="Times New Roman" w:eastAsia="Times New Roman" w:hAnsi="Times New Roman" w:cs="Times New Roman"/>
                <w:highlight w:val="white"/>
              </w:rPr>
              <w:t xml:space="preserve"> de QE (phases d’achats massifs d’actifs par les banques centrales).</w:t>
            </w:r>
          </w:p>
          <w:p w14:paraId="16478086" w14:textId="77777777" w:rsidR="00004A2B" w:rsidRDefault="00004A2B">
            <w:pPr>
              <w:rPr>
                <w:rFonts w:ascii="Times New Roman" w:eastAsia="Times New Roman" w:hAnsi="Times New Roman" w:cs="Times New Roman"/>
                <w:highlight w:val="white"/>
              </w:rPr>
            </w:pPr>
          </w:p>
          <w:p w14:paraId="501A580A" w14:textId="77777777" w:rsidR="00004A2B"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Enfin, plusieurs variables de contrôle ont été introduites afin de replacer la politique monétaire dans le contexte économique et financier dans lequel elle s’exerce : inflation, taux de chômage, taux de change usd/eur (dollars pour un euro), la volatilité (VIX) et le prix du pétrole. Une extension utilise les chocs à haute fréquence de Jarociński et Karadi (2020).</w:t>
            </w:r>
            <w:proofErr w:type="spellStart"/>
            <w:proofErr w:type="spellEnd"/>
            <w:proofErr w:type="spellStart"/>
            <w:proofErr w:type="spellEnd"/>
          </w:p>
        </w:tc>
      </w:tr>
    </w:tbl>
    <w:p w14:paraId="033A4F5F" w14:textId="3D59B3DA" w:rsidR="00004A2B" w:rsidRDefault="00000000">
      <w:pPr>
        <w:pStyle w:val="Titre"/>
        <w:spacing w:before="240" w:after="240" w:line="240" w:lineRule="auto"/>
        <w:ind w:firstLine="720"/>
        <w:rPr>
          <w:rFonts w:ascii="Times New Roman" w:eastAsia="Times New Roman" w:hAnsi="Times New Roman" w:cs="Times New Roman"/>
          <w:b/>
          <w:bCs/>
          <w:color w:val="002E6D"/>
          <w:highlight w:val="white"/>
        </w:rPr>
      </w:pPr>
      <w:bookmarkStart w:id="2" w:name="_4a7dr86054sv" w:colFirst="0" w:colLast="0"/>
      <w:bookmarkEnd w:id="2"/>
      <w:r>
        <w:rPr>
          <w:rFonts w:ascii="Times New Roman" w:eastAsia="Times New Roman" w:hAnsi="Times New Roman" w:cs="Times New Roman"/>
          <w:b/>
          <w:bCs/>
          <w:color w:val="002E6D"/>
          <w:sz w:val="30"/>
          <w:szCs w:val="30"/>
          <w:highlight w:val="white"/>
        </w:rPr>
        <w:t>III. Méthodologie</w:t>
      </w:r>
    </w:p>
    <w:p w14:paraId="6F03A994" w14:textId="77777777" w:rsidR="00004A2B"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highlight w:val="white"/>
        </w:rPr>
        <w:t xml:space="preserve">Avant d’estimer les modèles, il faut vérifier que les hypothèses statistiques sont satisfaites : stationnarité, absence d’autocorrélation, variance stable des résidus et faible corrélation entre les variables explicatives. Sans ces vérifications, les coefficients estimés pourraient être biaisés.</w:t>
      </w:r>
    </w:p>
    <w:p w14:paraId="7A8D8A33" w14:textId="77777777" w:rsidR="00004A2B"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C’est pourquoi l’analyse commence par une série de tests de stationnarité complétée par l'examen des fonctions d’autocorrélation (ACF) et d’autocorrélation partielle (PACF), qui permettent de détecter d’éventuelles dépendances temporelles persistantes. Les fonctions ACF et PACF confirment l’absence de dépendance temporelle persistante dans les rendements. Les variables macroéconomiques différenciées présentent également une dynamique compatible avec une estimation en régression linéaire.</w:t>
      </w:r>
    </w:p>
    <w:p w14:paraId="22FBCBFA" w14:textId="77777777" w:rsidR="00004A2B"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Les modèles sont ensuite estimés par la méthode des moindres carrés ordinaires (MCO), avec des erreurs standards robustes à l’hétéroscédasticité (HC3). Plusieurs tests, menés au seuil de 10 %, évaluent la validité des modèles : la normalité des résidus (Jarque-Bera), la spécification (RESET), la multicolinéarité (VIF), l’hétéroscédasticité (Breusch-Pagan), l’autocorrélation (Breusch-Godfrey), les effets ARCH et les observations influentes (distance de Cook). Ces tests ne valident pas toutes les hypothèses des MCO : leurs résultats font partie des résultats et sont présentés dans la section V.</w:t>
      </w:r>
      <w:proofErr w:type="spellStart"/>
      <w:proofErr w:type="spellEnd"/>
      <w:proofErr w:type="spellStart"/>
      <w:proofErr w:type="spellEnd"/>
      <w:proofErr w:type="spellStart"/>
      <w:proofErr w:type="spellEnd"/>
      <w:proofErr w:type="spellStart"/>
      <w:proofErr w:type="spellEnd"/>
    </w:p>
    <w:p w14:paraId="46971757" w14:textId="3F5DE1F9" w:rsidR="00D9011F" w:rsidRDefault="00000000" w:rsidP="00D9011F">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Les résultats présentés dans la note de synthèse portent sur les modèles les plus complets. La dynamique des effets est étudiée par des fenêtres roulantes de 84 mois, puis la politique monétaire est mesurée par les surprises d’annonce. L’équation générique utilisée pour les trois marchés est la suivante :</w:t>
      </w:r>
    </w:p>
    <w:p w14:paraId="0BE0B56D" w14:textId="77777777" w:rsidR="00D9011F" w:rsidRDefault="00D9011F" w:rsidP="00D9011F">
      <w:pPr>
        <w:spacing w:before="0" w:after="120" w:line="240" w:lineRule="auto"/>
        <w:rPr>
          <w:rFonts w:ascii="Times New Roman" w:eastAsia="Times New Roman" w:hAnsi="Times New Roman" w:cs="Times New Roman"/>
        </w:rPr>
        <w:jc w:val="center"/>
      </w:pPr>
      <w:r>
        <w:rPr>
          <w:noProof/>
        </w:rPr>
        <w:lastRenderedPageBreak/>
        <mc:AlternateContent>
          <mc:Choice Requires="wps">
            <w:drawing>
              <wp:inline distT="0" distB="0" distL="0" distR="0">
                <wp:extent cx="5600000" cy="1801857"/>
                <wp:effectExtent l="19050" t="19050" r="16510" b="27305"/>
                <wp:docPr id="746436973" name="Rectangle : coins arrondis 726079696"/>
                <wp:cNvGraphicFramePr/>
                <a:graphic xmlns:a="http://schemas.openxmlformats.org/drawingml/2006/main">
                  <a:graphicData uri="http://schemas.microsoft.com/office/word/2010/wordprocessingShape">
                    <wps:wsp>
                      <wps:cNvSpPr/>
                      <wps:spPr>
                        <a:xfrm>
                          <a:off x="0" y="0"/>
                          <a:ext cx="5600000" cy="1801857"/>
                        </a:xfrm>
                        <a:prstGeom prst="roundRect">
                          <a:avLst>
                            <a:gd name="adj" fmla="val 16667"/>
                          </a:avLst>
                        </a:prstGeom>
                        <a:solidFill>
                          <a:schemeClr val="tx2"/>
                        </a:solidFill>
                        <a:ln w="28575" cap="flat" cmpd="sng">
                          <a:solidFill>
                            <a:srgbClr val="002E6D"/>
                          </a:solidFill>
                          <a:prstDash val="solid"/>
                          <a:round/>
                          <a:headEnd type="none" w="sm" len="sm"/>
                          <a:tailEnd type="none" w="sm" len="sm"/>
                        </a:ln>
                      </wps:spPr>
                      <wps:txbx>
                        <w:txbxContent>
                          <w:p w14:paraId="6C81EB82" w14:textId="561ECC64" w:rsidR="00D9011F" w:rsidRDefault="00D9011F" w:rsidP="00D9011F">
                            <w:pPr>
                              <w:spacing w:line="240" w:lineRule="auto"/>
                              <w:jc w:val="center"/>
                              <w:textDirection w:val="btLr"/>
                            </w:pPr>
                            <w:r w:rsidRPr="00D9011F">
                              <w:rPr>
                                <w:noProof/>
                              </w:rPr>
                              <w:drawing>
                                <wp:inline distT="0" distB="0" distL="0" distR="0" wp14:anchorId="54F7CBA5" wp14:editId="227BF5B2">
                                  <wp:extent cx="5600000" cy="1493192"/>
                                  <wp:effectExtent l="0" t="0" r="0" b="0"/>
                                  <wp:docPr id="2036772887" name="Image 10"/>
                                  <wp:cNvGraphicFramePr>
                                    <a:graphicFrameLocks noChangeAspect="1"/>
                                  </wp:cNvGraphicFramePr>
                                  <a:graphic>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000" cy="1510547"/>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inline>
            </w:drawing>
          </mc:Choice>
        </mc:AlternateContent>
      </w:r>
    </w:p>
    <w:p w14:paraId="5A8708C2" w14:textId="0967E135" w:rsidR="00D9011F" w:rsidRDefault="00D9011F">
      <w:pPr>
        <w:spacing w:before="240" w:after="240" w:line="240" w:lineRule="auto"/>
        <w:ind w:left="720"/>
        <w:rPr>
          <w:rFonts w:ascii="Times New Roman" w:eastAsia="Times New Roman" w:hAnsi="Times New Roman" w:cs="Times New Roman"/>
          <w:b/>
          <w:bCs/>
          <w:color w:val="002E6D"/>
          <w:sz w:val="30"/>
          <w:szCs w:val="30"/>
        </w:rPr>
      </w:pPr>
      <w:r>
        <w:rPr>
          <w:rFonts w:ascii="Times New Roman" w:eastAsia="Times New Roman" w:hAnsi="Times New Roman" w:cs="Times New Roman"/>
          <w:b/>
          <w:bCs/>
          <w:color w:val="002E6D"/>
          <w:sz w:val="30"/>
          <w:szCs w:val="30"/>
        </w:rPr>
        <w:t>IV. Résultats</w:t>
      </w:r>
    </w:p>
    <w:p w14:paraId="64B50ADC" w14:textId="340454B6" w:rsidR="00D9011F" w:rsidRDefault="00D9011F">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Les résultats montrent que la politique monétaire influence les marchés actions, de manière hétérogène selon les instruments, les périodes et les zones géographiques. Le taux directeur de la BCE apparaît comme un déterminant robuste.</w:t>
      </w:r>
    </w:p>
    <w:p w14:paraId="21626796" w14:textId="5E6A67E8" w:rsidR="004D677E" w:rsidRDefault="004D677E">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Dans le modèle le plus complet, une hausse de 1 point observée deux mois auparavant entraîne une baisse du rendement mensuel de 1,4 point de pourcentage pour le CAC 40, de 0,8 pour le S&amp;P 500 et de 0,9 pour le Nasdaq 100 (significatif à 10 % pour ce dernier), ce qui correspond au canal du taux d’actualisation décrit dans la littérature</w:t>
      </w:r>
      <w:r>
        <w:rPr>
          <w:rFonts w:ascii="Times New Roman" w:eastAsia="Times New Roman" w:hAnsi="Times New Roman" w:cs="Times New Roman"/>
        </w:rPr>
        <w:t>.</w:t>
      </w:r>
    </w:p>
    <w:tbl>
      <w:tblPr>
        <w:tblStyle w:val="a0"/>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6"/>
        <w:gridCol w:w="4214"/>
      </w:tblGrid>
      <w:tr w:rsidR="00004A2B" w14:paraId="60CD350F" w14:textId="77777777">
        <w:trPr>
          <w:cantSplit/>
          <w:trHeight w:val="300"/>
        </w:trPr>
        <w:tc>
          <w:tcPr>
            <w:tcW w:w="4186" w:type="dxa"/>
            <w:tcBorders>
              <w:top w:val="nil"/>
              <w:left w:val="nil"/>
              <w:bottom w:val="nil"/>
              <w:right w:val="nil"/>
            </w:tcBorders>
          </w:tcPr>
          <w:p w14:paraId="633730C6"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Le taux directeur de la Fed, pris en niveau, n’a pas d’effet négatif : il est positif pour le CAC 40 et le S&amp;P 500 et non significatif pour le Nasdaq 100. Les deux taux directeurs étant corrélés à 0,72, ils se lisent ensemble.</w:t>
            </w:r>
          </w:p>
          <w:p w14:paraId="429484E5" w14:textId="77777777" w:rsidR="004D677E" w:rsidRDefault="004D677E">
            <w:pPr>
              <w:rPr>
                <w:rFonts w:ascii="Times New Roman" w:eastAsia="Times New Roman" w:hAnsi="Times New Roman" w:cs="Times New Roman"/>
              </w:rPr>
            </w:pPr>
          </w:p>
          <w:p w14:paraId="071566F3" w14:textId="014401B3" w:rsidR="004D677E" w:rsidRPr="004D677E" w:rsidRDefault="004D677E">
            <w:pPr>
              <w:rPr>
                <w:rFonts w:ascii="Times New Roman" w:eastAsia="Times New Roman" w:hAnsi="Times New Roman" w:cs="Times New Roman"/>
                <w:sz w:val="20"/>
                <w:szCs w:val="20"/>
                <w:highlight w:val="white"/>
              </w:rPr>
            </w:pPr>
            <w:r>
              <w:rPr>
                <w:rFonts w:ascii="Times New Roman" w:eastAsia="Times New Roman" w:hAnsi="Times New Roman" w:cs="Times New Roman"/>
              </w:rPr>
              <w:t>Les taux longs sont un autre canal de transmission, qui agit en sens opposé. À contrôles égaux, une hausse des taux français fait baisser le CAC 40 (−1,3 point par écart-type de l’OAT 10 ans) et une hausse des taux américains le fait monter (+1,9 point). Les coefficients étant presque symétriques et les deux taux corrélés à 0,74, les rendements réagissent à l’écart entre les mouvements des deux taux longs. Les résultats sont du même ordre pour les indices américains</w:t>
            </w:r>
            <w:r>
              <w:rPr>
                <w:rFonts w:ascii="Times New Roman" w:eastAsia="Times New Roman" w:hAnsi="Times New Roman" w:cs="Times New Roman"/>
              </w:rPr>
              <w:t>.</w:t>
            </w:r>
          </w:p>
        </w:tc>
        <w:tc>
          <w:tcPr>
            <w:tcW w:w="4214" w:type="dxa"/>
            <w:tcBorders>
              <w:top w:val="nil"/>
              <w:left w:val="nil"/>
              <w:bottom w:val="nil"/>
              <w:right w:val="nil"/>
            </w:tcBorders>
          </w:tcPr>
          <w:p w14:paraId="0E8A0ACE" w14:textId="77777777" w:rsidR="00004A2B"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rPr>
              <w:t xml:space="preserve">La volatilité financière, mesurée par le VIX, apparaît comme le déterminant le plus stable : son coefficient est toujours négatif et très significatif. Une hausse de 1 % du VIX réduit le rendement mensuel du CAC 40, du S&amp;P 500 et du Nasdaq 100 de 0,14 à 0,17 point. Une hausse de 1 % du taux usd/eur (plus de dollars pour un euro, soit une dépréciation du dollar) est associée à une hausse du rendement mensuel de 0,23 point pour le CAC 40, 0,40 pour le S&amp;P 500 et 0,56 pour le Nasdaq 100.</w:t>
            </w:r>
            <w:proofErr w:type="spellStart"/>
            <w:proofErr w:type="spellEnd"/>
            <w:proofErr w:type="spellStart"/>
            <w:proofErr w:type="spellEnd"/>
          </w:p>
        </w:tc>
      </w:tr>
    </w:tbl>
    <w:p w14:paraId="3B797171" w14:textId="77777777" w:rsidR="00004A2B" w:rsidRDefault="00004A2B">
      <w:pPr>
        <w:spacing w:before="0" w:after="0" w:line="240" w:lineRule="auto"/>
        <w:rPr>
          <w:rFonts w:ascii="Times New Roman" w:eastAsia="Times New Roman" w:hAnsi="Times New Roman" w:cs="Times New Roman"/>
          <w:b/>
          <w:bCs/>
          <w:color w:val="002E6D"/>
          <w:sz w:val="30"/>
          <w:szCs w:val="30"/>
        </w:rPr>
      </w:pPr>
    </w:p>
    <w:tbl>
      <w:tblPr>
        <w:tblStyle w:val="a1"/>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2"/>
        <w:gridCol w:w="1788"/>
        <w:gridCol w:w="1539"/>
        <w:gridCol w:w="1994"/>
        <w:gridCol w:w="1847"/>
      </w:tblGrid>
      <w:tr w:rsidR="00004A2B" w14:paraId="0486E934" w14:textId="77777777">
        <w:trPr>
          <w:cantSplit/>
        </w:trPr>
        <w:tc>
          <w:tcPr>
            <w:tcW w:w="1231" w:type="dxa"/>
            <w:shd w:val="clear" w:color="auto" w:fill="002E6D"/>
          </w:tcPr>
          <w:p w14:paraId="3D01D298"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
                <w:bCs/>
                <w:color w:val="FFFFFF"/>
                <w:sz w:val="20"/>
                <w:szCs w:val="20"/>
                <w:shd w:val="clear" w:color="auto" w:fill="002E6D"/>
              </w:rPr>
              <w:t xml:space="preserve">Modèles </w:t>
            </w:r>
          </w:p>
        </w:tc>
        <w:tc>
          <w:tcPr>
            <w:tcW w:w="1788" w:type="dxa"/>
            <w:shd w:val="clear" w:color="auto" w:fill="002E6D"/>
          </w:tcPr>
          <w:p w14:paraId="09F8E332"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
                <w:bCs/>
                <w:color w:val="FFFFFF"/>
                <w:sz w:val="20"/>
                <w:szCs w:val="20"/>
                <w:shd w:val="clear" w:color="auto" w:fill="002E6D"/>
              </w:rPr>
              <w:t>Taux BCE (lag 2)</w:t>
            </w:r>
          </w:p>
        </w:tc>
        <w:tc>
          <w:tcPr>
            <w:tcW w:w="1539" w:type="dxa"/>
            <w:shd w:val="clear" w:color="auto" w:fill="002E6D"/>
          </w:tcPr>
          <w:p w14:paraId="2C309DB4"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
                <w:bCs/>
                <w:color w:val="FFFFFF"/>
                <w:sz w:val="20"/>
                <w:szCs w:val="20"/>
                <w:shd w:val="clear" w:color="auto" w:fill="002E6D"/>
              </w:rPr>
              <w:t>Taux Fed</w:t>
            </w:r>
          </w:p>
        </w:tc>
        <w:tc>
          <w:tcPr>
            <w:tcW w:w="1994" w:type="dxa"/>
            <w:shd w:val="clear" w:color="auto" w:fill="002E6D"/>
          </w:tcPr>
          <w:p w14:paraId="601EC021"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
                <w:bCs/>
                <w:color w:val="FFFFFF"/>
                <w:sz w:val="20"/>
                <w:szCs w:val="20"/>
                <w:shd w:val="clear" w:color="auto" w:fill="002E6D"/>
              </w:rPr>
              <w:t>OAT10Y</w:t>
            </w:r>
          </w:p>
        </w:tc>
        <w:tc>
          <w:tcPr>
            <w:tcW w:w="1847" w:type="dxa"/>
            <w:shd w:val="clear" w:color="auto" w:fill="002E6D"/>
          </w:tcPr>
          <w:p w14:paraId="16BDA59B"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
                <w:bCs/>
                <w:color w:val="FFFFFF"/>
                <w:sz w:val="20"/>
                <w:szCs w:val="20"/>
                <w:shd w:val="clear" w:color="auto" w:fill="002E6D"/>
              </w:rPr>
              <w:t>US10Y</w:t>
            </w:r>
          </w:p>
        </w:tc>
      </w:tr>
      <w:tr w:rsidR="00004A2B" w14:paraId="5EF9D93C" w14:textId="77777777">
        <w:trPr>
          <w:cantSplit/>
        </w:trPr>
        <w:tc>
          <w:tcPr>
            <w:tcW w:w="1231" w:type="dxa"/>
          </w:tcPr>
          <w:p w14:paraId="46AD24B7"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CAC 40</w:t>
            </w:r>
          </w:p>
        </w:tc>
        <w:tc>
          <w:tcPr>
            <w:tcW w:w="1788" w:type="dxa"/>
          </w:tcPr>
          <w:p w14:paraId="7B665C7D"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539" w:type="dxa"/>
          </w:tcPr>
          <w:p w14:paraId="20F729B6"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994" w:type="dxa"/>
          </w:tcPr>
          <w:p w14:paraId="45080029"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847" w:type="dxa"/>
          </w:tcPr>
          <w:p w14:paraId="5EFB04F3"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r>
      <w:tr w:rsidR="00004A2B" w14:paraId="69382771" w14:textId="77777777">
        <w:trPr>
          <w:cantSplit/>
        </w:trPr>
        <w:tc>
          <w:tcPr>
            <w:tcW w:w="1231" w:type="dxa"/>
          </w:tcPr>
          <w:p w14:paraId="320FAF69"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S&amp;P 500</w:t>
            </w:r>
          </w:p>
        </w:tc>
        <w:tc>
          <w:tcPr>
            <w:tcW w:w="1788" w:type="dxa"/>
          </w:tcPr>
          <w:p w14:paraId="1EC9161B"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539" w:type="dxa"/>
          </w:tcPr>
          <w:p w14:paraId="2361BDD0"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994" w:type="dxa"/>
          </w:tcPr>
          <w:p w14:paraId="77BB8A48"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847" w:type="dxa"/>
          </w:tcPr>
          <w:p w14:paraId="70B4F56C"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r>
      <w:tr w:rsidR="00004A2B" w14:paraId="1A86F38F" w14:textId="77777777">
        <w:trPr>
          <w:cantSplit/>
        </w:trPr>
        <w:tc>
          <w:tcPr>
            <w:tcW w:w="1231" w:type="dxa"/>
          </w:tcPr>
          <w:p w14:paraId="2A4E19F4"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Nasdaq 100</w:t>
            </w:r>
          </w:p>
        </w:tc>
        <w:tc>
          <w:tcPr>
            <w:tcW w:w="1788" w:type="dxa"/>
          </w:tcPr>
          <w:p w14:paraId="114681CE"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à 10 % (-)</w:t>
            </w:r>
          </w:p>
        </w:tc>
        <w:tc>
          <w:tcPr>
            <w:tcW w:w="1539" w:type="dxa"/>
          </w:tcPr>
          <w:p w14:paraId="58EE7F58"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non</w:t>
            </w:r>
            <w:proofErr w:type="gramEnd"/>
            <w:r>
              <w:rPr>
                <w:rFonts w:ascii="Times New Roman" w:eastAsia="Times New Roman" w:hAnsi="Times New Roman" w:cs="Times New Roman"/>
                <w:sz w:val="20"/>
                <w:szCs w:val="20"/>
                <w:highlight w:val="white"/>
              </w:rPr>
              <w:t xml:space="preserve"> significatif</w:t>
            </w:r>
          </w:p>
        </w:tc>
        <w:tc>
          <w:tcPr>
            <w:tcW w:w="1994" w:type="dxa"/>
          </w:tcPr>
          <w:p w14:paraId="5098460F"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c>
          <w:tcPr>
            <w:tcW w:w="1847" w:type="dxa"/>
          </w:tcPr>
          <w:p w14:paraId="7CC48749"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coef</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significatif</w:t>
            </w:r>
            <w:proofErr w:type="gramEnd"/>
            <w:r>
              <w:rPr>
                <w:rFonts w:ascii="Times New Roman" w:eastAsia="Times New Roman" w:hAnsi="Times New Roman" w:cs="Times New Roman"/>
                <w:sz w:val="20"/>
                <w:szCs w:val="20"/>
                <w:highlight w:val="white"/>
              </w:rPr>
              <w:t xml:space="preserve"> (+)</w:t>
            </w:r>
          </w:p>
        </w:tc>
      </w:tr>
    </w:tbl>
    <w:p w14:paraId="3144AF5E" w14:textId="77777777" w:rsidR="00004A2B" w:rsidRDefault="00000000">
      <w:pPr>
        <w:spacing w:before="20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Les fenêtres roulantes de 84 mois montrent que ces effets ne sont pas constants. Le coefficient du taux BCE sur le CAC 40 est négatif et significatif dans 95 % des fenêtres se terminant entre 2007 et 2015 (−1,2 point en médiane), puis dans 5 % seulement de celles qui se terminent entre janvier 2016 et novembre 2020. Entre décembre 2020 et août 2022, il devient très négatif (de −3 à −46) et souvent significatif, mais le taux ne prend alors que deux à quatre valeurs dans la fenêtre, entre 0 et 0,25 % : ces estimations ne mesurent pas une sensibilité plus forte. Quand le taux recommence à varier, le coefficient est positif jusqu’en mars 2023, puis proche de zéro.</w:t>
      </w:r>
    </w:p>
    <w:p w14:paraId="3144AF5E" w14:textId="77777777" w:rsidR="00004A2B"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Aux États-Unis, le taux de la Fed n’est significatif que dans 28 % (S&amp;P 500) et 19 % (Nasdaq 100) des fenêtres jusqu’en 2015, et dans 10 % au plus ensuite. Ses valeurs très négatives, dans les fenêtres se terminant entre fin 2014 et début 2017, ont la même origine : le taux est resté à 0,125 % de 2009 à 2015. Le taux des Treasuries à 10 ans est positif et significatif dans la plupart des fenêtres jusqu’en 2021 (74 à 99 % pour le S&amp;P 500) avant de changer de signe en 2022-2024, et le coefficient de l’OAT est instable (positif jusqu’en 2015, négatif ensuite). Seul le VIX est significatif et négatif dans 100 % des fenêtres.</w:t>
      </w:r>
    </w:p>
    <w:tbl>
      <w:tblPr>
        <w:tblStyle w:val="a2"/>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4"/>
        <w:gridCol w:w="4166"/>
      </w:tblGrid>
      <w:tr w:rsidR="00004A2B" w14:paraId="03A021FE" w14:textId="77777777">
        <w:trPr>
          <w:cantSplit/>
          <w:trHeight w:val="300"/>
        </w:trPr>
        <w:tc>
          <w:tcPr>
            <w:tcW w:w="4234" w:type="dxa"/>
            <w:tcBorders>
              <w:top w:val="nil"/>
              <w:left w:val="nil"/>
              <w:bottom w:val="nil"/>
              <w:right w:val="nil"/>
            </w:tcBorders>
          </w:tcPr>
          <w:p w14:paraId="4B9BA25D"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La transmission n’est pas uniforme selon les secteurs et les actions. Le taux de la BCE est significativement négatif pour 11 des 13 séries (hors télécoms et Microsoft), avec l’effet le plus fort pour l’automobile (−2,2 points par point de taux) puis le luxe, la technologie, LVMH et Apple (−1,5 à −1,7).</w:t>
            </w:r>
          </w:p>
        </w:tc>
        <w:tc>
          <w:tcPr>
            <w:tcW w:w="4166" w:type="dxa"/>
            <w:tcBorders>
              <w:top w:val="nil"/>
              <w:left w:val="nil"/>
              <w:bottom w:val="nil"/>
              <w:right w:val="nil"/>
            </w:tcBorders>
          </w:tcPr>
          <w:p w14:paraId="107C178C"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La finance, l’automobile, la technologie, les télécoms et BNP Paribas ont les coefficients les plus élevés sur les deux taux longs : +0,12 à +0,17 pour les taux américains et −0,11 à −0,15 pour l’OAT. Le taux directeur de la Fed n’a un coefficient négatif pour aucune série française : l’influence américaine passe par les taux longs, le dollar et le VIX.</w:t>
            </w:r>
          </w:p>
        </w:tc>
      </w:tr>
    </w:tbl>
    <w:p w14:paraId="3144AF5E" w14:textId="77777777" w:rsidR="00004A2B" w:rsidRDefault="00000000">
      <w:pPr>
        <w:keepNext/>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Un niveau de taux étant connu à l’avance par les marchés, la politique monétaire est aussi mesurée par les surprises d’annonce : les chocs de Jarociński et Karadi (2020) séparent un choc de politique monétaire d’un choc d’information. Le tableau ci-dessous donne la variation du rendement mensuel (en %) pour un choc d’un écart-type (* : 10 %, ** : 5 %, *** : 1 %).</w:t>
      </w:r>
    </w:p>
    <w:tbl>
      <w:tblPr>
        <w:tblStyle w:val="a1"/>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2"/>
        <w:gridCol w:w="1788"/>
        <w:gridCol w:w="1539"/>
        <w:gridCol w:w="1994"/>
        <w:gridCol w:w="1847"/>
      </w:tblGrid>
      <w:tr w:rsidR="00004A2B" w14:paraId="7117B74F" w14:textId="77777777">
        <w:trPr>
          <w:cantSplit/>
        </w:trPr>
        <w:tc>
          <w:tcPr>
            <w:tcW w:w="1231" w:type="dxa"/>
            <w:shd w:val="clear" w:color="auto" w:fill="002E6D"/>
          </w:tcPr>
          <w:p w14:paraId="3308756D"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Indices</w:t>
            </w:r>
          </w:p>
        </w:tc>
        <w:tc>
          <w:tcPr>
            <w:tcW w:w="1788" w:type="dxa"/>
            <w:shd w:val="clear" w:color="auto" w:fill="002E6D"/>
          </w:tcPr>
          <w:p w14:paraId="668DACFD"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Politique BCE</w:t>
            </w:r>
          </w:p>
        </w:tc>
        <w:tc>
          <w:tcPr>
            <w:tcW w:w="1539" w:type="dxa"/>
            <w:shd w:val="clear" w:color="auto" w:fill="002E6D"/>
          </w:tcPr>
          <w:p w14:paraId="6432504E"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Information BCE</w:t>
            </w:r>
          </w:p>
        </w:tc>
        <w:tc>
          <w:tcPr>
            <w:tcW w:w="1994" w:type="dxa"/>
            <w:shd w:val="clear" w:color="auto" w:fill="002E6D"/>
          </w:tcPr>
          <w:p w14:paraId="793FBDD6"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Politique Fed</w:t>
            </w:r>
          </w:p>
        </w:tc>
        <w:tc>
          <w:tcPr>
            <w:tcW w:w="1847" w:type="dxa"/>
            <w:shd w:val="clear" w:color="auto" w:fill="002E6D"/>
          </w:tcPr>
          <w:p w14:paraId="1D62C476"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Information Fed</w:t>
            </w:r>
          </w:p>
        </w:tc>
      </w:tr>
      <w:tr w:rsidR="00004A2B" w14:paraId="1278FD53" w14:textId="77777777">
        <w:trPr>
          <w:cantSplit/>
        </w:trPr>
        <w:tc>
          <w:tcPr>
            <w:tcW w:w="1231" w:type="dxa"/>
          </w:tcPr>
          <w:p w14:paraId="35E046BD"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CAC 40</w:t>
            </w:r>
          </w:p>
        </w:tc>
        <w:tc>
          <w:tcPr>
            <w:tcW w:w="1788" w:type="dxa"/>
          </w:tcPr>
          <w:p w14:paraId="78069002"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−0,69 **</w:t>
            </w:r>
          </w:p>
        </w:tc>
        <w:tc>
          <w:tcPr>
            <w:tcW w:w="1539" w:type="dxa"/>
          </w:tcPr>
          <w:p w14:paraId="2ECF8447"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+1,09 ***</w:t>
            </w:r>
          </w:p>
        </w:tc>
        <w:tc>
          <w:tcPr>
            <w:tcW w:w="1994" w:type="dxa"/>
          </w:tcPr>
          <w:p w14:paraId="6A1272D4"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−0,53 **</w:t>
            </w:r>
          </w:p>
        </w:tc>
        <w:tc>
          <w:tcPr>
            <w:tcW w:w="1847" w:type="dxa"/>
          </w:tcPr>
          <w:p w14:paraId="60CC2374"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+0,60 **</w:t>
            </w:r>
          </w:p>
        </w:tc>
      </w:tr>
      <w:tr w:rsidR="00004A2B" w14:paraId="58A55675" w14:textId="77777777">
        <w:trPr>
          <w:cantSplit/>
        </w:trPr>
        <w:tc>
          <w:tcPr>
            <w:tcW w:w="1231" w:type="dxa"/>
          </w:tcPr>
          <w:p w14:paraId="469B0702"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S&amp;P 500</w:t>
            </w:r>
          </w:p>
        </w:tc>
        <w:tc>
          <w:tcPr>
            <w:tcW w:w="1788" w:type="dxa"/>
          </w:tcPr>
          <w:p w14:paraId="4468B7DC"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−0,40</w:t>
            </w:r>
          </w:p>
        </w:tc>
        <w:tc>
          <w:tcPr>
            <w:tcW w:w="1539" w:type="dxa"/>
          </w:tcPr>
          <w:p w14:paraId="00624E7D"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+0,61 **</w:t>
            </w:r>
          </w:p>
        </w:tc>
        <w:tc>
          <w:tcPr>
            <w:tcW w:w="1994" w:type="dxa"/>
          </w:tcPr>
          <w:p w14:paraId="5669C389"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−0,83 ***</w:t>
            </w:r>
          </w:p>
        </w:tc>
        <w:tc>
          <w:tcPr>
            <w:tcW w:w="1847" w:type="dxa"/>
          </w:tcPr>
          <w:p w14:paraId="327F4C78"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+0,50 *</w:t>
            </w:r>
          </w:p>
        </w:tc>
      </w:tr>
      <w:tr w:rsidR="00004A2B" w14:paraId="0DA2147C" w14:textId="77777777">
        <w:trPr>
          <w:cantSplit/>
        </w:trPr>
        <w:tc>
          <w:tcPr>
            <w:tcW w:w="1231" w:type="dxa"/>
          </w:tcPr>
          <w:p w14:paraId="59F2AF8D"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Nasdaq 100</w:t>
            </w:r>
          </w:p>
        </w:tc>
        <w:tc>
          <w:tcPr>
            <w:tcW w:w="1788" w:type="dxa"/>
          </w:tcPr>
          <w:p w14:paraId="4E45A763"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−0,22</w:t>
            </w:r>
          </w:p>
        </w:tc>
        <w:tc>
          <w:tcPr>
            <w:tcW w:w="1539" w:type="dxa"/>
          </w:tcPr>
          <w:p w14:paraId="613361C5"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+0,76 **</w:t>
            </w:r>
          </w:p>
        </w:tc>
        <w:tc>
          <w:tcPr>
            <w:tcW w:w="1994" w:type="dxa"/>
          </w:tcPr>
          <w:p w14:paraId="0B3AB67C"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−1,53 ***</w:t>
            </w:r>
          </w:p>
        </w:tc>
        <w:tc>
          <w:tcPr>
            <w:tcW w:w="1847" w:type="dxa"/>
          </w:tcPr>
          <w:p w14:paraId="66776672"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+0,55</w:t>
            </w:r>
          </w:p>
        </w:tc>
      </w:tr>
    </w:tbl>
    <w:p w14:paraId="1DF89032" w14:textId="77777777" w:rsidR="00004A2B" w:rsidRDefault="00000000">
      <w:pPr>
        <w:spacing w:before="0" w:after="0" w:line="240" w:lineRule="auto"/>
        <w:rPr>
          <w:rFonts w:ascii="Times New Roman" w:eastAsia="Times New Roman" w:hAnsi="Times New Roman" w:cs="Times New Roman"/>
          <w:b/>
          <w:bCs/>
          <w:color w:val="002E6D"/>
          <w:sz w:val="30"/>
          <w:szCs w:val="30"/>
        </w:rPr>
      </w:pPr>
    </w:p>
    <w:tbl>
      <w:tblPr>
        <w:tblStyle w:val="a2"/>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4"/>
        <w:gridCol w:w="4166"/>
      </w:tblGrid>
      <w:tr w:rsidR="00004A2B" w14:paraId="1CFD77D6" w14:textId="77777777">
        <w:trPr>
          <w:cantSplit/>
          <w:trHeight w:val="300"/>
        </w:trPr>
        <w:tc>
          <w:tcPr>
            <w:tcW w:w="4234" w:type="dxa"/>
            <w:tcBorders>
              <w:top w:val="nil"/>
              <w:left w:val="nil"/>
              <w:bottom w:val="nil"/>
              <w:right w:val="nil"/>
            </w:tcBorders>
          </w:tcPr>
          <w:p w14:paraId="63C09C03"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Chaque marché réagit d’abord à sa propre banque centrale : </w:t>
            </w:r>
            <w:proofErr w:type="gramStart"/>
            <w:r>
              <w:rPr>
                <w:rFonts w:ascii="Times New Roman" w:eastAsia="Times New Roman" w:hAnsi="Times New Roman" w:cs="Times New Roman"/>
              </w:rPr>
              <w:t>un resserrement surprise</w:t>
            </w:r>
            <w:proofErr w:type="gramEnd"/>
            <w:r>
              <w:rPr>
                <w:rFonts w:ascii="Times New Roman" w:eastAsia="Times New Roman" w:hAnsi="Times New Roman" w:cs="Times New Roman"/>
              </w:rPr>
              <w:t xml:space="preserve"> de la BCE fait baisser le CAC 40 de 0,7 % ; </w:t>
            </w:r>
            <w:proofErr w:type="gramStart"/>
            <w:r>
              <w:rPr>
                <w:rFonts w:ascii="Times New Roman" w:eastAsia="Times New Roman" w:hAnsi="Times New Roman" w:cs="Times New Roman"/>
              </w:rPr>
              <w:t>un resserrement surprise</w:t>
            </w:r>
            <w:proofErr w:type="gramEnd"/>
            <w:r>
              <w:rPr>
                <w:rFonts w:ascii="Times New Roman" w:eastAsia="Times New Roman" w:hAnsi="Times New Roman" w:cs="Times New Roman"/>
              </w:rPr>
              <w:t xml:space="preserve"> de la Fed fait baisser le S&amp;P 500 de 0,8 % et le Nasdaq 100 de 1,5 %.</w:t>
            </w:r>
          </w:p>
          <w:p w14:paraId="6F2E14BA" w14:textId="77777777" w:rsidR="00004A2B" w:rsidRDefault="00004A2B">
            <w:pPr>
              <w:rPr>
                <w:rFonts w:ascii="Times New Roman" w:eastAsia="Times New Roman" w:hAnsi="Times New Roman" w:cs="Times New Roman"/>
              </w:rPr>
            </w:pPr>
          </w:p>
          <w:p w14:paraId="55DE0427"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La transmission est asymétrique. Le choc de la Fed pèse aussi sur le CAC 40 (−0,5 %), alors que celui de la BCE n’a pas d’effet significatif sur les indices américains, ce qui est cohérent avec le rôle central du dollar dans la finance mondiale. Le Nasdaq 100, dominé par les valeurs de croissance, réagit près de deux fois plus que le S&amp;P 500.</w:t>
            </w:r>
          </w:p>
        </w:tc>
        <w:tc>
          <w:tcPr>
            <w:tcW w:w="4166" w:type="dxa"/>
            <w:tcBorders>
              <w:top w:val="nil"/>
              <w:left w:val="nil"/>
              <w:bottom w:val="nil"/>
              <w:right w:val="nil"/>
            </w:tcBorders>
          </w:tcPr>
          <w:p w14:paraId="41522B41"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Les chocs d’information font monter les actions (+0,5 % à +1,1 %) : une banque centrale qui relève ses taux parce que la conjoncture est meilleure rassure les marchés. Les deux effets se compensent en partie, ce qui brouille l’effet du niveau des taux.</w:t>
            </w:r>
          </w:p>
          <w:p w14:paraId="08522359" w14:textId="77777777" w:rsidR="00004A2B" w:rsidRDefault="00004A2B">
            <w:pPr>
              <w:rPr>
                <w:rFonts w:ascii="Times New Roman" w:eastAsia="Times New Roman" w:hAnsi="Times New Roman" w:cs="Times New Roman"/>
              </w:rPr>
            </w:pPr>
          </w:p>
          <w:p w14:paraId="5222D2CA"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Par secteur, un choc de la BCE fait baisser l’énergie (−1,2 %), l’automobile (−1,3 %), l’industrie (−0,9 %), la santé (−0,7 %), la consommation (−0,5 %) et BNP Paribas (−1,6 %) ; un choc de la Fed fait baisser la technologie (−1,7 %), le luxe (−1,0 %), LVMH (−1,2 %), les télécoms (−0,8 %), Microsoft (−1,4 %) et Apple (−1,6 %).</w:t>
            </w:r>
          </w:p>
        </w:tc>
      </w:tr>
    </w:tbl>
    <w:p w14:paraId="42EB0829" w14:textId="77777777" w:rsidR="00004A2B" w:rsidRDefault="00000000">
      <w:pPr>
        <w:pStyle w:val="Titre"/>
        <w:spacing w:before="240" w:after="240" w:line="240" w:lineRule="auto"/>
        <w:ind w:firstLine="720"/>
        <w:rPr>
          <w:rFonts w:ascii="Times New Roman" w:eastAsia="Times New Roman" w:hAnsi="Times New Roman" w:cs="Times New Roman"/>
          <w:b/>
          <w:bCs/>
          <w:color w:val="002E6D"/>
          <w:sz w:val="30"/>
          <w:szCs w:val="30"/>
        </w:rPr>
      </w:pPr>
      <w:r>
        <w:rPr>
          <w:rFonts w:ascii="Times New Roman" w:eastAsia="Times New Roman" w:hAnsi="Times New Roman" w:cs="Times New Roman"/>
          <w:bCs/>
          <w:color w:val="002E6D"/>
          <w:sz w:val="30"/>
          <w:szCs w:val="30"/>
        </w:rPr>
        <w:t>V. Limites des MCO</w:t>
      </w:r>
    </w:p>
    <w:p w14:paraId="4DA4E84E" w14:textId="77777777" w:rsidR="00004A2B" w:rsidRDefault="00000000">
      <w:pPr>
        <w:keepNext/>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Ces limites font partie des résultats. Tests de validité du modèle complet, au seuil de 10 % (p-value entre parenthèses ; chaque colonne donne l’hypothèse testée) :</w:t>
      </w:r>
    </w:p>
    <w:tbl>
      <w:tblPr>
        <w:tblStyle w:val="a1"/>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2"/>
        <w:gridCol w:w="1788"/>
        <w:gridCol w:w="1539"/>
        <w:gridCol w:w="1994"/>
        <w:gridCol w:w="1847"/>
      </w:tblGrid>
      <w:tr w:rsidR="00004A2B" w14:paraId="04C613DA" w14:textId="77777777">
        <w:trPr>
          <w:cantSplit/>
        </w:trPr>
        <w:tc>
          <w:tcPr>
            <w:tcW w:w="1231" w:type="dxa"/>
            <w:shd w:val="clear" w:color="auto" w:fill="002E6D"/>
          </w:tcPr>
          <w:p w14:paraId="4A70E941"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Indices</w:t>
            </w:r>
          </w:p>
        </w:tc>
        <w:tc>
          <w:tcPr>
            <w:tcW w:w="1788" w:type="dxa"/>
            <w:shd w:val="clear" w:color="auto" w:fill="002E6D"/>
          </w:tcPr>
          <w:p w14:paraId="68B1322F"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Normalité (</w:t>
            </w:r>
            <w:proofErr w:type="spellStart"/>
            <w:r>
              <w:rPr>
                <w:rFonts w:ascii="Times New Roman" w:eastAsia="Times New Roman" w:hAnsi="Times New Roman" w:cs="Times New Roman"/>
                <w:bCs/>
                <w:color w:val="FFFFFF"/>
                <w:sz w:val="20"/>
                <w:szCs w:val="20"/>
                <w:shd w:val="clear" w:color="auto" w:fill="002E6D"/>
              </w:rPr>
              <w:t>Jarque</w:t>
            </w:r>
            <w:proofErr w:type="spellEnd"/>
            <w:r>
              <w:rPr>
                <w:rFonts w:ascii="Times New Roman" w:eastAsia="Times New Roman" w:hAnsi="Times New Roman" w:cs="Times New Roman"/>
                <w:bCs/>
                <w:color w:val="FFFFFF"/>
                <w:sz w:val="20"/>
                <w:szCs w:val="20"/>
                <w:shd w:val="clear" w:color="auto" w:fill="002E6D"/>
              </w:rPr>
              <w:t>-Bera)</w:t>
            </w:r>
          </w:p>
        </w:tc>
        <w:tc>
          <w:tcPr>
            <w:tcW w:w="1539" w:type="dxa"/>
            <w:shd w:val="clear" w:color="auto" w:fill="002E6D"/>
          </w:tcPr>
          <w:p w14:paraId="70DF3187"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Forme fonctionnelle (RESET)</w:t>
            </w:r>
          </w:p>
        </w:tc>
        <w:tc>
          <w:tcPr>
            <w:tcW w:w="1994" w:type="dxa"/>
            <w:shd w:val="clear" w:color="auto" w:fill="002E6D"/>
          </w:tcPr>
          <w:p w14:paraId="3D7BFCEE"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Homoscédasticité (</w:t>
            </w:r>
            <w:proofErr w:type="spellStart"/>
            <w:r>
              <w:rPr>
                <w:rFonts w:ascii="Times New Roman" w:eastAsia="Times New Roman" w:hAnsi="Times New Roman" w:cs="Times New Roman"/>
                <w:bCs/>
                <w:color w:val="FFFFFF"/>
                <w:sz w:val="20"/>
                <w:szCs w:val="20"/>
                <w:shd w:val="clear" w:color="auto" w:fill="002E6D"/>
              </w:rPr>
              <w:t>Breusch</w:t>
            </w:r>
            <w:proofErr w:type="spellEnd"/>
            <w:r>
              <w:rPr>
                <w:rFonts w:ascii="Times New Roman" w:eastAsia="Times New Roman" w:hAnsi="Times New Roman" w:cs="Times New Roman"/>
                <w:bCs/>
                <w:color w:val="FFFFFF"/>
                <w:sz w:val="20"/>
                <w:szCs w:val="20"/>
                <w:shd w:val="clear" w:color="auto" w:fill="002E6D"/>
              </w:rPr>
              <w:t>-Pagan)</w:t>
            </w:r>
          </w:p>
        </w:tc>
        <w:tc>
          <w:tcPr>
            <w:tcW w:w="1847" w:type="dxa"/>
            <w:shd w:val="clear" w:color="auto" w:fill="002E6D"/>
          </w:tcPr>
          <w:p w14:paraId="58A31E16" w14:textId="77777777" w:rsidR="00004A2B" w:rsidRDefault="00000000">
            <w:pPr>
              <w:keepNext/>
              <w:widowControl w:val="0"/>
              <w:spacing w:line="240" w:lineRule="auto"/>
              <w:jc w:val="center"/>
              <w:rPr>
                <w:rFonts w:ascii="Times New Roman" w:eastAsia="Times New Roman" w:hAnsi="Times New Roman" w:cs="Times New Roman"/>
                <w:b/>
                <w:bCs/>
                <w:color w:val="FFFFFF"/>
                <w:sz w:val="20"/>
                <w:szCs w:val="20"/>
                <w:shd w:val="clear" w:color="auto" w:fill="002E6D"/>
              </w:rPr>
            </w:pPr>
            <w:r>
              <w:rPr>
                <w:rFonts w:ascii="Times New Roman" w:eastAsia="Times New Roman" w:hAnsi="Times New Roman" w:cs="Times New Roman"/>
                <w:bCs/>
                <w:color w:val="FFFFFF"/>
                <w:sz w:val="20"/>
                <w:szCs w:val="20"/>
                <w:shd w:val="clear" w:color="auto" w:fill="002E6D"/>
              </w:rPr>
              <w:t xml:space="preserve">Absence d’autocorrélation ; absence d’effets ARCH</w:t>
            </w:r>
          </w:p>
        </w:tc>
      </w:tr>
      <w:tr w:rsidR="00004A2B" w14:paraId="601C9092" w14:textId="77777777">
        <w:trPr>
          <w:cantSplit/>
        </w:trPr>
        <w:tc>
          <w:tcPr>
            <w:tcW w:w="1231" w:type="dxa"/>
          </w:tcPr>
          <w:p w14:paraId="3DF44E37"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CAC 40</w:t>
            </w:r>
          </w:p>
        </w:tc>
        <w:tc>
          <w:tcPr>
            <w:tcW w:w="1788" w:type="dxa"/>
          </w:tcPr>
          <w:p w14:paraId="60695A69"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rejetée (0,09)</w:t>
            </w:r>
            <w:proofErr w:type="gramEnd"/>
          </w:p>
        </w:tc>
        <w:tc>
          <w:tcPr>
            <w:tcW w:w="1539" w:type="dxa"/>
          </w:tcPr>
          <w:p w14:paraId="44BE6475"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non rejetée (0,18)</w:t>
            </w:r>
            <w:proofErr w:type="gramEnd"/>
          </w:p>
        </w:tc>
        <w:tc>
          <w:tcPr>
            <w:tcW w:w="1994" w:type="dxa"/>
          </w:tcPr>
          <w:p w14:paraId="5720AF13"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rejetée (0,055)</w:t>
            </w:r>
            <w:proofErr w:type="gramEnd"/>
          </w:p>
        </w:tc>
        <w:tc>
          <w:tcPr>
            <w:tcW w:w="1847" w:type="dxa"/>
          </w:tcPr>
          <w:p w14:paraId="1BE94C30"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rejetée (0,02) ; rejetée (0,001)</w:t>
            </w:r>
            <w:proofErr w:type="gramEnd"/>
          </w:p>
        </w:tc>
      </w:tr>
      <w:tr w:rsidR="00004A2B" w14:paraId="24DC9F75" w14:textId="77777777">
        <w:trPr>
          <w:cantSplit/>
        </w:trPr>
        <w:tc>
          <w:tcPr>
            <w:tcW w:w="1231" w:type="dxa"/>
          </w:tcPr>
          <w:p w14:paraId="42E327A7"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S&amp;P 500</w:t>
            </w:r>
          </w:p>
        </w:tc>
        <w:tc>
          <w:tcPr>
            <w:tcW w:w="1788" w:type="dxa"/>
          </w:tcPr>
          <w:p w14:paraId="1F74F9C0"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rejetée</w:t>
            </w:r>
            <w:proofErr w:type="gramEnd"/>
            <w:r>
              <w:rPr>
                <w:rFonts w:ascii="Times New Roman" w:eastAsia="Times New Roman" w:hAnsi="Times New Roman" w:cs="Times New Roman"/>
                <w:sz w:val="20"/>
                <w:szCs w:val="20"/>
                <w:highlight w:val="white"/>
              </w:rPr>
              <w:t xml:space="preserve"> (&lt; 0,001)</w:t>
            </w:r>
          </w:p>
        </w:tc>
        <w:tc>
          <w:tcPr>
            <w:tcW w:w="1539" w:type="dxa"/>
          </w:tcPr>
          <w:p w14:paraId="659E0A8C"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non rejetée (0,62)</w:t>
            </w:r>
            <w:proofErr w:type="gramEnd"/>
          </w:p>
        </w:tc>
        <w:tc>
          <w:tcPr>
            <w:tcW w:w="1994" w:type="dxa"/>
          </w:tcPr>
          <w:p w14:paraId="7B0787DB"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rejetée</w:t>
            </w:r>
            <w:proofErr w:type="gramEnd"/>
            <w:r>
              <w:rPr>
                <w:rFonts w:ascii="Times New Roman" w:eastAsia="Times New Roman" w:hAnsi="Times New Roman" w:cs="Times New Roman"/>
                <w:sz w:val="20"/>
                <w:szCs w:val="20"/>
                <w:highlight w:val="white"/>
              </w:rPr>
              <w:t xml:space="preserve"> (&lt; 0,001)</w:t>
            </w:r>
          </w:p>
        </w:tc>
        <w:tc>
          <w:tcPr>
            <w:tcW w:w="1847" w:type="dxa"/>
          </w:tcPr>
          <w:p w14:paraId="6AF3C515" w14:textId="77777777" w:rsidR="00004A2B" w:rsidRDefault="00000000">
            <w:pPr>
              <w:keepNext/>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non rejetée (0,11) ; rejetée (&lt; 0,001)</w:t>
            </w:r>
          </w:p>
        </w:tc>
      </w:tr>
      <w:tr w:rsidR="00004A2B" w14:paraId="19B305C4" w14:textId="77777777">
        <w:trPr>
          <w:cantSplit/>
        </w:trPr>
        <w:tc>
          <w:tcPr>
            <w:tcW w:w="1231" w:type="dxa"/>
          </w:tcPr>
          <w:p w14:paraId="3EDE037A"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Nasdaq 100</w:t>
            </w:r>
          </w:p>
        </w:tc>
        <w:tc>
          <w:tcPr>
            <w:tcW w:w="1788" w:type="dxa"/>
          </w:tcPr>
          <w:p w14:paraId="66382D18"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rejetée</w:t>
            </w:r>
            <w:proofErr w:type="gramEnd"/>
            <w:r>
              <w:rPr>
                <w:rFonts w:ascii="Times New Roman" w:eastAsia="Times New Roman" w:hAnsi="Times New Roman" w:cs="Times New Roman"/>
                <w:sz w:val="20"/>
                <w:szCs w:val="20"/>
                <w:highlight w:val="white"/>
              </w:rPr>
              <w:t xml:space="preserve"> (&lt; 0,001)</w:t>
            </w:r>
          </w:p>
        </w:tc>
        <w:tc>
          <w:tcPr>
            <w:tcW w:w="1539" w:type="dxa"/>
          </w:tcPr>
          <w:p w14:paraId="1426E064"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 xml:space="preserve">rejetée (0,036)</w:t>
            </w:r>
            <w:proofErr w:type="gramEnd"/>
          </w:p>
        </w:tc>
        <w:tc>
          <w:tcPr>
            <w:tcW w:w="1994" w:type="dxa"/>
          </w:tcPr>
          <w:p w14:paraId="327B1AAB" w14:textId="77777777" w:rsidR="00004A2B" w:rsidRDefault="00000000">
            <w:pPr>
              <w:widowControl w:val="0"/>
              <w:spacing w:line="240" w:lineRule="auto"/>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rejetée</w:t>
            </w:r>
            <w:proofErr w:type="gramEnd"/>
            <w:r>
              <w:rPr>
                <w:rFonts w:ascii="Times New Roman" w:eastAsia="Times New Roman" w:hAnsi="Times New Roman" w:cs="Times New Roman"/>
                <w:sz w:val="20"/>
                <w:szCs w:val="20"/>
                <w:highlight w:val="white"/>
              </w:rPr>
              <w:t xml:space="preserve"> (&lt; 0,001)</w:t>
            </w:r>
          </w:p>
        </w:tc>
        <w:tc>
          <w:tcPr>
            <w:tcW w:w="1847" w:type="dxa"/>
          </w:tcPr>
          <w:p w14:paraId="37BAF0C2" w14:textId="77777777" w:rsidR="00004A2B"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non rejetée (0,32) ; rejetée (&lt; 0,001)</w:t>
            </w:r>
          </w:p>
        </w:tc>
      </w:tr>
    </w:tbl>
    <w:p w14:paraId="03F0E807" w14:textId="77777777" w:rsidR="00004A2B" w:rsidRDefault="00000000">
      <w:pPr>
        <w:spacing w:before="0" w:after="0" w:line="240" w:lineRule="auto"/>
        <w:rPr>
          <w:rFonts w:ascii="Times New Roman" w:eastAsia="Times New Roman" w:hAnsi="Times New Roman" w:cs="Times New Roman"/>
          <w:b/>
          <w:bCs/>
          <w:color w:val="002E6D"/>
          <w:sz w:val="30"/>
          <w:szCs w:val="30"/>
        </w:rPr>
      </w:pPr>
    </w:p>
    <w:tbl>
      <w:tblPr>
        <w:tblStyle w:val="a2"/>
        <w:tblW w:w="840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4"/>
        <w:gridCol w:w="4166"/>
      </w:tblGrid>
      <w:tr w:rsidR="00004A2B" w14:paraId="3982BA38" w14:textId="77777777">
        <w:trPr>
          <w:cantSplit/>
          <w:trHeight w:val="300"/>
        </w:trPr>
        <w:tc>
          <w:tcPr>
            <w:tcW w:w="4234" w:type="dxa"/>
            <w:tcBorders>
              <w:top w:val="nil"/>
              <w:left w:val="nil"/>
              <w:bottom w:val="nil"/>
              <w:right w:val="nil"/>
            </w:tcBorders>
          </w:tcPr>
          <w:p w14:paraId="4C021462"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Au seuil de 10 %, les résidus ne sont normaux pour aucun des trois indices (queues épaisses), leur variance n’est pas constante, des effets ARCH (regroupement de la volatilité) apparaissent partout, une autocorrélation subsiste pour le CAC 40 et la forme fonctionnelle est rejetée pour le Nasdaq 100. La </w:t>
            </w:r>
            <w:proofErr w:type="spellStart"/>
            <w:r>
              <w:rPr>
                <w:rFonts w:ascii="Times New Roman" w:eastAsia="Times New Roman" w:hAnsi="Times New Roman" w:cs="Times New Roman"/>
              </w:rPr>
              <w:t>multicolinéarité</w:t>
            </w:r>
            <w:proofErr w:type="spellEnd"/>
            <w:r>
              <w:rPr>
                <w:rFonts w:ascii="Times New Roman" w:eastAsia="Times New Roman" w:hAnsi="Times New Roman" w:cs="Times New Roman"/>
              </w:rPr>
              <w:t xml:space="preserve"> est faible (VIF maximal de 4,2) et aucune observation n’est influente (distance de Cook maximale de 0,15).</w:t>
            </w:r>
          </w:p>
          <w:p w14:paraId="06D4C427" w14:textId="77777777" w:rsidR="00004A2B" w:rsidRDefault="00004A2B">
            <w:pPr>
              <w:rPr>
                <w:rFonts w:ascii="Times New Roman" w:eastAsia="Times New Roman" w:hAnsi="Times New Roman" w:cs="Times New Roman"/>
              </w:rPr>
            </w:pPr>
          </w:p>
          <w:p w14:paraId="2B75C9C3"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Les variables laissées en niveau, très persistantes, posent aussi problème : le test ADF rejette la racine unitaire mais le test KPSS rejette la stationnarité (à 10 %) pour les taux de la BCE et de la Fed et pour le taux de chômage américain.</w:t>
            </w:r>
            <w:proofErr w:type="gramStart"/>
            <w:proofErr w:type="gramEnd"/>
          </w:p>
        </w:tc>
        <w:tc>
          <w:tcPr>
            <w:tcW w:w="4166" w:type="dxa"/>
            <w:tcBorders>
              <w:top w:val="nil"/>
              <w:left w:val="nil"/>
              <w:bottom w:val="nil"/>
              <w:right w:val="nil"/>
            </w:tcBorders>
          </w:tcPr>
          <w:p w14:paraId="60C9FD27"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 xml:space="preserve">Conséquences. L’hétéroscédasticité, l’autocorrélation et la non-normalité laissent les estimateurs MCO convergents, mais les écarts-types classiques ne sont plus fiables : les résultats sont donc présentés avec des erreurs robustes (HC3). Le résultat principal résiste : le taux de la BCE reste significatif à 5 % pour le CAC 40 et le S&amp;P 500 avec des erreurs HC3 ou HAC, et autour de 5 % pour le Nasdaq 100 (p = 0,05 en HC3, 0,03 en HAC). Pour le Nasdaq 100, le rejet du test RESET indique que la forme linéaire est une approximation.</w:t>
            </w:r>
          </w:p>
          <w:p w14:paraId="4001ADAA" w14:textId="77777777" w:rsidR="00004A2B" w:rsidRDefault="00004A2B">
            <w:pPr>
              <w:rPr>
                <w:rFonts w:ascii="Times New Roman" w:eastAsia="Times New Roman" w:hAnsi="Times New Roman" w:cs="Times New Roman"/>
              </w:rPr>
            </w:pPr>
          </w:p>
          <w:p w14:paraId="1B702D33" w14:textId="77777777" w:rsidR="00004A2B" w:rsidRDefault="00000000">
            <w:pPr>
              <w:rPr>
                <w:rFonts w:ascii="Times New Roman" w:eastAsia="Times New Roman" w:hAnsi="Times New Roman" w:cs="Times New Roman"/>
              </w:rPr>
            </w:pPr>
            <w:r>
              <w:rPr>
                <w:rFonts w:ascii="Times New Roman" w:eastAsia="Times New Roman" w:hAnsi="Times New Roman" w:cs="Times New Roman"/>
              </w:rPr>
              <w:t>Interprétation. Les MCO mesurent des corrélations conditionnelles, pas des effets causaux : le taux directeur réagit lui-même à la conjoncture et aux marchés, et le VIX ou la variation des taux longs, observés le même mois, réagissent aux mêmes nouvelles. Les coefficients moyens sur 25 ans masquent des régimes différents, et les données mensuelles diluent la réaction à l’annonce.</w:t>
            </w:r>
          </w:p>
        </w:tc>
      </w:tr>
    </w:tbl>
    <w:p w14:paraId="672ED520" w14:textId="77777777" w:rsidR="00004A2B" w:rsidRDefault="00004A2B">
      <w:pPr>
        <w:spacing w:before="0" w:after="0" w:line="240" w:lineRule="auto"/>
        <w:rPr>
          <w:rFonts w:ascii="Times New Roman" w:eastAsia="Times New Roman" w:hAnsi="Times New Roman" w:cs="Times New Roman"/>
          <w:b/>
          <w:bCs/>
          <w:color w:val="002E6D"/>
          <w:sz w:val="30"/>
          <w:szCs w:val="30"/>
        </w:rPr>
      </w:pPr>
    </w:p>
    <w:p w14:paraId="0AB32437" w14:textId="77777777" w:rsidR="00004A2B" w:rsidRDefault="00000000">
      <w:pPr>
        <w:pStyle w:val="Titre"/>
        <w:spacing w:before="240" w:after="240" w:line="240" w:lineRule="auto"/>
        <w:ind w:firstLine="720"/>
        <w:rPr>
          <w:rFonts w:ascii="Times New Roman" w:eastAsia="Times New Roman" w:hAnsi="Times New Roman" w:cs="Times New Roman"/>
          <w:b/>
          <w:bCs/>
          <w:color w:val="002E6D"/>
          <w:sz w:val="30"/>
          <w:szCs w:val="30"/>
        </w:rPr>
      </w:pPr>
      <w:bookmarkStart w:id="5" w:name="_plw0put0oobz" w:colFirst="0" w:colLast="0"/>
      <w:bookmarkEnd w:id="5"/>
      <w:r>
        <w:rPr>
          <w:rFonts w:ascii="Times New Roman" w:eastAsia="Times New Roman" w:hAnsi="Times New Roman" w:cs="Times New Roman"/>
          <w:bCs/>
          <w:color w:val="002E6D"/>
          <w:sz w:val="30"/>
          <w:szCs w:val="30"/>
        </w:rPr>
        <w:t>VI. Conclusion</w:t>
      </w:r>
    </w:p>
    <w:p w14:paraId="15810190" w14:textId="77777777" w:rsidR="00004A2B"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highlight w:val="white"/>
        </w:rPr>
        <w:t>L’analyse montre que la politique monétaire influence les marchés actions français et américains, mais selon des mécanismes et une intensité qui varient selon les instruments, les périodes et les secteurs. Le taux directeur de la BCE pèse sur les trois indices et sur la plupart des secteurs, les taux longs agissent en sens opposé en Europe et aux États-Unis, et le VIX est le déterminant le plus stable. L’effet des taux directeurs n’est pas constant dans le temps. Les surprises d’annonce montrent que chaque marché réagit d’abord à sa propre banque centrale et que la Fed se transmet à l’Europe mais pas l’inverse. Ces résultats reposent sur des MCO dont plusieurs hypothèses sont rejetées et qui ne permettent pas d’établir de causalité : ils se lisent comme des corrélations conditionnelles robustes.</w:t>
      </w:r>
    </w:p>
    <w:p w14:paraId="1125B1E7" w14:textId="77777777" w:rsidR="00004A2B" w:rsidRDefault="00000000">
      <w:pPr>
        <w:spacing w:before="240" w:after="240" w:line="240" w:lineRule="auto"/>
        <w:ind w:left="720"/>
        <w:rPr>
          <w:rFonts w:ascii="Times New Roman" w:eastAsia="Times New Roman" w:hAnsi="Times New Roman" w:cs="Times New Roman"/>
          <w:b/>
          <w:bCs/>
          <w:color w:val="002E6D"/>
          <w:sz w:val="30"/>
          <w:szCs w:val="30"/>
        </w:rPr>
      </w:pPr>
      <w:r>
        <w:rPr>
          <w:rFonts w:ascii="Times New Roman" w:eastAsia="Times New Roman" w:hAnsi="Times New Roman" w:cs="Times New Roman"/>
          <w:bCs/>
          <w:color w:val="002E6D"/>
          <w:sz w:val="30"/>
          <w:szCs w:val="30"/>
        </w:rPr>
        <w:t>VII. Bibliographie</w:t>
      </w:r>
    </w:p>
    <w:p w14:paraId="6E26B46C" w14:textId="77777777" w:rsidR="00004A2B" w:rsidRPr="00D9011F" w:rsidRDefault="00000000">
      <w:pPr>
        <w:spacing w:before="240" w:after="240" w:line="240" w:lineRule="auto"/>
        <w:ind w:left="720"/>
        <w:rPr>
          <w:rFonts w:ascii="Roboto" w:eastAsia="Roboto" w:hAnsi="Roboto" w:cs="Roboto"/>
          <w:b/>
          <w:bCs/>
          <w:sz w:val="42"/>
          <w:szCs w:val="42"/>
          <w:highlight w:val="white"/>
          <w:lang w:val="en-US"/>
        </w:rPr>
      </w:pPr>
      <w:r>
        <w:rPr>
          <w:rFonts w:ascii="Times New Roman" w:eastAsia="Times New Roman" w:hAnsi="Times New Roman" w:cs="Times New Roman"/>
          <w:sz w:val="24"/>
          <w:szCs w:val="24"/>
        </w:rPr>
        <w:t xml:space="preserve">Altavilla C., </w:t>
      </w:r>
      <w:proofErr w:type="spellStart"/>
      <w:r>
        <w:rPr>
          <w:rFonts w:ascii="Times New Roman" w:eastAsia="Times New Roman" w:hAnsi="Times New Roman" w:cs="Times New Roman"/>
          <w:sz w:val="24"/>
          <w:szCs w:val="24"/>
        </w:rPr>
        <w:t>Brugnolini</w:t>
      </w:r>
      <w:proofErr w:type="spellEnd"/>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Gürkaynak</w:t>
      </w:r>
      <w:proofErr w:type="spellEnd"/>
      <w:r>
        <w:rPr>
          <w:rFonts w:ascii="Times New Roman" w:eastAsia="Times New Roman" w:hAnsi="Times New Roman" w:cs="Times New Roman"/>
          <w:sz w:val="24"/>
          <w:szCs w:val="24"/>
        </w:rPr>
        <w:t xml:space="preserve"> R., Motto R. et Ragusa G. (2019). </w:t>
      </w:r>
      <w:r w:rsidRPr="00D9011F">
        <w:rPr>
          <w:rFonts w:ascii="Times New Roman" w:eastAsia="Times New Roman" w:hAnsi="Times New Roman" w:cs="Times New Roman"/>
          <w:sz w:val="24"/>
          <w:szCs w:val="24"/>
          <w:lang w:val="en-US"/>
        </w:rPr>
        <w:t xml:space="preserve">Measuring euro area monetary policy. </w:t>
      </w:r>
      <w:r w:rsidRPr="00D9011F">
        <w:rPr>
          <w:rFonts w:ascii="Times New Roman" w:eastAsia="Times New Roman" w:hAnsi="Times New Roman" w:cs="Times New Roman"/>
          <w:i/>
          <w:sz w:val="24"/>
          <w:szCs w:val="24"/>
          <w:lang w:val="en-US"/>
        </w:rPr>
        <w:t>Journal of Monetary Economics,</w:t>
      </w:r>
      <w:r w:rsidRPr="00D9011F">
        <w:rPr>
          <w:rFonts w:ascii="Times New Roman" w:eastAsia="Times New Roman" w:hAnsi="Times New Roman" w:cs="Times New Roman"/>
          <w:sz w:val="24"/>
          <w:szCs w:val="24"/>
          <w:lang w:val="en-US"/>
        </w:rPr>
        <w:t xml:space="preserve"> vol. 108, pp. 162-179.</w:t>
      </w:r>
    </w:p>
    <w:p w14:paraId="5DE47457" w14:textId="77777777" w:rsidR="00004A2B" w:rsidRPr="00D9011F" w:rsidRDefault="00000000">
      <w:pPr>
        <w:spacing w:before="240" w:after="240" w:line="240" w:lineRule="auto"/>
        <w:ind w:left="720"/>
        <w:rPr>
          <w:rFonts w:ascii="Roboto" w:eastAsia="Roboto" w:hAnsi="Roboto" w:cs="Roboto"/>
          <w:b/>
          <w:bCs/>
          <w:sz w:val="42"/>
          <w:szCs w:val="42"/>
          <w:highlight w:val="white"/>
          <w:lang w:val="en-US"/>
        </w:rPr>
      </w:pPr>
      <w:r>
        <w:rPr>
          <w:rFonts w:ascii="Times New Roman" w:eastAsia="Times New Roman" w:hAnsi="Times New Roman" w:cs="Times New Roman"/>
          <w:sz w:val="24"/>
          <w:szCs w:val="24"/>
        </w:rPr>
        <w:t xml:space="preserve">Bernanke B. S. et Kuttner K. N. (2005). </w:t>
      </w:r>
      <w:r w:rsidRPr="00D9011F">
        <w:rPr>
          <w:rFonts w:ascii="Times New Roman" w:eastAsia="Times New Roman" w:hAnsi="Times New Roman" w:cs="Times New Roman"/>
          <w:sz w:val="24"/>
          <w:szCs w:val="24"/>
          <w:lang w:val="en-US"/>
        </w:rPr>
        <w:t xml:space="preserve">What Explains the Stock Market’s Reaction to Federal Reserve </w:t>
      </w:r>
      <w:proofErr w:type="gramStart"/>
      <w:r w:rsidRPr="00D9011F">
        <w:rPr>
          <w:rFonts w:ascii="Times New Roman" w:eastAsia="Times New Roman" w:hAnsi="Times New Roman" w:cs="Times New Roman"/>
          <w:sz w:val="24"/>
          <w:szCs w:val="24"/>
          <w:lang w:val="en-US"/>
        </w:rPr>
        <w:t>Policy ?</w:t>
      </w:r>
      <w:proofErr w:type="gramEnd"/>
      <w:r w:rsidRPr="00D9011F">
        <w:rPr>
          <w:rFonts w:ascii="Times New Roman" w:eastAsia="Times New Roman" w:hAnsi="Times New Roman" w:cs="Times New Roman"/>
          <w:sz w:val="24"/>
          <w:szCs w:val="24"/>
          <w:lang w:val="en-US"/>
        </w:rPr>
        <w:t xml:space="preserve"> </w:t>
      </w:r>
      <w:r w:rsidRPr="00D9011F">
        <w:rPr>
          <w:rFonts w:ascii="Times New Roman" w:eastAsia="Times New Roman" w:hAnsi="Times New Roman" w:cs="Times New Roman"/>
          <w:i/>
          <w:sz w:val="24"/>
          <w:szCs w:val="24"/>
          <w:lang w:val="en-US"/>
        </w:rPr>
        <w:t>The Journal of Finance,</w:t>
      </w:r>
      <w:r w:rsidRPr="00D9011F">
        <w:rPr>
          <w:rFonts w:ascii="Times New Roman" w:eastAsia="Times New Roman" w:hAnsi="Times New Roman" w:cs="Times New Roman"/>
          <w:sz w:val="24"/>
          <w:szCs w:val="24"/>
          <w:lang w:val="en-US"/>
        </w:rPr>
        <w:t xml:space="preserve"> vol. 60, n°3, pp. 1221-1257.</w:t>
      </w:r>
    </w:p>
    <w:p w14:paraId="20501708" w14:textId="77777777" w:rsidR="00004A2B" w:rsidRDefault="00000000">
      <w:pPr>
        <w:spacing w:before="240" w:after="240" w:line="240" w:lineRule="auto"/>
        <w:ind w:left="720"/>
        <w:rPr>
          <w:rFonts w:ascii="Roboto" w:eastAsia="Roboto" w:hAnsi="Roboto" w:cs="Roboto"/>
          <w:b/>
          <w:bCs/>
          <w:sz w:val="42"/>
          <w:szCs w:val="42"/>
          <w:highlight w:val="white"/>
        </w:rPr>
      </w:pPr>
      <w:proofErr w:type="spellStart"/>
      <w:r w:rsidRPr="00D9011F">
        <w:rPr>
          <w:rFonts w:ascii="Times New Roman" w:eastAsia="Times New Roman" w:hAnsi="Times New Roman" w:cs="Times New Roman"/>
          <w:sz w:val="24"/>
          <w:szCs w:val="24"/>
          <w:lang w:val="en-US"/>
        </w:rPr>
        <w:t>Jarociński</w:t>
      </w:r>
      <w:proofErr w:type="spellEnd"/>
      <w:r w:rsidRPr="00D9011F">
        <w:rPr>
          <w:rFonts w:ascii="Times New Roman" w:eastAsia="Times New Roman" w:hAnsi="Times New Roman" w:cs="Times New Roman"/>
          <w:sz w:val="24"/>
          <w:szCs w:val="24"/>
          <w:lang w:val="en-US"/>
        </w:rPr>
        <w:t xml:space="preserve"> M. et Karadi P. (2020). Deconstructing monetary policy surprises: the role of information shocks. </w:t>
      </w:r>
      <w:r>
        <w:rPr>
          <w:rFonts w:ascii="Times New Roman" w:eastAsia="Times New Roman" w:hAnsi="Times New Roman" w:cs="Times New Roman"/>
          <w:i/>
          <w:sz w:val="24"/>
          <w:szCs w:val="24"/>
        </w:rPr>
        <w:t xml:space="preserve">American </w:t>
      </w:r>
      <w:proofErr w:type="spellStart"/>
      <w:r>
        <w:rPr>
          <w:rFonts w:ascii="Times New Roman" w:eastAsia="Times New Roman" w:hAnsi="Times New Roman" w:cs="Times New Roman"/>
          <w:i/>
          <w:sz w:val="24"/>
          <w:szCs w:val="24"/>
        </w:rPr>
        <w:t>Economic</w:t>
      </w:r>
      <w:proofErr w:type="spellEnd"/>
      <w:r>
        <w:rPr>
          <w:rFonts w:ascii="Times New Roman" w:eastAsia="Times New Roman" w:hAnsi="Times New Roman" w:cs="Times New Roman"/>
          <w:i/>
          <w:sz w:val="24"/>
          <w:szCs w:val="24"/>
        </w:rPr>
        <w:t xml:space="preserve"> </w:t>
      </w:r>
      <w:proofErr w:type="gramStart"/>
      <w:r>
        <w:rPr>
          <w:rFonts w:ascii="Times New Roman" w:eastAsia="Times New Roman" w:hAnsi="Times New Roman" w:cs="Times New Roman"/>
          <w:i/>
          <w:sz w:val="24"/>
          <w:szCs w:val="24"/>
        </w:rPr>
        <w:t>Journal:</w:t>
      </w:r>
      <w:proofErr w:type="gram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Macroeconomics</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vol. 12, n°2, pp. 1-43.</w:t>
      </w:r>
    </w:p>
    <w:sectPr w:rsidR="00004A2B">
      <w:footerReference w:type="default" r:id="rId9"/>
      <w:headerReference w:type="default" r:id="rId12"/>
      <w:pgSz w:w="11909" w:h="16834"/>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A182" w14:textId="77777777" w:rsidR="00F37C16" w:rsidRDefault="00F37C16">
      <w:pPr>
        <w:spacing w:line="240" w:lineRule="auto"/>
      </w:pPr>
      <w:r>
        <w:separator/>
      </w:r>
    </w:p>
  </w:endnote>
  <w:endnote w:type="continuationSeparator" w:id="0">
    <w:p w14:paraId="23859C6A" w14:textId="77777777" w:rsidR="00F37C16" w:rsidRDefault="00F37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633B104F-B0AE-4680-8E70-4745A0450083}"/>
  </w:font>
  <w:font w:name="Calibri">
    <w:panose1 w:val="020F0502020204030204"/>
    <w:charset w:val="00"/>
    <w:family w:val="swiss"/>
    <w:pitch w:val="variable"/>
    <w:sig w:usb0="E4002EFF" w:usb1="C200247B" w:usb2="00000009" w:usb3="00000000" w:csb0="000001FF" w:csb1="00000000"/>
    <w:embedRegular r:id="rId2" w:fontKey="{3DF606BD-76F0-42E3-B61A-8DB2E1713454}"/>
  </w:font>
  <w:font w:name="Cambria">
    <w:panose1 w:val="02040503050406030204"/>
    <w:charset w:val="00"/>
    <w:family w:val="roman"/>
    <w:pitch w:val="variable"/>
    <w:sig w:usb0="E00006FF" w:usb1="420024FF" w:usb2="02000000" w:usb3="00000000" w:csb0="0000019F" w:csb1="00000000"/>
    <w:embedRegular r:id="rId3" w:fontKey="{AB505BAA-3604-446A-89FF-2C56E85966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267A" w14:textId="77777777" w:rsidR="00004A2B" w:rsidRDefault="00000000">
    <w:pPr>
      <w:jc w:val="right"/>
    </w:pPr>
    <w:r>
      <w:fldChar w:fldCharType="begin"/>
    </w:r>
    <w:r>
      <w:instrText>PAGE</w:instrText>
    </w:r>
    <w:r>
      <w:fldChar w:fldCharType="separate"/>
    </w:r>
    <w:r w:rsidR="00D9011F">
      <w:rPr>
        <w:noProof/>
      </w:rPr>
      <w:t>1</w:t>
    </w:r>
    <w:r>
      <w:fldChar w:fldCharType="end"/>
    </w:r>
    <w:r>
      <w:rPr>
        <w:noProof/>
      </w:rPr>
      <mc:AlternateContent>
        <mc:Choice Requires="wps">
          <w:drawing>
            <wp:anchor distT="114300" distB="114300" distL="114300" distR="114300" simplePos="0" relativeHeight="251658240" behindDoc="1" locked="0" layoutInCell="1" hidden="0" allowOverlap="1" wp14:anchorId="2015D1EC" wp14:editId="0022FDFD">
              <wp:simplePos x="0" y="0"/>
              <wp:positionH relativeFrom="column">
                <wp:posOffset>-523874</wp:posOffset>
              </wp:positionH>
              <wp:positionV relativeFrom="paragraph">
                <wp:posOffset>17928979</wp:posOffset>
              </wp:positionV>
              <wp:extent cx="542925" cy="8782050"/>
              <wp:effectExtent l="0" t="0" r="0" b="0"/>
              <wp:wrapNone/>
              <wp:docPr id="1" name="Rectangle 1"/>
              <wp:cNvGraphicFramePr/>
              <a:graphic xmlns:a="http://schemas.openxmlformats.org/drawingml/2006/main">
                <a:graphicData uri="http://schemas.microsoft.com/office/word/2010/wordprocessingShape">
                  <wps:wsp>
                    <wps:cNvSpPr/>
                    <wps:spPr>
                      <a:xfrm>
                        <a:off x="1822975" y="64375"/>
                        <a:ext cx="521400" cy="5031000"/>
                      </a:xfrm>
                      <a:prstGeom prst="rect">
                        <a:avLst/>
                      </a:prstGeom>
                      <a:solidFill>
                        <a:srgbClr val="002E6D"/>
                      </a:solidFill>
                      <a:ln w="9525" cap="flat" cmpd="sng">
                        <a:solidFill>
                          <a:srgbClr val="000000"/>
                        </a:solidFill>
                        <a:prstDash val="solid"/>
                        <a:round/>
                        <a:headEnd type="none" w="sm" len="sm"/>
                        <a:tailEnd type="none" w="sm" len="sm"/>
                      </a:ln>
                    </wps:spPr>
                    <wps:txbx>
                      <w:txbxContent>
                        <w:p w14:paraId="7D8955A9" w14:textId="77777777" w:rsidR="00004A2B" w:rsidRDefault="00004A2B">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2015D1EC" id="Rectangle 1" o:spid="_x0000_s1037" style="position:absolute;left:0;text-align:left;margin-left:-41.25pt;margin-top:1411.75pt;width:42.75pt;height:691.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" fillcolor="#002e6d">
              <v:stroke startarrowwidth="narrow" startarrowlength="short" endarrowwidth="narrow" endarrowlength="short" joinstyle="round"/>
              <v:textbox inset="2.53958mm,2.53958mm,2.53958mm,2.53958mm">
                <w:txbxContent>
                  <w:p w14:paraId="7D8955A9" w14:textId="77777777" w:rsidR="00004A2B" w:rsidRDefault="00004A2B">
                    <w:pPr>
                      <w:spacing w:line="240" w:lineRule="auto"/>
                      <w:jc w:val="cente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62DC" w14:textId="77777777" w:rsidR="00F37C16" w:rsidRDefault="00F37C16">
      <w:pPr>
        <w:spacing w:line="240" w:lineRule="auto"/>
      </w:pPr>
      <w:r>
        <w:separator/>
      </w:r>
    </w:p>
  </w:footnote>
  <w:footnote w:type="continuationSeparator" w:id="0">
    <w:p w14:paraId="706DF1C9" w14:textId="77777777" w:rsidR="00F37C16" w:rsidRDefault="00F37C1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lastRenderedPageBreak/>
      <mc:AlternateContent>
        <mc:Choice Requires="wps">
          <w:drawing>
            <wp:anchor distT="114300" distB="114300" distL="114300" distR="114300" simplePos="0" relativeHeight="251667456" behindDoc="1" locked="0" layoutInCell="1" hidden="0" allowOverlap="1" wp14:anchorId="48E0A1E9" wp14:editId="5D137B4C">
              <wp:simplePos x="0" y="0"/>
              <wp:positionH relativeFrom="page">
                <wp:posOffset>453372</wp:posOffset>
              </wp:positionH>
              <wp:positionV relativeFrom="page">
                <wp:posOffset>560000</wp:posOffset>
              </wp:positionV>
              <wp:extent cx="542925" cy="8782050"/>
              <wp:effectExtent l="0" t="0" r="0" b="0"/>
              <wp:wrapNone/>
              <wp:docPr id="1347099310" name="Rectangle 1347099310"/>
              <wp:cNvGraphicFramePr/>
              <a:graphic xmlns:a="http://schemas.openxmlformats.org/drawingml/2006/main">
                <a:graphicData uri="http://schemas.microsoft.com/office/word/2010/wordprocessingShape">
                  <wps:wsp>
                    <wps:cNvSpPr/>
                    <wps:spPr>
                      <a:xfrm>
                        <a:off x="1822975" y="64375"/>
                        <a:ext cx="521400" cy="5031000"/>
                      </a:xfrm>
                      <a:prstGeom prst="rect">
                        <a:avLst/>
                      </a:prstGeom>
                      <a:solidFill>
                        <a:srgbClr val="002E6D"/>
                      </a:solidFill>
                      <a:ln w="9525" cap="flat" cmpd="sng">
                        <a:solidFill>
                          <a:srgbClr val="000000"/>
                        </a:solidFill>
                        <a:prstDash val="solid"/>
                        <a:round/>
                        <a:headEnd type="none" w="sm" len="sm"/>
                        <a:tailEnd type="none" w="sm" len="sm"/>
                      </a:ln>
                    </wps:spPr>
                    <wps:txbx>
                      <w:txbxContent>
                        <w:p w14:paraId="7FFFE80B" w14:textId="77777777" w:rsidR="00004A2B" w:rsidRDefault="00004A2B">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A2B"/>
    <w:rsid w:val="00004A2B"/>
    <w:rsid w:val="004D677E"/>
    <w:rsid w:val="00CB73F8"/>
    <w:rsid w:val="00D9011F"/>
    <w:rsid w:val="00F37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8583"/>
  <w15:docId w15:val="{790F75DF-54BA-4930-B7A8-F27A6885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styleId="Grilledutableau">
    <w:name w:val="Table Grid"/>
    <w:basedOn w:val="TableauNormal"/>
    <w:uiPriority w:val="39"/>
    <w:rsid w:val="00D901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2334</Words>
  <Characters>12837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Biza</cp:lastModifiedBy>
  <cp:revision>2</cp:revision>
  <dcterms:created xsi:type="dcterms:W3CDTF">2026-10-06T10:19:00Z</dcterms:created>
  <dcterms:modified xsi:type="dcterms:W3CDTF">2026-10-06T10:33:00Z</dcterms:modified>
  <dc:creator>Sarah Biza</dc:creator>
  <dc:title>Note de synthèse : impact de la politique monétaire de la Fed et de la BCE sur les rendements financiers</dc:title>
</cp:coreProperties>
</file>