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5CB5" w14:textId="77777777" w:rsidR="00127A1C" w:rsidRPr="00E82E8A" w:rsidRDefault="00000000">
      <w:pPr>
        <w:spacing w:before="480" w:after="80"/>
        <w:jc w:val="center"/>
        <w:rPr>
          <w:lang w:val="fr-FR"/>
        </w:rPr>
      </w:pPr>
      <w:r w:rsidRPr="00E82E8A">
        <w:rPr>
          <w:b/>
          <w:bCs/>
          <w:color w:val="1A56A0"/>
          <w:sz w:val="52"/>
          <w:szCs w:val="52"/>
          <w:lang w:val="fr-FR"/>
        </w:rPr>
        <w:t>Pipeline de données Azure</w:t>
      </w:r>
    </w:p>
    <w:p w14:paraId="510F67EA" w14:textId="77777777" w:rsidR="00127A1C" w:rsidRPr="00E82E8A" w:rsidRDefault="00000000">
      <w:pPr>
        <w:spacing w:after="480"/>
        <w:jc w:val="center"/>
        <w:rPr>
          <w:lang w:val="fr-FR"/>
        </w:rPr>
      </w:pPr>
      <w:r w:rsidRPr="00E82E8A">
        <w:rPr>
          <w:color w:val="555555"/>
          <w:sz w:val="28"/>
          <w:szCs w:val="28"/>
          <w:lang w:val="fr-FR"/>
        </w:rPr>
        <w:t>Guide complet : de l'ingestion à la visualisation</w:t>
      </w:r>
    </w:p>
    <w:p w14:paraId="571265E1" w14:textId="77777777" w:rsidR="00127A1C" w:rsidRPr="00E82E8A" w:rsidRDefault="00000000">
      <w:pPr>
        <w:pStyle w:val="Titre1"/>
        <w:rPr>
          <w:lang w:val="fr-FR"/>
        </w:rPr>
      </w:pPr>
      <w:r w:rsidRPr="00E82E8A">
        <w:rPr>
          <w:lang w:val="fr-FR"/>
        </w:rPr>
        <w:t>1. Qu'est-ce qu'un pipeline de données ?</w:t>
      </w:r>
    </w:p>
    <w:p w14:paraId="77DB5BD3" w14:textId="77777777" w:rsidR="00127A1C" w:rsidRPr="00E82E8A" w:rsidRDefault="00000000">
      <w:pPr>
        <w:spacing w:after="160"/>
        <w:rPr>
          <w:lang w:val="fr-FR"/>
        </w:rPr>
      </w:pPr>
      <w:r w:rsidRPr="00E82E8A">
        <w:rPr>
          <w:lang w:val="fr-FR"/>
        </w:rPr>
        <w:t>Un pipeline de données est une chaîne automatisée qui prend des données brutes depuis leurs sources d'origine, les transforme progressivement, et les délivre sous une forme exploitable pour l'analyse et la prise de décision.</w:t>
      </w:r>
    </w:p>
    <w:p w14:paraId="355EADDB" w14:textId="77777777" w:rsidR="00127A1C" w:rsidRPr="00E82E8A" w:rsidRDefault="00000000">
      <w:pPr>
        <w:spacing w:after="160"/>
        <w:rPr>
          <w:lang w:val="fr-FR"/>
        </w:rPr>
      </w:pPr>
      <w:r w:rsidRPr="00E82E8A">
        <w:rPr>
          <w:lang w:val="fr-FR"/>
        </w:rPr>
        <w:t>L'analogie la plus parlante est celle d'une cuisine industrielle :</w:t>
      </w:r>
    </w:p>
    <w:p w14:paraId="0C407C4F" w14:textId="77777777" w:rsidR="00127A1C" w:rsidRPr="00E82E8A" w:rsidRDefault="00000000">
      <w:pPr>
        <w:pStyle w:val="Paragraphedeliste"/>
        <w:numPr>
          <w:ilvl w:val="0"/>
          <w:numId w:val="1"/>
        </w:numPr>
        <w:spacing w:after="80"/>
        <w:rPr>
          <w:lang w:val="fr-FR"/>
        </w:rPr>
      </w:pPr>
      <w:r w:rsidRPr="00E82E8A">
        <w:rPr>
          <w:lang w:val="fr-FR"/>
        </w:rPr>
        <w:t>Les sources sont les rayons du supermarché (les ingrédients bruts).</w:t>
      </w:r>
    </w:p>
    <w:p w14:paraId="20ED9CB2" w14:textId="77777777" w:rsidR="00127A1C" w:rsidRPr="00E82E8A" w:rsidRDefault="00000000">
      <w:pPr>
        <w:pStyle w:val="Paragraphedeliste"/>
        <w:numPr>
          <w:ilvl w:val="0"/>
          <w:numId w:val="1"/>
        </w:numPr>
        <w:spacing w:after="80"/>
        <w:rPr>
          <w:lang w:val="fr-FR"/>
        </w:rPr>
      </w:pPr>
      <w:r w:rsidRPr="00E82E8A">
        <w:rPr>
          <w:lang w:val="fr-FR"/>
        </w:rPr>
        <w:t>L'ingestion est la collecte des ingrédients.</w:t>
      </w:r>
    </w:p>
    <w:p w14:paraId="56A122C4" w14:textId="77777777" w:rsidR="00127A1C" w:rsidRPr="00E82E8A" w:rsidRDefault="00000000">
      <w:pPr>
        <w:pStyle w:val="Paragraphedeliste"/>
        <w:numPr>
          <w:ilvl w:val="0"/>
          <w:numId w:val="1"/>
        </w:numPr>
        <w:spacing w:after="80"/>
        <w:rPr>
          <w:lang w:val="fr-FR"/>
        </w:rPr>
      </w:pPr>
      <w:r w:rsidRPr="00E82E8A">
        <w:rPr>
          <w:lang w:val="fr-FR"/>
        </w:rPr>
        <w:t>Les transformations correspondent à la préparation et la cuisson.</w:t>
      </w:r>
    </w:p>
    <w:p w14:paraId="7EBFABB1" w14:textId="77777777" w:rsidR="00127A1C" w:rsidRPr="00E82E8A" w:rsidRDefault="00000000">
      <w:pPr>
        <w:pStyle w:val="Paragraphedeliste"/>
        <w:numPr>
          <w:ilvl w:val="0"/>
          <w:numId w:val="1"/>
        </w:numPr>
        <w:spacing w:after="80"/>
        <w:rPr>
          <w:lang w:val="fr-FR"/>
        </w:rPr>
      </w:pPr>
      <w:r w:rsidRPr="00E82E8A">
        <w:rPr>
          <w:lang w:val="fr-FR"/>
        </w:rPr>
        <w:t>Le Data Warehouse est le buffet prêt à servir.</w:t>
      </w:r>
    </w:p>
    <w:p w14:paraId="1A2A941F" w14:textId="77777777" w:rsidR="00127A1C" w:rsidRPr="00E82E8A" w:rsidRDefault="00000000">
      <w:pPr>
        <w:pStyle w:val="Paragraphedeliste"/>
        <w:numPr>
          <w:ilvl w:val="0"/>
          <w:numId w:val="1"/>
        </w:numPr>
        <w:spacing w:after="80"/>
        <w:rPr>
          <w:lang w:val="fr-FR"/>
        </w:rPr>
      </w:pPr>
      <w:r w:rsidRPr="00E82E8A">
        <w:rPr>
          <w:lang w:val="fr-FR"/>
        </w:rPr>
        <w:t>Power BI est l'assiette finale que voit le convive.</w:t>
      </w:r>
    </w:p>
    <w:p w14:paraId="6E81359C" w14:textId="77777777" w:rsidR="00127A1C" w:rsidRPr="00E82E8A" w:rsidRDefault="00127A1C">
      <w:pPr>
        <w:spacing w:after="80"/>
        <w:rPr>
          <w:lang w:val="fr-FR"/>
        </w:rPr>
      </w:pPr>
    </w:p>
    <w:p w14:paraId="6DF2A565" w14:textId="77777777" w:rsidR="00127A1C" w:rsidRPr="00E82E8A" w:rsidRDefault="00000000">
      <w:pPr>
        <w:pStyle w:val="Titre1"/>
        <w:rPr>
          <w:lang w:val="fr-FR"/>
        </w:rPr>
      </w:pPr>
      <w:r w:rsidRPr="00E82E8A">
        <w:rPr>
          <w:lang w:val="fr-FR"/>
        </w:rPr>
        <w:t>2. Vue d'ensemble de l'architecture</w:t>
      </w:r>
    </w:p>
    <w:p w14:paraId="10BFFA1F" w14:textId="77777777" w:rsidR="00127A1C" w:rsidRPr="00E82E8A" w:rsidRDefault="00000000">
      <w:pPr>
        <w:spacing w:after="160"/>
        <w:rPr>
          <w:lang w:val="fr-FR"/>
        </w:rPr>
      </w:pPr>
      <w:r w:rsidRPr="00E82E8A">
        <w:rPr>
          <w:lang w:val="fr-FR"/>
        </w:rPr>
        <w:t xml:space="preserve">L'architecture décrite dans ce document repose sur quatre services Azure principaux, organisés selon une progression logique appelée architecture </w:t>
      </w:r>
      <w:proofErr w:type="spellStart"/>
      <w:r w:rsidRPr="00E82E8A">
        <w:rPr>
          <w:lang w:val="fr-FR"/>
        </w:rPr>
        <w:t>Medallion</w:t>
      </w:r>
      <w:proofErr w:type="spellEnd"/>
      <w:r w:rsidRPr="00E82E8A">
        <w:rPr>
          <w:lang w:val="fr-FR"/>
        </w:rPr>
        <w:t xml:space="preserve"> (Bronze → Silver → Gold).</w:t>
      </w:r>
    </w:p>
    <w:p w14:paraId="2FEB366D" w14:textId="77777777" w:rsidR="00127A1C" w:rsidRPr="00E82E8A" w:rsidRDefault="00127A1C">
      <w:pPr>
        <w:spacing w:after="8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2000"/>
        <w:gridCol w:w="4860"/>
      </w:tblGrid>
      <w:tr w:rsidR="00127A1C" w14:paraId="03828147" w14:textId="77777777">
        <w:trPr>
          <w:tblHeader/>
        </w:trPr>
        <w:tc>
          <w:tcPr>
            <w:tcW w:w="500" w:type="dxa"/>
            <w:tcBorders>
              <w:top w:val="single" w:sz="0" w:space="0" w:color="CCCCCC"/>
              <w:left w:val="single" w:sz="0" w:space="0" w:color="CCCCCC"/>
              <w:bottom w:val="single" w:sz="0" w:space="0" w:color="CCCCCC"/>
              <w:right w:val="single" w:sz="0" w:space="0" w:color="CCCCCC"/>
            </w:tcBorders>
            <w:shd w:val="clear" w:color="auto" w:fill="1A56A0"/>
            <w:tcMar>
              <w:top w:w="100" w:type="dxa"/>
              <w:left w:w="140" w:type="dxa"/>
              <w:bottom w:w="100" w:type="dxa"/>
              <w:right w:w="140" w:type="dxa"/>
            </w:tcMar>
          </w:tcPr>
          <w:p w14:paraId="6D93D228" w14:textId="77777777" w:rsidR="00127A1C" w:rsidRDefault="00000000">
            <w:r>
              <w:rPr>
                <w:b/>
                <w:bCs/>
                <w:color w:val="FFFFFF"/>
                <w:sz w:val="22"/>
                <w:szCs w:val="22"/>
              </w:rPr>
              <w:t>#</w:t>
            </w:r>
          </w:p>
        </w:tc>
        <w:tc>
          <w:tcPr>
            <w:tcW w:w="2000" w:type="dxa"/>
            <w:tcBorders>
              <w:top w:val="single" w:sz="0" w:space="0" w:color="CCCCCC"/>
              <w:left w:val="single" w:sz="0" w:space="0" w:color="CCCCCC"/>
              <w:bottom w:val="single" w:sz="0" w:space="0" w:color="CCCCCC"/>
              <w:right w:val="single" w:sz="0" w:space="0" w:color="CCCCCC"/>
            </w:tcBorders>
            <w:shd w:val="clear" w:color="auto" w:fill="1A56A0"/>
            <w:tcMar>
              <w:top w:w="100" w:type="dxa"/>
              <w:left w:w="140" w:type="dxa"/>
              <w:bottom w:w="100" w:type="dxa"/>
              <w:right w:w="140" w:type="dxa"/>
            </w:tcMar>
          </w:tcPr>
          <w:p w14:paraId="5AF22B36" w14:textId="77777777" w:rsidR="00127A1C" w:rsidRDefault="00000000">
            <w:r>
              <w:rPr>
                <w:b/>
                <w:bCs/>
                <w:color w:val="FFFFFF"/>
                <w:sz w:val="22"/>
                <w:szCs w:val="22"/>
              </w:rPr>
              <w:t>Étape</w:t>
            </w:r>
          </w:p>
        </w:tc>
        <w:tc>
          <w:tcPr>
            <w:tcW w:w="2000" w:type="dxa"/>
            <w:tcBorders>
              <w:top w:val="single" w:sz="0" w:space="0" w:color="CCCCCC"/>
              <w:left w:val="single" w:sz="0" w:space="0" w:color="CCCCCC"/>
              <w:bottom w:val="single" w:sz="0" w:space="0" w:color="CCCCCC"/>
              <w:right w:val="single" w:sz="0" w:space="0" w:color="CCCCCC"/>
            </w:tcBorders>
            <w:shd w:val="clear" w:color="auto" w:fill="1A56A0"/>
            <w:tcMar>
              <w:top w:w="100" w:type="dxa"/>
              <w:left w:w="140" w:type="dxa"/>
              <w:bottom w:w="100" w:type="dxa"/>
              <w:right w:w="140" w:type="dxa"/>
            </w:tcMar>
          </w:tcPr>
          <w:p w14:paraId="17709900" w14:textId="77777777" w:rsidR="00127A1C" w:rsidRDefault="00000000">
            <w:r>
              <w:rPr>
                <w:b/>
                <w:bCs/>
                <w:color w:val="FFFFFF"/>
                <w:sz w:val="22"/>
                <w:szCs w:val="22"/>
              </w:rPr>
              <w:t>Service Azure</w:t>
            </w:r>
          </w:p>
        </w:tc>
        <w:tc>
          <w:tcPr>
            <w:tcW w:w="4860" w:type="dxa"/>
            <w:tcBorders>
              <w:top w:val="single" w:sz="0" w:space="0" w:color="CCCCCC"/>
              <w:left w:val="single" w:sz="0" w:space="0" w:color="CCCCCC"/>
              <w:bottom w:val="single" w:sz="0" w:space="0" w:color="CCCCCC"/>
              <w:right w:val="single" w:sz="0" w:space="0" w:color="CCCCCC"/>
            </w:tcBorders>
            <w:shd w:val="clear" w:color="auto" w:fill="1A56A0"/>
            <w:tcMar>
              <w:top w:w="100" w:type="dxa"/>
              <w:left w:w="140" w:type="dxa"/>
              <w:bottom w:w="100" w:type="dxa"/>
              <w:right w:w="140" w:type="dxa"/>
            </w:tcMar>
          </w:tcPr>
          <w:p w14:paraId="55AA5B6E" w14:textId="77777777" w:rsidR="00127A1C" w:rsidRDefault="00000000">
            <w:r>
              <w:rPr>
                <w:b/>
                <w:bCs/>
                <w:color w:val="FFFFFF"/>
                <w:sz w:val="22"/>
                <w:szCs w:val="22"/>
              </w:rPr>
              <w:t>Description</w:t>
            </w:r>
          </w:p>
        </w:tc>
      </w:tr>
      <w:tr w:rsidR="00127A1C" w:rsidRPr="00E82E8A" w14:paraId="673B233C" w14:textId="77777777">
        <w:tc>
          <w:tcPr>
            <w:tcW w:w="500" w:type="dxa"/>
            <w:tcBorders>
              <w:top w:val="single" w:sz="0" w:space="0" w:color="CCCCCC"/>
              <w:left w:val="single" w:sz="0" w:space="0" w:color="CCCCCC"/>
              <w:bottom w:val="single" w:sz="0" w:space="0" w:color="CCCCCC"/>
              <w:right w:val="single" w:sz="0" w:space="0" w:color="CCCCCC"/>
            </w:tcBorders>
            <w:shd w:val="clear" w:color="auto" w:fill="F0F0F0"/>
            <w:tcMar>
              <w:top w:w="100" w:type="dxa"/>
              <w:left w:w="140" w:type="dxa"/>
              <w:bottom w:w="100" w:type="dxa"/>
              <w:right w:w="140" w:type="dxa"/>
            </w:tcMar>
          </w:tcPr>
          <w:p w14:paraId="40A62D00" w14:textId="77777777" w:rsidR="00127A1C" w:rsidRDefault="00000000">
            <w:pPr>
              <w:jc w:val="center"/>
            </w:pPr>
            <w:r>
              <w:rPr>
                <w:b/>
                <w:bCs/>
              </w:rPr>
              <w:t>1</w:t>
            </w:r>
          </w:p>
        </w:tc>
        <w:tc>
          <w:tcPr>
            <w:tcW w:w="2000" w:type="dxa"/>
            <w:tcBorders>
              <w:top w:val="single" w:sz="0" w:space="0" w:color="CCCCCC"/>
              <w:left w:val="single" w:sz="0" w:space="0" w:color="CCCCCC"/>
              <w:bottom w:val="single" w:sz="0" w:space="0" w:color="CCCCCC"/>
              <w:right w:val="single" w:sz="0" w:space="0" w:color="CCCCCC"/>
            </w:tcBorders>
            <w:shd w:val="clear" w:color="auto" w:fill="E8F4FD"/>
            <w:tcMar>
              <w:top w:w="100" w:type="dxa"/>
              <w:left w:w="140" w:type="dxa"/>
              <w:bottom w:w="100" w:type="dxa"/>
              <w:right w:w="140" w:type="dxa"/>
            </w:tcMar>
          </w:tcPr>
          <w:p w14:paraId="42193948" w14:textId="77777777" w:rsidR="00127A1C" w:rsidRDefault="00000000">
            <w:r>
              <w:rPr>
                <w:b/>
                <w:bCs/>
              </w:rPr>
              <w:t>Extraction</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5CB768A7" w14:textId="77777777" w:rsidR="00127A1C" w:rsidRDefault="00000000">
            <w:r>
              <w:rPr>
                <w:color w:val="555555"/>
                <w:sz w:val="22"/>
                <w:szCs w:val="22"/>
              </w:rPr>
              <w:t>Azure Data Factory</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0336C549" w14:textId="77777777" w:rsidR="00127A1C" w:rsidRPr="00E82E8A" w:rsidRDefault="00000000">
            <w:pPr>
              <w:rPr>
                <w:lang w:val="fr-FR"/>
              </w:rPr>
            </w:pPr>
            <w:r w:rsidRPr="00E82E8A">
              <w:rPr>
                <w:sz w:val="22"/>
                <w:szCs w:val="22"/>
                <w:lang w:val="fr-FR"/>
              </w:rPr>
              <w:t>Connexion aux sources, copie brute des données vers le Data Lake.</w:t>
            </w:r>
          </w:p>
        </w:tc>
      </w:tr>
      <w:tr w:rsidR="00127A1C" w:rsidRPr="00E82E8A" w14:paraId="1C418681" w14:textId="77777777">
        <w:tc>
          <w:tcPr>
            <w:tcW w:w="500" w:type="dxa"/>
            <w:tcBorders>
              <w:top w:val="single" w:sz="0" w:space="0" w:color="CCCCCC"/>
              <w:left w:val="single" w:sz="0" w:space="0" w:color="CCCCCC"/>
              <w:bottom w:val="single" w:sz="0" w:space="0" w:color="CCCCCC"/>
              <w:right w:val="single" w:sz="0" w:space="0" w:color="CCCCCC"/>
            </w:tcBorders>
            <w:shd w:val="clear" w:color="auto" w:fill="F0F0F0"/>
            <w:tcMar>
              <w:top w:w="100" w:type="dxa"/>
              <w:left w:w="140" w:type="dxa"/>
              <w:bottom w:w="100" w:type="dxa"/>
              <w:right w:w="140" w:type="dxa"/>
            </w:tcMar>
          </w:tcPr>
          <w:p w14:paraId="62C3AAF6" w14:textId="77777777" w:rsidR="00127A1C" w:rsidRDefault="00000000">
            <w:pPr>
              <w:jc w:val="center"/>
            </w:pPr>
            <w:r>
              <w:rPr>
                <w:b/>
                <w:bCs/>
              </w:rPr>
              <w:t>2</w:t>
            </w:r>
          </w:p>
        </w:tc>
        <w:tc>
          <w:tcPr>
            <w:tcW w:w="2000" w:type="dxa"/>
            <w:tcBorders>
              <w:top w:val="single" w:sz="0" w:space="0" w:color="CCCCCC"/>
              <w:left w:val="single" w:sz="0" w:space="0" w:color="CCCCCC"/>
              <w:bottom w:val="single" w:sz="0" w:space="0" w:color="CCCCCC"/>
              <w:right w:val="single" w:sz="0" w:space="0" w:color="CCCCCC"/>
            </w:tcBorders>
            <w:shd w:val="clear" w:color="auto" w:fill="FEF3E2"/>
            <w:tcMar>
              <w:top w:w="100" w:type="dxa"/>
              <w:left w:w="140" w:type="dxa"/>
              <w:bottom w:w="100" w:type="dxa"/>
              <w:right w:w="140" w:type="dxa"/>
            </w:tcMar>
          </w:tcPr>
          <w:p w14:paraId="07827B02" w14:textId="77777777" w:rsidR="00127A1C" w:rsidRDefault="00000000">
            <w:r>
              <w:rPr>
                <w:b/>
                <w:bCs/>
              </w:rPr>
              <w:t>Couche Bronze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33B5B4D3" w14:textId="77777777" w:rsidR="00127A1C" w:rsidRDefault="00000000">
            <w:r>
              <w:rPr>
                <w:color w:val="555555"/>
                <w:sz w:val="22"/>
                <w:szCs w:val="22"/>
              </w:rPr>
              <w:t>Azure Data Lake Storage</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5CE6C5DD" w14:textId="77777777" w:rsidR="00127A1C" w:rsidRPr="00E82E8A" w:rsidRDefault="00000000">
            <w:pPr>
              <w:rPr>
                <w:lang w:val="fr-FR"/>
              </w:rPr>
            </w:pPr>
            <w:r w:rsidRPr="00E82E8A">
              <w:rPr>
                <w:sz w:val="22"/>
                <w:szCs w:val="22"/>
                <w:lang w:val="fr-FR"/>
              </w:rPr>
              <w:t>Stockage brut non transformé. Archive fidèle de la source.</w:t>
            </w:r>
          </w:p>
        </w:tc>
      </w:tr>
      <w:tr w:rsidR="00127A1C" w:rsidRPr="00E82E8A" w14:paraId="148041E8" w14:textId="77777777">
        <w:tc>
          <w:tcPr>
            <w:tcW w:w="500" w:type="dxa"/>
            <w:tcBorders>
              <w:top w:val="single" w:sz="0" w:space="0" w:color="CCCCCC"/>
              <w:left w:val="single" w:sz="0" w:space="0" w:color="CCCCCC"/>
              <w:bottom w:val="single" w:sz="0" w:space="0" w:color="CCCCCC"/>
              <w:right w:val="single" w:sz="0" w:space="0" w:color="CCCCCC"/>
            </w:tcBorders>
            <w:shd w:val="clear" w:color="auto" w:fill="F0F0F0"/>
            <w:tcMar>
              <w:top w:w="100" w:type="dxa"/>
              <w:left w:w="140" w:type="dxa"/>
              <w:bottom w:w="100" w:type="dxa"/>
              <w:right w:w="140" w:type="dxa"/>
            </w:tcMar>
          </w:tcPr>
          <w:p w14:paraId="18D1C6D3" w14:textId="77777777" w:rsidR="00127A1C" w:rsidRDefault="00000000">
            <w:pPr>
              <w:jc w:val="center"/>
            </w:pPr>
            <w:r>
              <w:rPr>
                <w:b/>
                <w:bCs/>
              </w:rPr>
              <w:t>3</w:t>
            </w:r>
          </w:p>
        </w:tc>
        <w:tc>
          <w:tcPr>
            <w:tcW w:w="2000" w:type="dxa"/>
            <w:tcBorders>
              <w:top w:val="single" w:sz="0" w:space="0" w:color="CCCCCC"/>
              <w:left w:val="single" w:sz="0" w:space="0" w:color="CCCCCC"/>
              <w:bottom w:val="single" w:sz="0" w:space="0" w:color="CCCCCC"/>
              <w:right w:val="single" w:sz="0" w:space="0" w:color="CCCCCC"/>
            </w:tcBorders>
            <w:shd w:val="clear" w:color="auto" w:fill="E8F5F0"/>
            <w:tcMar>
              <w:top w:w="100" w:type="dxa"/>
              <w:left w:w="140" w:type="dxa"/>
              <w:bottom w:w="100" w:type="dxa"/>
              <w:right w:w="140" w:type="dxa"/>
            </w:tcMar>
          </w:tcPr>
          <w:p w14:paraId="42C55CD3" w14:textId="77777777" w:rsidR="00127A1C" w:rsidRDefault="00000000">
            <w:r>
              <w:rPr>
                <w:b/>
                <w:bCs/>
              </w:rPr>
              <w:t>Couche Silver</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2886F221" w14:textId="77777777" w:rsidR="00127A1C" w:rsidRDefault="00000000">
            <w:r>
              <w:rPr>
                <w:color w:val="555555"/>
                <w:sz w:val="22"/>
                <w:szCs w:val="22"/>
              </w:rPr>
              <w:t>Azure Databricks</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5C03AFE8" w14:textId="77777777" w:rsidR="00127A1C" w:rsidRPr="00E82E8A" w:rsidRDefault="00000000">
            <w:pPr>
              <w:rPr>
                <w:lang w:val="fr-FR"/>
              </w:rPr>
            </w:pPr>
            <w:r w:rsidRPr="00E82E8A">
              <w:rPr>
                <w:sz w:val="22"/>
                <w:szCs w:val="22"/>
                <w:lang w:val="fr-FR"/>
              </w:rPr>
              <w:t>Nettoyage, dédoublonnage, correction des types de données.</w:t>
            </w:r>
          </w:p>
        </w:tc>
      </w:tr>
      <w:tr w:rsidR="00127A1C" w:rsidRPr="00E82E8A" w14:paraId="17A8BDC0" w14:textId="77777777">
        <w:tc>
          <w:tcPr>
            <w:tcW w:w="500" w:type="dxa"/>
            <w:tcBorders>
              <w:top w:val="single" w:sz="0" w:space="0" w:color="CCCCCC"/>
              <w:left w:val="single" w:sz="0" w:space="0" w:color="CCCCCC"/>
              <w:bottom w:val="single" w:sz="0" w:space="0" w:color="CCCCCC"/>
              <w:right w:val="single" w:sz="0" w:space="0" w:color="CCCCCC"/>
            </w:tcBorders>
            <w:shd w:val="clear" w:color="auto" w:fill="F0F0F0"/>
            <w:tcMar>
              <w:top w:w="100" w:type="dxa"/>
              <w:left w:w="140" w:type="dxa"/>
              <w:bottom w:w="100" w:type="dxa"/>
              <w:right w:w="140" w:type="dxa"/>
            </w:tcMar>
          </w:tcPr>
          <w:p w14:paraId="176D26F8" w14:textId="77777777" w:rsidR="00127A1C" w:rsidRDefault="00000000">
            <w:pPr>
              <w:jc w:val="center"/>
            </w:pPr>
            <w:r>
              <w:rPr>
                <w:b/>
                <w:bCs/>
              </w:rPr>
              <w:t>4</w:t>
            </w:r>
          </w:p>
        </w:tc>
        <w:tc>
          <w:tcPr>
            <w:tcW w:w="2000" w:type="dxa"/>
            <w:tcBorders>
              <w:top w:val="single" w:sz="0" w:space="0" w:color="CCCCCC"/>
              <w:left w:val="single" w:sz="0" w:space="0" w:color="CCCCCC"/>
              <w:bottom w:val="single" w:sz="0" w:space="0" w:color="CCCCCC"/>
              <w:right w:val="single" w:sz="0" w:space="0" w:color="CCCCCC"/>
            </w:tcBorders>
            <w:shd w:val="clear" w:color="auto" w:fill="EDE7F6"/>
            <w:tcMar>
              <w:top w:w="100" w:type="dxa"/>
              <w:left w:w="140" w:type="dxa"/>
              <w:bottom w:w="100" w:type="dxa"/>
              <w:right w:w="140" w:type="dxa"/>
            </w:tcMar>
          </w:tcPr>
          <w:p w14:paraId="517CA8B9" w14:textId="77777777" w:rsidR="00127A1C" w:rsidRDefault="00000000">
            <w:r>
              <w:rPr>
                <w:b/>
                <w:bCs/>
              </w:rPr>
              <w:t>Couche Gold</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366196A0" w14:textId="77777777" w:rsidR="00127A1C" w:rsidRDefault="00000000">
            <w:r>
              <w:rPr>
                <w:color w:val="555555"/>
                <w:sz w:val="22"/>
                <w:szCs w:val="22"/>
              </w:rPr>
              <w:t>Azure Databricks</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58DC54A9" w14:textId="77777777" w:rsidR="00127A1C" w:rsidRPr="00E82E8A" w:rsidRDefault="00000000">
            <w:pPr>
              <w:rPr>
                <w:lang w:val="fr-FR"/>
              </w:rPr>
            </w:pPr>
            <w:r w:rsidRPr="00E82E8A">
              <w:rPr>
                <w:sz w:val="22"/>
                <w:szCs w:val="22"/>
                <w:lang w:val="fr-FR"/>
              </w:rPr>
              <w:t>Agrégations métier, KPIs, tables prêtes pour l'analyse.</w:t>
            </w:r>
          </w:p>
        </w:tc>
      </w:tr>
      <w:tr w:rsidR="00127A1C" w:rsidRPr="00E82E8A" w14:paraId="142DBEEE" w14:textId="77777777">
        <w:tc>
          <w:tcPr>
            <w:tcW w:w="500" w:type="dxa"/>
            <w:tcBorders>
              <w:top w:val="single" w:sz="0" w:space="0" w:color="CCCCCC"/>
              <w:left w:val="single" w:sz="0" w:space="0" w:color="CCCCCC"/>
              <w:bottom w:val="single" w:sz="0" w:space="0" w:color="CCCCCC"/>
              <w:right w:val="single" w:sz="0" w:space="0" w:color="CCCCCC"/>
            </w:tcBorders>
            <w:shd w:val="clear" w:color="auto" w:fill="F0F0F0"/>
            <w:tcMar>
              <w:top w:w="100" w:type="dxa"/>
              <w:left w:w="140" w:type="dxa"/>
              <w:bottom w:w="100" w:type="dxa"/>
              <w:right w:w="140" w:type="dxa"/>
            </w:tcMar>
          </w:tcPr>
          <w:p w14:paraId="3F8426DF" w14:textId="77777777" w:rsidR="00127A1C" w:rsidRDefault="00000000">
            <w:pPr>
              <w:jc w:val="center"/>
            </w:pPr>
            <w:r>
              <w:rPr>
                <w:b/>
                <w:bCs/>
              </w:rPr>
              <w:t>5</w:t>
            </w:r>
          </w:p>
        </w:tc>
        <w:tc>
          <w:tcPr>
            <w:tcW w:w="2000" w:type="dxa"/>
            <w:tcBorders>
              <w:top w:val="single" w:sz="0" w:space="0" w:color="CCCCCC"/>
              <w:left w:val="single" w:sz="0" w:space="0" w:color="CCCCCC"/>
              <w:bottom w:val="single" w:sz="0" w:space="0" w:color="CCCCCC"/>
              <w:right w:val="single" w:sz="0" w:space="0" w:color="CCCCCC"/>
            </w:tcBorders>
            <w:shd w:val="clear" w:color="auto" w:fill="FCE4EC"/>
            <w:tcMar>
              <w:top w:w="100" w:type="dxa"/>
              <w:left w:w="140" w:type="dxa"/>
              <w:bottom w:w="100" w:type="dxa"/>
              <w:right w:w="140" w:type="dxa"/>
            </w:tcMar>
          </w:tcPr>
          <w:p w14:paraId="4BD414B9" w14:textId="77777777" w:rsidR="00127A1C" w:rsidRDefault="00000000">
            <w:r>
              <w:rPr>
                <w:b/>
                <w:bCs/>
              </w:rPr>
              <w:t>Data Warehouse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222BE3A3" w14:textId="77777777" w:rsidR="00127A1C" w:rsidRDefault="00000000">
            <w:r>
              <w:rPr>
                <w:color w:val="555555"/>
                <w:sz w:val="22"/>
                <w:szCs w:val="22"/>
              </w:rPr>
              <w:t>Azure SQL Database</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08C8A34F" w14:textId="77777777" w:rsidR="00127A1C" w:rsidRPr="00E82E8A" w:rsidRDefault="00000000">
            <w:pPr>
              <w:rPr>
                <w:lang w:val="fr-FR"/>
              </w:rPr>
            </w:pPr>
            <w:r w:rsidRPr="00E82E8A">
              <w:rPr>
                <w:sz w:val="22"/>
                <w:szCs w:val="22"/>
                <w:lang w:val="fr-FR"/>
              </w:rPr>
              <w:t>Stockage structuré final pour requêtes rapides et rapports.</w:t>
            </w:r>
          </w:p>
        </w:tc>
      </w:tr>
      <w:tr w:rsidR="00127A1C" w:rsidRPr="00E82E8A" w14:paraId="632F008B" w14:textId="77777777">
        <w:tc>
          <w:tcPr>
            <w:tcW w:w="500" w:type="dxa"/>
            <w:tcBorders>
              <w:top w:val="single" w:sz="0" w:space="0" w:color="CCCCCC"/>
              <w:left w:val="single" w:sz="0" w:space="0" w:color="CCCCCC"/>
              <w:bottom w:val="single" w:sz="0" w:space="0" w:color="CCCCCC"/>
              <w:right w:val="single" w:sz="0" w:space="0" w:color="CCCCCC"/>
            </w:tcBorders>
            <w:shd w:val="clear" w:color="auto" w:fill="F0F0F0"/>
            <w:tcMar>
              <w:top w:w="100" w:type="dxa"/>
              <w:left w:w="140" w:type="dxa"/>
              <w:bottom w:w="100" w:type="dxa"/>
              <w:right w:w="140" w:type="dxa"/>
            </w:tcMar>
          </w:tcPr>
          <w:p w14:paraId="3A0270E6" w14:textId="77777777" w:rsidR="00127A1C" w:rsidRDefault="00000000">
            <w:pPr>
              <w:jc w:val="center"/>
            </w:pPr>
            <w:r>
              <w:rPr>
                <w:b/>
                <w:bCs/>
              </w:rPr>
              <w:t>6</w:t>
            </w:r>
          </w:p>
        </w:tc>
        <w:tc>
          <w:tcPr>
            <w:tcW w:w="2000" w:type="dxa"/>
            <w:tcBorders>
              <w:top w:val="single" w:sz="0" w:space="0" w:color="CCCCCC"/>
              <w:left w:val="single" w:sz="0" w:space="0" w:color="CCCCCC"/>
              <w:bottom w:val="single" w:sz="0" w:space="0" w:color="CCCCCC"/>
              <w:right w:val="single" w:sz="0" w:space="0" w:color="CCCCCC"/>
            </w:tcBorders>
            <w:shd w:val="clear" w:color="auto" w:fill="E3F2FD"/>
            <w:tcMar>
              <w:top w:w="100" w:type="dxa"/>
              <w:left w:w="140" w:type="dxa"/>
              <w:bottom w:w="100" w:type="dxa"/>
              <w:right w:w="140" w:type="dxa"/>
            </w:tcMar>
          </w:tcPr>
          <w:p w14:paraId="0AB2097D" w14:textId="77777777" w:rsidR="00127A1C" w:rsidRDefault="00000000">
            <w:proofErr w:type="spellStart"/>
            <w:r>
              <w:rPr>
                <w:b/>
                <w:bCs/>
              </w:rPr>
              <w:t>Visualisation</w:t>
            </w:r>
            <w:proofErr w:type="spellEnd"/>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6B22C365" w14:textId="77777777" w:rsidR="00127A1C" w:rsidRDefault="00000000">
            <w:r>
              <w:rPr>
                <w:color w:val="555555"/>
                <w:sz w:val="22"/>
                <w:szCs w:val="22"/>
              </w:rPr>
              <w:t>Power BI</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100" w:type="dxa"/>
              <w:left w:w="140" w:type="dxa"/>
              <w:bottom w:w="100" w:type="dxa"/>
              <w:right w:w="140" w:type="dxa"/>
            </w:tcMar>
          </w:tcPr>
          <w:p w14:paraId="2FAEE25E" w14:textId="77777777" w:rsidR="00127A1C" w:rsidRPr="00E82E8A" w:rsidRDefault="00000000">
            <w:pPr>
              <w:rPr>
                <w:lang w:val="fr-FR"/>
              </w:rPr>
            </w:pPr>
            <w:r w:rsidRPr="00E82E8A">
              <w:rPr>
                <w:sz w:val="22"/>
                <w:szCs w:val="22"/>
                <w:lang w:val="fr-FR"/>
              </w:rPr>
              <w:t>Tableaux de bord, graphiques, rapports pour les utilisateurs métier.</w:t>
            </w:r>
          </w:p>
        </w:tc>
      </w:tr>
    </w:tbl>
    <w:p w14:paraId="1D34D0E1" w14:textId="77777777" w:rsidR="00127A1C" w:rsidRDefault="00127A1C">
      <w:pPr>
        <w:spacing w:after="80"/>
        <w:rPr>
          <w:lang w:val="fr-FR"/>
        </w:rPr>
      </w:pPr>
    </w:p>
    <w:p w14:paraId="2E2E2FFC" w14:textId="221A9FEF" w:rsidR="00E82E8A" w:rsidRDefault="00E82E8A">
      <w:pPr>
        <w:spacing w:after="80"/>
        <w:rPr>
          <w:lang w:val="fr-FR"/>
        </w:rPr>
      </w:pPr>
      <w:r>
        <w:rPr>
          <w:noProof/>
        </w:rPr>
        <w:lastRenderedPageBreak/>
        <w:drawing>
          <wp:inline distT="0" distB="0" distL="0" distR="0" wp14:anchorId="72765A7B" wp14:editId="5B05D5BF">
            <wp:extent cx="5731510" cy="2218690"/>
            <wp:effectExtent l="0" t="0" r="2540" b="0"/>
            <wp:docPr id="826472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72735" name=""/>
                    <pic:cNvPicPr/>
                  </pic:nvPicPr>
                  <pic:blipFill>
                    <a:blip r:embed="rId7"/>
                    <a:stretch>
                      <a:fillRect/>
                    </a:stretch>
                  </pic:blipFill>
                  <pic:spPr>
                    <a:xfrm>
                      <a:off x="0" y="0"/>
                      <a:ext cx="5731510" cy="2218690"/>
                    </a:xfrm>
                    <a:prstGeom prst="rect">
                      <a:avLst/>
                    </a:prstGeom>
                  </pic:spPr>
                </pic:pic>
              </a:graphicData>
            </a:graphic>
          </wp:inline>
        </w:drawing>
      </w:r>
    </w:p>
    <w:p w14:paraId="38044BB2" w14:textId="77777777" w:rsidR="00E82E8A" w:rsidRDefault="00E82E8A">
      <w:pPr>
        <w:spacing w:after="80"/>
        <w:rPr>
          <w:lang w:val="fr-FR"/>
        </w:rPr>
      </w:pPr>
    </w:p>
    <w:p w14:paraId="52816E46" w14:textId="4A863CEF" w:rsidR="00E82E8A" w:rsidRPr="00E82E8A" w:rsidRDefault="00E82E8A">
      <w:pPr>
        <w:spacing w:after="80"/>
        <w:rPr>
          <w:lang w:val="fr-FR"/>
        </w:rPr>
      </w:pPr>
      <w:r>
        <w:rPr>
          <w:noProof/>
        </w:rPr>
        <w:drawing>
          <wp:inline distT="0" distB="0" distL="0" distR="0" wp14:anchorId="1ADC6DAD" wp14:editId="70B395B8">
            <wp:extent cx="5731510" cy="1552575"/>
            <wp:effectExtent l="0" t="0" r="2540" b="9525"/>
            <wp:docPr id="7406962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96239" name=""/>
                    <pic:cNvPicPr/>
                  </pic:nvPicPr>
                  <pic:blipFill>
                    <a:blip r:embed="rId8"/>
                    <a:stretch>
                      <a:fillRect/>
                    </a:stretch>
                  </pic:blipFill>
                  <pic:spPr>
                    <a:xfrm>
                      <a:off x="0" y="0"/>
                      <a:ext cx="5731510" cy="1552575"/>
                    </a:xfrm>
                    <a:prstGeom prst="rect">
                      <a:avLst/>
                    </a:prstGeom>
                  </pic:spPr>
                </pic:pic>
              </a:graphicData>
            </a:graphic>
          </wp:inline>
        </w:drawing>
      </w:r>
    </w:p>
    <w:p w14:paraId="0E3E0F4C" w14:textId="77777777" w:rsidR="00127A1C" w:rsidRPr="00E82E8A" w:rsidRDefault="00000000">
      <w:pPr>
        <w:pStyle w:val="Titre1"/>
        <w:rPr>
          <w:lang w:val="fr-FR"/>
        </w:rPr>
      </w:pPr>
      <w:r w:rsidRPr="00E82E8A">
        <w:rPr>
          <w:lang w:val="fr-FR"/>
        </w:rPr>
        <w:t>3. Détail de chaque étape</w:t>
      </w:r>
    </w:p>
    <w:p w14:paraId="7DDD9BFD" w14:textId="77777777" w:rsidR="00127A1C" w:rsidRPr="00E82E8A" w:rsidRDefault="00000000">
      <w:pPr>
        <w:pStyle w:val="Titre2"/>
        <w:rPr>
          <w:lang w:val="fr-FR"/>
        </w:rPr>
      </w:pPr>
      <w:r w:rsidRPr="00E82E8A">
        <w:rPr>
          <w:lang w:val="fr-FR"/>
        </w:rPr>
        <w:t xml:space="preserve">Étape 1 — Extraction avec Azure Data </w:t>
      </w:r>
      <w:proofErr w:type="spellStart"/>
      <w:r w:rsidRPr="00E82E8A">
        <w:rPr>
          <w:lang w:val="fr-FR"/>
        </w:rPr>
        <w:t>Factory</w:t>
      </w:r>
      <w:proofErr w:type="spellEnd"/>
    </w:p>
    <w:p w14:paraId="39B640C2" w14:textId="77777777" w:rsidR="00127A1C" w:rsidRPr="00E82E8A" w:rsidRDefault="00000000">
      <w:pPr>
        <w:spacing w:after="160"/>
        <w:rPr>
          <w:lang w:val="fr-FR"/>
        </w:rPr>
      </w:pPr>
      <w:r w:rsidRPr="00E82E8A">
        <w:rPr>
          <w:lang w:val="fr-FR"/>
        </w:rPr>
        <w:t xml:space="preserve">Azure Data </w:t>
      </w:r>
      <w:proofErr w:type="spellStart"/>
      <w:r w:rsidRPr="00E82E8A">
        <w:rPr>
          <w:lang w:val="fr-FR"/>
        </w:rPr>
        <w:t>Factory</w:t>
      </w:r>
      <w:proofErr w:type="spellEnd"/>
      <w:r w:rsidRPr="00E82E8A">
        <w:rPr>
          <w:lang w:val="fr-FR"/>
        </w:rPr>
        <w:t xml:space="preserve"> (ADF) est le chef d'orchestre du pipeline. Il se connecte aux sources de données via plus de 90 connecteurs natifs et copie les données telles </w:t>
      </w:r>
      <w:proofErr w:type="gramStart"/>
      <w:r w:rsidRPr="00E82E8A">
        <w:rPr>
          <w:lang w:val="fr-FR"/>
        </w:rPr>
        <w:t>quelles vers</w:t>
      </w:r>
      <w:proofErr w:type="gramEnd"/>
      <w:r w:rsidRPr="00E82E8A">
        <w:rPr>
          <w:lang w:val="fr-FR"/>
        </w:rPr>
        <w:t xml:space="preserve"> le Data Lake.</w:t>
      </w:r>
    </w:p>
    <w:p w14:paraId="1FDF1218" w14:textId="77777777" w:rsidR="00127A1C" w:rsidRDefault="00000000">
      <w:pPr>
        <w:spacing w:after="160"/>
      </w:pPr>
      <w:proofErr w:type="spellStart"/>
      <w:r>
        <w:t>Caractéristiques</w:t>
      </w:r>
      <w:proofErr w:type="spellEnd"/>
      <w:r>
        <w:t xml:space="preserve"> </w:t>
      </w:r>
      <w:proofErr w:type="spellStart"/>
      <w:proofErr w:type="gramStart"/>
      <w:r>
        <w:t>principales</w:t>
      </w:r>
      <w:proofErr w:type="spellEnd"/>
      <w:r>
        <w:t xml:space="preserve"> :</w:t>
      </w:r>
      <w:proofErr w:type="gramEnd"/>
    </w:p>
    <w:p w14:paraId="4BC5DE5C" w14:textId="77777777" w:rsidR="00127A1C" w:rsidRPr="00E82E8A" w:rsidRDefault="00000000">
      <w:pPr>
        <w:pStyle w:val="Paragraphedeliste"/>
        <w:numPr>
          <w:ilvl w:val="0"/>
          <w:numId w:val="1"/>
        </w:numPr>
        <w:spacing w:after="80"/>
        <w:rPr>
          <w:lang w:val="fr-FR"/>
        </w:rPr>
      </w:pPr>
      <w:r w:rsidRPr="00E82E8A">
        <w:rPr>
          <w:lang w:val="fr-FR"/>
        </w:rPr>
        <w:t>Planification automatique (toutes les heures, chaque nuit, en temps réel).</w:t>
      </w:r>
    </w:p>
    <w:p w14:paraId="00F05FBE" w14:textId="77777777" w:rsidR="00127A1C" w:rsidRPr="00E82E8A" w:rsidRDefault="00000000">
      <w:pPr>
        <w:pStyle w:val="Paragraphedeliste"/>
        <w:numPr>
          <w:ilvl w:val="0"/>
          <w:numId w:val="1"/>
        </w:numPr>
        <w:spacing w:after="80"/>
        <w:rPr>
          <w:lang w:val="fr-FR"/>
        </w:rPr>
      </w:pPr>
      <w:r w:rsidRPr="00E82E8A">
        <w:rPr>
          <w:lang w:val="fr-FR"/>
        </w:rPr>
        <w:t>Connecteurs pour SQL Server, MySQL, Oracle, SAP, Salesforce, REST API, fichiers CSV, JSON, Parquet…</w:t>
      </w:r>
    </w:p>
    <w:p w14:paraId="2095BA37" w14:textId="77777777" w:rsidR="00127A1C" w:rsidRPr="00E82E8A" w:rsidRDefault="00000000">
      <w:pPr>
        <w:pStyle w:val="Paragraphedeliste"/>
        <w:numPr>
          <w:ilvl w:val="0"/>
          <w:numId w:val="1"/>
        </w:numPr>
        <w:spacing w:after="80"/>
        <w:rPr>
          <w:lang w:val="fr-FR"/>
        </w:rPr>
      </w:pPr>
      <w:proofErr w:type="spellStart"/>
      <w:r w:rsidRPr="00E82E8A">
        <w:rPr>
          <w:lang w:val="fr-FR"/>
        </w:rPr>
        <w:t>Integration</w:t>
      </w:r>
      <w:proofErr w:type="spellEnd"/>
      <w:r w:rsidRPr="00E82E8A">
        <w:rPr>
          <w:lang w:val="fr-FR"/>
        </w:rPr>
        <w:t xml:space="preserve"> Runtime auto-hébergé pour atteindre les sources on-</w:t>
      </w:r>
      <w:proofErr w:type="spellStart"/>
      <w:r w:rsidRPr="00E82E8A">
        <w:rPr>
          <w:lang w:val="fr-FR"/>
        </w:rPr>
        <w:t>premise</w:t>
      </w:r>
      <w:proofErr w:type="spellEnd"/>
      <w:r w:rsidRPr="00E82E8A">
        <w:rPr>
          <w:lang w:val="fr-FR"/>
        </w:rPr>
        <w:t xml:space="preserve"> derrière un pare-feu.</w:t>
      </w:r>
    </w:p>
    <w:p w14:paraId="2B15A0AE" w14:textId="77777777" w:rsidR="00127A1C" w:rsidRDefault="00000000">
      <w:pPr>
        <w:pStyle w:val="Paragraphedeliste"/>
        <w:numPr>
          <w:ilvl w:val="0"/>
          <w:numId w:val="1"/>
        </w:numPr>
        <w:spacing w:after="80"/>
        <w:rPr>
          <w:lang w:val="fr-FR"/>
        </w:rPr>
      </w:pPr>
      <w:r w:rsidRPr="00E82E8A">
        <w:rPr>
          <w:lang w:val="fr-FR"/>
        </w:rPr>
        <w:t>Aucune transformation à cette étape — la donnée est copiée brute.</w:t>
      </w:r>
    </w:p>
    <w:p w14:paraId="71296286" w14:textId="5F913239" w:rsidR="00E82E8A" w:rsidRPr="00E82E8A" w:rsidRDefault="00E82E8A">
      <w:pPr>
        <w:pStyle w:val="Paragraphedeliste"/>
        <w:numPr>
          <w:ilvl w:val="0"/>
          <w:numId w:val="1"/>
        </w:numPr>
        <w:spacing w:after="80"/>
        <w:rPr>
          <w:lang w:val="fr-FR"/>
        </w:rPr>
      </w:pPr>
      <w:r>
        <w:rPr>
          <w:noProof/>
        </w:rPr>
        <w:lastRenderedPageBreak/>
        <w:drawing>
          <wp:inline distT="0" distB="0" distL="0" distR="0" wp14:anchorId="6040A207" wp14:editId="6366894E">
            <wp:extent cx="5731510" cy="2132965"/>
            <wp:effectExtent l="0" t="0" r="2540" b="635"/>
            <wp:docPr id="551273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73489" name=""/>
                    <pic:cNvPicPr/>
                  </pic:nvPicPr>
                  <pic:blipFill>
                    <a:blip r:embed="rId9"/>
                    <a:stretch>
                      <a:fillRect/>
                    </a:stretch>
                  </pic:blipFill>
                  <pic:spPr>
                    <a:xfrm>
                      <a:off x="0" y="0"/>
                      <a:ext cx="5731510" cy="2132965"/>
                    </a:xfrm>
                    <a:prstGeom prst="rect">
                      <a:avLst/>
                    </a:prstGeom>
                  </pic:spPr>
                </pic:pic>
              </a:graphicData>
            </a:graphic>
          </wp:inline>
        </w:drawing>
      </w:r>
    </w:p>
    <w:p w14:paraId="77C20A3D" w14:textId="77777777" w:rsidR="00127A1C" w:rsidRPr="00E82E8A" w:rsidRDefault="00127A1C">
      <w:pPr>
        <w:spacing w:after="80"/>
        <w:rPr>
          <w:lang w:val="fr-FR"/>
        </w:rPr>
      </w:pPr>
    </w:p>
    <w:p w14:paraId="6A0FB23E" w14:textId="77777777" w:rsidR="00127A1C" w:rsidRPr="00E82E8A" w:rsidRDefault="00000000">
      <w:pPr>
        <w:pStyle w:val="Titre2"/>
        <w:rPr>
          <w:lang w:val="fr-FR"/>
        </w:rPr>
      </w:pPr>
      <w:r w:rsidRPr="00E82E8A">
        <w:rPr>
          <w:lang w:val="fr-FR"/>
        </w:rPr>
        <w:t>Étape 2 — Couche Bronze (stockage brut)</w:t>
      </w:r>
    </w:p>
    <w:p w14:paraId="7735E24A" w14:textId="77777777" w:rsidR="00127A1C" w:rsidRPr="00E82E8A" w:rsidRDefault="00000000">
      <w:pPr>
        <w:spacing w:after="160"/>
        <w:rPr>
          <w:lang w:val="fr-FR"/>
        </w:rPr>
      </w:pPr>
      <w:r w:rsidRPr="00E82E8A">
        <w:rPr>
          <w:lang w:val="fr-FR"/>
        </w:rPr>
        <w:t>Azure Data Lake Storage (ADLS) reçoit les données brutes dans la couche Bronze. Cette couche est immuable : on n'y modifie jamais les données après ingestion.</w:t>
      </w:r>
    </w:p>
    <w:p w14:paraId="6937350E" w14:textId="77777777" w:rsidR="00127A1C" w:rsidRPr="00E82E8A" w:rsidRDefault="00000000">
      <w:pPr>
        <w:spacing w:after="160"/>
        <w:rPr>
          <w:lang w:val="fr-FR"/>
        </w:rPr>
      </w:pPr>
      <w:r w:rsidRPr="00E82E8A">
        <w:rPr>
          <w:lang w:val="fr-FR"/>
        </w:rPr>
        <w:t>Pourquoi conserver les données brutes ?</w:t>
      </w:r>
    </w:p>
    <w:p w14:paraId="05FB43D0" w14:textId="77777777" w:rsidR="00127A1C" w:rsidRPr="00E82E8A" w:rsidRDefault="00000000">
      <w:pPr>
        <w:pStyle w:val="Paragraphedeliste"/>
        <w:numPr>
          <w:ilvl w:val="0"/>
          <w:numId w:val="1"/>
        </w:numPr>
        <w:spacing w:after="80"/>
        <w:rPr>
          <w:lang w:val="fr-FR"/>
        </w:rPr>
      </w:pPr>
      <w:r w:rsidRPr="00E82E8A">
        <w:rPr>
          <w:lang w:val="fr-FR"/>
        </w:rPr>
        <w:t>En cas d'erreur dans une transformation, on peut reconstruire Silver et Gold depuis Bronze.</w:t>
      </w:r>
    </w:p>
    <w:p w14:paraId="1365415B" w14:textId="77777777" w:rsidR="00127A1C" w:rsidRPr="00E82E8A" w:rsidRDefault="00000000">
      <w:pPr>
        <w:pStyle w:val="Paragraphedeliste"/>
        <w:numPr>
          <w:ilvl w:val="0"/>
          <w:numId w:val="1"/>
        </w:numPr>
        <w:spacing w:after="80"/>
        <w:rPr>
          <w:lang w:val="fr-FR"/>
        </w:rPr>
      </w:pPr>
      <w:r w:rsidRPr="00E82E8A">
        <w:rPr>
          <w:lang w:val="fr-FR"/>
        </w:rPr>
        <w:t>La couche Bronze sert d'audit trail : on sait exactement ce qui est arrivé depuis la source.</w:t>
      </w:r>
    </w:p>
    <w:p w14:paraId="2E88FBC7" w14:textId="77777777" w:rsidR="00127A1C" w:rsidRDefault="00000000">
      <w:pPr>
        <w:pStyle w:val="Paragraphedeliste"/>
        <w:numPr>
          <w:ilvl w:val="0"/>
          <w:numId w:val="1"/>
        </w:numPr>
        <w:spacing w:after="80"/>
        <w:rPr>
          <w:lang w:val="fr-FR"/>
        </w:rPr>
      </w:pPr>
      <w:r w:rsidRPr="00E82E8A">
        <w:rPr>
          <w:lang w:val="fr-FR"/>
        </w:rPr>
        <w:t>Elle permet de rejouer le pipeline avec de nouvelles règles métier.</w:t>
      </w:r>
    </w:p>
    <w:p w14:paraId="0FE08357" w14:textId="6A828F99" w:rsidR="00E82E8A" w:rsidRPr="00E82E8A" w:rsidRDefault="00E82E8A" w:rsidP="00E82E8A">
      <w:pPr>
        <w:pStyle w:val="Paragraphedeliste"/>
        <w:spacing w:after="80"/>
        <w:ind w:left="720"/>
        <w:rPr>
          <w:lang w:val="fr-FR"/>
        </w:rPr>
      </w:pPr>
      <w:r>
        <w:rPr>
          <w:noProof/>
        </w:rPr>
        <w:drawing>
          <wp:inline distT="0" distB="0" distL="0" distR="0" wp14:anchorId="2DCBC211" wp14:editId="08DF9CAB">
            <wp:extent cx="5731510" cy="1936750"/>
            <wp:effectExtent l="0" t="0" r="2540" b="6350"/>
            <wp:docPr id="551833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33944" name=""/>
                    <pic:cNvPicPr/>
                  </pic:nvPicPr>
                  <pic:blipFill>
                    <a:blip r:embed="rId10"/>
                    <a:stretch>
                      <a:fillRect/>
                    </a:stretch>
                  </pic:blipFill>
                  <pic:spPr>
                    <a:xfrm>
                      <a:off x="0" y="0"/>
                      <a:ext cx="5731510" cy="1936750"/>
                    </a:xfrm>
                    <a:prstGeom prst="rect">
                      <a:avLst/>
                    </a:prstGeom>
                  </pic:spPr>
                </pic:pic>
              </a:graphicData>
            </a:graphic>
          </wp:inline>
        </w:drawing>
      </w:r>
    </w:p>
    <w:p w14:paraId="582FD237" w14:textId="77777777" w:rsidR="00127A1C" w:rsidRPr="00E82E8A" w:rsidRDefault="00127A1C">
      <w:pPr>
        <w:spacing w:after="80"/>
        <w:rPr>
          <w:lang w:val="fr-FR"/>
        </w:rPr>
      </w:pPr>
    </w:p>
    <w:p w14:paraId="3DA0686A" w14:textId="77777777" w:rsidR="00127A1C" w:rsidRPr="00E82E8A" w:rsidRDefault="00000000">
      <w:pPr>
        <w:pStyle w:val="Titre2"/>
        <w:rPr>
          <w:lang w:val="fr-FR"/>
        </w:rPr>
      </w:pPr>
      <w:r w:rsidRPr="00E82E8A">
        <w:rPr>
          <w:lang w:val="fr-FR"/>
        </w:rPr>
        <w:t>Étape 3 — Couche Silver (nettoyage)</w:t>
      </w:r>
    </w:p>
    <w:p w14:paraId="4DD27B94" w14:textId="77777777" w:rsidR="00127A1C" w:rsidRPr="00E82E8A" w:rsidRDefault="00000000">
      <w:pPr>
        <w:spacing w:after="160"/>
        <w:rPr>
          <w:lang w:val="fr-FR"/>
        </w:rPr>
      </w:pPr>
      <w:r w:rsidRPr="00E82E8A">
        <w:rPr>
          <w:lang w:val="fr-FR"/>
        </w:rPr>
        <w:t xml:space="preserve">Azure </w:t>
      </w:r>
      <w:proofErr w:type="spellStart"/>
      <w:r w:rsidRPr="00E82E8A">
        <w:rPr>
          <w:lang w:val="fr-FR"/>
        </w:rPr>
        <w:t>Databricks</w:t>
      </w:r>
      <w:proofErr w:type="spellEnd"/>
      <w:r w:rsidRPr="00E82E8A">
        <w:rPr>
          <w:lang w:val="fr-FR"/>
        </w:rPr>
        <w:t xml:space="preserve"> lit les données Bronze et applique les premières transformations via des Spark </w:t>
      </w:r>
      <w:proofErr w:type="spellStart"/>
      <w:r w:rsidRPr="00E82E8A">
        <w:rPr>
          <w:lang w:val="fr-FR"/>
        </w:rPr>
        <w:t>DataFrames</w:t>
      </w:r>
      <w:proofErr w:type="spellEnd"/>
      <w:r w:rsidRPr="00E82E8A">
        <w:rPr>
          <w:lang w:val="fr-FR"/>
        </w:rPr>
        <w:t>. L'objectif est d'obtenir des données propres, pas encore agrégées.</w:t>
      </w:r>
    </w:p>
    <w:p w14:paraId="1EDBCB23" w14:textId="77777777" w:rsidR="00127A1C" w:rsidRPr="00E82E8A" w:rsidRDefault="00000000">
      <w:pPr>
        <w:spacing w:after="160"/>
        <w:rPr>
          <w:lang w:val="fr-FR"/>
        </w:rPr>
      </w:pPr>
      <w:r w:rsidRPr="00E82E8A">
        <w:rPr>
          <w:lang w:val="fr-FR"/>
        </w:rPr>
        <w:t>Opérations typiques en Silver :</w:t>
      </w:r>
    </w:p>
    <w:p w14:paraId="710CC68B" w14:textId="77777777" w:rsidR="00127A1C" w:rsidRDefault="00000000">
      <w:pPr>
        <w:pStyle w:val="Paragraphedeliste"/>
        <w:numPr>
          <w:ilvl w:val="0"/>
          <w:numId w:val="1"/>
        </w:numPr>
        <w:spacing w:after="80"/>
      </w:pPr>
      <w:r>
        <w:t xml:space="preserve">Suppression des </w:t>
      </w:r>
      <w:proofErr w:type="spellStart"/>
      <w:r>
        <w:t>lignes</w:t>
      </w:r>
      <w:proofErr w:type="spellEnd"/>
      <w:r>
        <w:t xml:space="preserve"> </w:t>
      </w:r>
      <w:proofErr w:type="spellStart"/>
      <w:r>
        <w:t>dupliquées</w:t>
      </w:r>
      <w:proofErr w:type="spellEnd"/>
      <w:r>
        <w:t>.</w:t>
      </w:r>
    </w:p>
    <w:p w14:paraId="1229B19E" w14:textId="77777777" w:rsidR="00127A1C" w:rsidRPr="00E82E8A" w:rsidRDefault="00000000">
      <w:pPr>
        <w:pStyle w:val="Paragraphedeliste"/>
        <w:numPr>
          <w:ilvl w:val="0"/>
          <w:numId w:val="1"/>
        </w:numPr>
        <w:spacing w:after="80"/>
        <w:rPr>
          <w:lang w:val="fr-FR"/>
        </w:rPr>
      </w:pPr>
      <w:r w:rsidRPr="00E82E8A">
        <w:rPr>
          <w:lang w:val="fr-FR"/>
        </w:rPr>
        <w:t>Correction des types de colonnes (ex. une date stockée comme texte devient un vrai type DATE).</w:t>
      </w:r>
    </w:p>
    <w:p w14:paraId="648FBC42" w14:textId="77777777" w:rsidR="00127A1C" w:rsidRPr="00E82E8A" w:rsidRDefault="00000000">
      <w:pPr>
        <w:pStyle w:val="Paragraphedeliste"/>
        <w:numPr>
          <w:ilvl w:val="0"/>
          <w:numId w:val="1"/>
        </w:numPr>
        <w:spacing w:after="80"/>
        <w:rPr>
          <w:lang w:val="fr-FR"/>
        </w:rPr>
      </w:pPr>
      <w:r w:rsidRPr="00E82E8A">
        <w:rPr>
          <w:lang w:val="fr-FR"/>
        </w:rPr>
        <w:t>Gestion des valeurs nulles ou aberrantes.</w:t>
      </w:r>
    </w:p>
    <w:p w14:paraId="79362337" w14:textId="77777777" w:rsidR="00127A1C" w:rsidRDefault="00000000">
      <w:pPr>
        <w:pStyle w:val="Paragraphedeliste"/>
        <w:numPr>
          <w:ilvl w:val="0"/>
          <w:numId w:val="1"/>
        </w:numPr>
        <w:spacing w:after="80"/>
        <w:rPr>
          <w:lang w:val="fr-FR"/>
        </w:rPr>
      </w:pPr>
      <w:r w:rsidRPr="00E82E8A">
        <w:rPr>
          <w:lang w:val="fr-FR"/>
        </w:rPr>
        <w:lastRenderedPageBreak/>
        <w:t>Standardisation des formats (dates, devises, codes pays…).</w:t>
      </w:r>
    </w:p>
    <w:p w14:paraId="19C08686" w14:textId="3414E264" w:rsidR="00E82E8A" w:rsidRPr="00E82E8A" w:rsidRDefault="00E82E8A" w:rsidP="00E82E8A">
      <w:pPr>
        <w:pStyle w:val="Paragraphedeliste"/>
        <w:spacing w:after="80"/>
        <w:ind w:left="720"/>
        <w:rPr>
          <w:lang w:val="fr-FR"/>
        </w:rPr>
      </w:pPr>
      <w:r>
        <w:rPr>
          <w:noProof/>
        </w:rPr>
        <w:drawing>
          <wp:inline distT="0" distB="0" distL="0" distR="0" wp14:anchorId="203DD3FF" wp14:editId="7D2B09A4">
            <wp:extent cx="5731510" cy="1760220"/>
            <wp:effectExtent l="0" t="0" r="2540" b="0"/>
            <wp:docPr id="2093124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24818" name=""/>
                    <pic:cNvPicPr/>
                  </pic:nvPicPr>
                  <pic:blipFill rotWithShape="1">
                    <a:blip r:embed="rId11"/>
                    <a:srcRect b="19112"/>
                    <a:stretch>
                      <a:fillRect/>
                    </a:stretch>
                  </pic:blipFill>
                  <pic:spPr bwMode="auto">
                    <a:xfrm>
                      <a:off x="0" y="0"/>
                      <a:ext cx="5731510" cy="1760220"/>
                    </a:xfrm>
                    <a:prstGeom prst="rect">
                      <a:avLst/>
                    </a:prstGeom>
                    <a:ln>
                      <a:noFill/>
                    </a:ln>
                    <a:extLst>
                      <a:ext uri="{53640926-AAD7-44D8-BBD7-CCE9431645EC}">
                        <a14:shadowObscured xmlns:a14="http://schemas.microsoft.com/office/drawing/2010/main"/>
                      </a:ext>
                    </a:extLst>
                  </pic:spPr>
                </pic:pic>
              </a:graphicData>
            </a:graphic>
          </wp:inline>
        </w:drawing>
      </w:r>
    </w:p>
    <w:p w14:paraId="2CF1DCC2" w14:textId="77777777" w:rsidR="00127A1C" w:rsidRPr="00E82E8A" w:rsidRDefault="00127A1C">
      <w:pPr>
        <w:spacing w:after="80"/>
        <w:rPr>
          <w:lang w:val="fr-FR"/>
        </w:rPr>
      </w:pPr>
    </w:p>
    <w:p w14:paraId="55AEC7FB" w14:textId="77777777" w:rsidR="00127A1C" w:rsidRPr="00E82E8A" w:rsidRDefault="00000000">
      <w:pPr>
        <w:pStyle w:val="Titre2"/>
        <w:rPr>
          <w:lang w:val="fr-FR"/>
        </w:rPr>
      </w:pPr>
      <w:r w:rsidRPr="00E82E8A">
        <w:rPr>
          <w:lang w:val="fr-FR"/>
        </w:rPr>
        <w:t>Étape 4 — Couche Gold (transformation métier)</w:t>
      </w:r>
    </w:p>
    <w:p w14:paraId="2D3AC94B" w14:textId="77777777" w:rsidR="00127A1C" w:rsidRPr="00E82E8A" w:rsidRDefault="00000000">
      <w:pPr>
        <w:spacing w:after="160"/>
        <w:rPr>
          <w:lang w:val="fr-FR"/>
        </w:rPr>
      </w:pPr>
      <w:r w:rsidRPr="00E82E8A">
        <w:rPr>
          <w:lang w:val="fr-FR"/>
        </w:rPr>
        <w:t xml:space="preserve">Toujours dans </w:t>
      </w:r>
      <w:proofErr w:type="spellStart"/>
      <w:r w:rsidRPr="00E82E8A">
        <w:rPr>
          <w:lang w:val="fr-FR"/>
        </w:rPr>
        <w:t>Databricks</w:t>
      </w:r>
      <w:proofErr w:type="spellEnd"/>
      <w:r w:rsidRPr="00E82E8A">
        <w:rPr>
          <w:lang w:val="fr-FR"/>
        </w:rPr>
        <w:t>, la couche Gold construit les tables directement utiles au business. Ces tables sont optimisées pour les requêtes analytiques.</w:t>
      </w:r>
    </w:p>
    <w:p w14:paraId="4349054F" w14:textId="77777777" w:rsidR="00127A1C" w:rsidRPr="00E82E8A" w:rsidRDefault="00000000">
      <w:pPr>
        <w:spacing w:after="160"/>
        <w:rPr>
          <w:lang w:val="fr-FR"/>
        </w:rPr>
      </w:pPr>
      <w:r w:rsidRPr="00E82E8A">
        <w:rPr>
          <w:lang w:val="fr-FR"/>
        </w:rPr>
        <w:t>Exemples de tables Gold :</w:t>
      </w:r>
    </w:p>
    <w:p w14:paraId="635D70FA" w14:textId="77777777" w:rsidR="00127A1C" w:rsidRPr="00E82E8A" w:rsidRDefault="00000000">
      <w:pPr>
        <w:pStyle w:val="Paragraphedeliste"/>
        <w:numPr>
          <w:ilvl w:val="0"/>
          <w:numId w:val="1"/>
        </w:numPr>
        <w:spacing w:after="80"/>
        <w:rPr>
          <w:lang w:val="fr-FR"/>
        </w:rPr>
      </w:pPr>
      <w:r w:rsidRPr="00E82E8A">
        <w:rPr>
          <w:lang w:val="fr-FR"/>
        </w:rPr>
        <w:t>Chiffre d'affaires par région et par mois.</w:t>
      </w:r>
    </w:p>
    <w:p w14:paraId="12C41964" w14:textId="77777777" w:rsidR="00127A1C" w:rsidRPr="00E82E8A" w:rsidRDefault="00000000">
      <w:pPr>
        <w:pStyle w:val="Paragraphedeliste"/>
        <w:numPr>
          <w:ilvl w:val="0"/>
          <w:numId w:val="1"/>
        </w:numPr>
        <w:spacing w:after="80"/>
        <w:rPr>
          <w:lang w:val="fr-FR"/>
        </w:rPr>
      </w:pPr>
      <w:r w:rsidRPr="00E82E8A">
        <w:rPr>
          <w:lang w:val="fr-FR"/>
        </w:rPr>
        <w:t>Stock disponible par produit et par entrepôt.</w:t>
      </w:r>
    </w:p>
    <w:p w14:paraId="080EBA64" w14:textId="77777777" w:rsidR="00127A1C" w:rsidRPr="00E82E8A" w:rsidRDefault="00000000">
      <w:pPr>
        <w:pStyle w:val="Paragraphedeliste"/>
        <w:numPr>
          <w:ilvl w:val="0"/>
          <w:numId w:val="1"/>
        </w:numPr>
        <w:spacing w:after="80"/>
        <w:rPr>
          <w:lang w:val="fr-FR"/>
        </w:rPr>
      </w:pPr>
      <w:r w:rsidRPr="00E82E8A">
        <w:rPr>
          <w:lang w:val="fr-FR"/>
        </w:rPr>
        <w:t>Taux de satisfaction client par catégorie.</w:t>
      </w:r>
    </w:p>
    <w:p w14:paraId="3811567C" w14:textId="77777777" w:rsidR="00127A1C" w:rsidRPr="00E82E8A" w:rsidRDefault="00000000">
      <w:pPr>
        <w:pStyle w:val="Paragraphedeliste"/>
        <w:numPr>
          <w:ilvl w:val="0"/>
          <w:numId w:val="1"/>
        </w:numPr>
        <w:spacing w:after="80"/>
        <w:rPr>
          <w:lang w:val="fr-FR"/>
        </w:rPr>
      </w:pPr>
      <w:r w:rsidRPr="00E82E8A">
        <w:rPr>
          <w:lang w:val="fr-FR"/>
        </w:rPr>
        <w:t>KPIs financiers agrégés pour les tableaux de bord Direction.</w:t>
      </w:r>
    </w:p>
    <w:p w14:paraId="0C2FA9D1" w14:textId="77777777" w:rsidR="00127A1C" w:rsidRPr="00E82E8A" w:rsidRDefault="00127A1C">
      <w:pPr>
        <w:spacing w:after="80"/>
        <w:rPr>
          <w:lang w:val="fr-FR"/>
        </w:rPr>
      </w:pPr>
    </w:p>
    <w:p w14:paraId="1B927771" w14:textId="77777777" w:rsidR="00127A1C" w:rsidRDefault="00000000">
      <w:pPr>
        <w:pStyle w:val="Titre2"/>
      </w:pPr>
      <w:r>
        <w:t>Étape 5 — Azure SQL Database (Data Warehouse)</w:t>
      </w:r>
    </w:p>
    <w:p w14:paraId="5CFCEC96" w14:textId="77777777" w:rsidR="00127A1C" w:rsidRPr="00E82E8A" w:rsidRDefault="00000000">
      <w:pPr>
        <w:spacing w:after="160"/>
        <w:rPr>
          <w:lang w:val="fr-FR"/>
        </w:rPr>
      </w:pPr>
      <w:r w:rsidRPr="00E82E8A">
        <w:rPr>
          <w:lang w:val="fr-FR"/>
        </w:rPr>
        <w:t xml:space="preserve">Les tables Gold sont chargées dans Azure SQL </w:t>
      </w:r>
      <w:proofErr w:type="spellStart"/>
      <w:r w:rsidRPr="00E82E8A">
        <w:rPr>
          <w:lang w:val="fr-FR"/>
        </w:rPr>
        <w:t>Database</w:t>
      </w:r>
      <w:proofErr w:type="spellEnd"/>
      <w:r w:rsidRPr="00E82E8A">
        <w:rPr>
          <w:lang w:val="fr-FR"/>
        </w:rPr>
        <w:t>. Cette base relationnelle sert de couche de service (</w:t>
      </w:r>
      <w:proofErr w:type="spellStart"/>
      <w:r w:rsidRPr="00E82E8A">
        <w:rPr>
          <w:lang w:val="fr-FR"/>
        </w:rPr>
        <w:t>serving</w:t>
      </w:r>
      <w:proofErr w:type="spellEnd"/>
      <w:r w:rsidRPr="00E82E8A">
        <w:rPr>
          <w:lang w:val="fr-FR"/>
        </w:rPr>
        <w:t xml:space="preserve"> layer) : les données y sont indexées et structurées pour des requêtes rapides.</w:t>
      </w:r>
    </w:p>
    <w:p w14:paraId="6E0D1BB8" w14:textId="77777777" w:rsidR="00127A1C" w:rsidRPr="00E82E8A" w:rsidRDefault="00000000">
      <w:pPr>
        <w:spacing w:after="160"/>
        <w:rPr>
          <w:lang w:val="fr-FR"/>
        </w:rPr>
      </w:pPr>
      <w:r w:rsidRPr="00E82E8A">
        <w:rPr>
          <w:lang w:val="fr-FR"/>
        </w:rPr>
        <w:t xml:space="preserve">Avantages d'Azure SQL </w:t>
      </w:r>
      <w:proofErr w:type="spellStart"/>
      <w:r w:rsidRPr="00E82E8A">
        <w:rPr>
          <w:lang w:val="fr-FR"/>
        </w:rPr>
        <w:t>Database</w:t>
      </w:r>
      <w:proofErr w:type="spellEnd"/>
      <w:r w:rsidRPr="00E82E8A">
        <w:rPr>
          <w:lang w:val="fr-FR"/>
        </w:rPr>
        <w:t xml:space="preserve"> à cette position :</w:t>
      </w:r>
    </w:p>
    <w:p w14:paraId="07ED4AE6" w14:textId="77777777" w:rsidR="00127A1C" w:rsidRPr="00E82E8A" w:rsidRDefault="00000000">
      <w:pPr>
        <w:pStyle w:val="Paragraphedeliste"/>
        <w:numPr>
          <w:ilvl w:val="0"/>
          <w:numId w:val="1"/>
        </w:numPr>
        <w:spacing w:after="80"/>
        <w:rPr>
          <w:lang w:val="fr-FR"/>
        </w:rPr>
      </w:pPr>
      <w:r w:rsidRPr="00E82E8A">
        <w:rPr>
          <w:lang w:val="fr-FR"/>
        </w:rPr>
        <w:t>Connectivité native avec Power BI (</w:t>
      </w:r>
      <w:proofErr w:type="spellStart"/>
      <w:r w:rsidRPr="00E82E8A">
        <w:rPr>
          <w:lang w:val="fr-FR"/>
        </w:rPr>
        <w:t>DirectQuery</w:t>
      </w:r>
      <w:proofErr w:type="spellEnd"/>
      <w:r w:rsidRPr="00E82E8A">
        <w:rPr>
          <w:lang w:val="fr-FR"/>
        </w:rPr>
        <w:t xml:space="preserve"> et Import).</w:t>
      </w:r>
    </w:p>
    <w:p w14:paraId="355F0025" w14:textId="77777777" w:rsidR="00127A1C" w:rsidRPr="00E82E8A" w:rsidRDefault="00000000">
      <w:pPr>
        <w:pStyle w:val="Paragraphedeliste"/>
        <w:numPr>
          <w:ilvl w:val="0"/>
          <w:numId w:val="1"/>
        </w:numPr>
        <w:spacing w:after="80"/>
        <w:rPr>
          <w:lang w:val="fr-FR"/>
        </w:rPr>
      </w:pPr>
      <w:r w:rsidRPr="00E82E8A">
        <w:rPr>
          <w:lang w:val="fr-FR"/>
        </w:rPr>
        <w:t>Requêtes SQL standard accessibles à tous les analystes.</w:t>
      </w:r>
    </w:p>
    <w:p w14:paraId="189553D3" w14:textId="77777777" w:rsidR="00127A1C" w:rsidRPr="00E82E8A" w:rsidRDefault="00000000">
      <w:pPr>
        <w:pStyle w:val="Paragraphedeliste"/>
        <w:numPr>
          <w:ilvl w:val="0"/>
          <w:numId w:val="1"/>
        </w:numPr>
        <w:spacing w:after="80"/>
        <w:rPr>
          <w:lang w:val="fr-FR"/>
        </w:rPr>
      </w:pPr>
      <w:r w:rsidRPr="00E82E8A">
        <w:rPr>
          <w:lang w:val="fr-FR"/>
        </w:rPr>
        <w:t>Sécurité fine par rôles et colonnes.</w:t>
      </w:r>
    </w:p>
    <w:p w14:paraId="33BD8AF6" w14:textId="77777777" w:rsidR="00127A1C" w:rsidRPr="00E82E8A" w:rsidRDefault="00000000">
      <w:pPr>
        <w:pStyle w:val="Paragraphedeliste"/>
        <w:numPr>
          <w:ilvl w:val="0"/>
          <w:numId w:val="1"/>
        </w:numPr>
        <w:spacing w:after="80"/>
        <w:rPr>
          <w:lang w:val="fr-FR"/>
        </w:rPr>
      </w:pPr>
      <w:r w:rsidRPr="00E82E8A">
        <w:rPr>
          <w:lang w:val="fr-FR"/>
        </w:rPr>
        <w:t>Haute disponibilité gérée par Azure.</w:t>
      </w:r>
    </w:p>
    <w:p w14:paraId="0988D9E2" w14:textId="77777777" w:rsidR="00127A1C" w:rsidRPr="00E82E8A" w:rsidRDefault="00127A1C">
      <w:pPr>
        <w:spacing w:after="80"/>
        <w:rPr>
          <w:lang w:val="fr-FR"/>
        </w:rPr>
      </w:pPr>
    </w:p>
    <w:p w14:paraId="621B76C3" w14:textId="77777777" w:rsidR="00127A1C" w:rsidRPr="00E82E8A" w:rsidRDefault="00000000">
      <w:pPr>
        <w:pStyle w:val="Titre2"/>
        <w:rPr>
          <w:lang w:val="fr-FR"/>
        </w:rPr>
      </w:pPr>
      <w:r w:rsidRPr="00E82E8A">
        <w:rPr>
          <w:lang w:val="fr-FR"/>
        </w:rPr>
        <w:t>Étape 6 — Power BI (visualisation)</w:t>
      </w:r>
    </w:p>
    <w:p w14:paraId="52A7F181" w14:textId="77777777" w:rsidR="00127A1C" w:rsidRPr="00E82E8A" w:rsidRDefault="00000000">
      <w:pPr>
        <w:spacing w:after="160"/>
        <w:rPr>
          <w:lang w:val="fr-FR"/>
        </w:rPr>
      </w:pPr>
      <w:r w:rsidRPr="00E82E8A">
        <w:rPr>
          <w:lang w:val="fr-FR"/>
        </w:rPr>
        <w:t xml:space="preserve">Power BI se connecte à Azure SQL </w:t>
      </w:r>
      <w:proofErr w:type="spellStart"/>
      <w:r w:rsidRPr="00E82E8A">
        <w:rPr>
          <w:lang w:val="fr-FR"/>
        </w:rPr>
        <w:t>Database</w:t>
      </w:r>
      <w:proofErr w:type="spellEnd"/>
      <w:r w:rsidRPr="00E82E8A">
        <w:rPr>
          <w:lang w:val="fr-FR"/>
        </w:rPr>
        <w:t xml:space="preserve"> et génère les rapports visuels consommés par les utilisateurs métier. Ils voient des graphiques et des tableaux de bord sans jamais accéder à la donnée brute.</w:t>
      </w:r>
    </w:p>
    <w:p w14:paraId="0FE8B377" w14:textId="77777777" w:rsidR="00127A1C" w:rsidRDefault="00000000">
      <w:pPr>
        <w:spacing w:after="160"/>
      </w:pPr>
      <w:r>
        <w:t xml:space="preserve">Modes de </w:t>
      </w:r>
      <w:proofErr w:type="spellStart"/>
      <w:proofErr w:type="gramStart"/>
      <w:r>
        <w:t>connexion</w:t>
      </w:r>
      <w:proofErr w:type="spellEnd"/>
      <w:r>
        <w:t xml:space="preserve"> :</w:t>
      </w:r>
      <w:proofErr w:type="gramEnd"/>
    </w:p>
    <w:p w14:paraId="6D398849" w14:textId="77777777" w:rsidR="00127A1C" w:rsidRPr="00E82E8A" w:rsidRDefault="00000000">
      <w:pPr>
        <w:pStyle w:val="Paragraphedeliste"/>
        <w:numPr>
          <w:ilvl w:val="0"/>
          <w:numId w:val="1"/>
        </w:numPr>
        <w:spacing w:after="80"/>
        <w:rPr>
          <w:lang w:val="fr-FR"/>
        </w:rPr>
      </w:pPr>
      <w:r w:rsidRPr="00E82E8A">
        <w:rPr>
          <w:b/>
          <w:bCs/>
          <w:lang w:val="fr-FR"/>
        </w:rPr>
        <w:t xml:space="preserve">Import — </w:t>
      </w:r>
      <w:r w:rsidRPr="00E82E8A">
        <w:rPr>
          <w:lang w:val="fr-FR"/>
        </w:rPr>
        <w:t>Import : les données sont copiées dans Power BI pour des performances maximales.</w:t>
      </w:r>
    </w:p>
    <w:p w14:paraId="532E513A" w14:textId="77777777" w:rsidR="00127A1C" w:rsidRPr="00E82E8A" w:rsidRDefault="00000000">
      <w:pPr>
        <w:pStyle w:val="Paragraphedeliste"/>
        <w:numPr>
          <w:ilvl w:val="0"/>
          <w:numId w:val="1"/>
        </w:numPr>
        <w:spacing w:after="80"/>
        <w:rPr>
          <w:lang w:val="fr-FR"/>
        </w:rPr>
      </w:pPr>
      <w:proofErr w:type="spellStart"/>
      <w:r w:rsidRPr="00E82E8A">
        <w:rPr>
          <w:b/>
          <w:bCs/>
          <w:lang w:val="fr-FR"/>
        </w:rPr>
        <w:lastRenderedPageBreak/>
        <w:t>DirectQuery</w:t>
      </w:r>
      <w:proofErr w:type="spellEnd"/>
      <w:r w:rsidRPr="00E82E8A">
        <w:rPr>
          <w:b/>
          <w:bCs/>
          <w:lang w:val="fr-FR"/>
        </w:rPr>
        <w:t xml:space="preserve"> — </w:t>
      </w:r>
      <w:proofErr w:type="spellStart"/>
      <w:r w:rsidRPr="00E82E8A">
        <w:rPr>
          <w:lang w:val="fr-FR"/>
        </w:rPr>
        <w:t>DirectQuery</w:t>
      </w:r>
      <w:proofErr w:type="spellEnd"/>
      <w:r w:rsidRPr="00E82E8A">
        <w:rPr>
          <w:lang w:val="fr-FR"/>
        </w:rPr>
        <w:t xml:space="preserve"> : Power BI interroge Azure SQL en temps réel pour des données toujours fraîches.</w:t>
      </w:r>
    </w:p>
    <w:p w14:paraId="32EF0FE3" w14:textId="77777777" w:rsidR="00127A1C" w:rsidRPr="00E82E8A" w:rsidRDefault="00127A1C">
      <w:pPr>
        <w:spacing w:after="80"/>
        <w:rPr>
          <w:lang w:val="fr-FR"/>
        </w:rPr>
      </w:pPr>
    </w:p>
    <w:p w14:paraId="18414DEF" w14:textId="77777777" w:rsidR="00127A1C" w:rsidRPr="00E82E8A" w:rsidRDefault="00000000">
      <w:pPr>
        <w:pStyle w:val="Titre1"/>
        <w:rPr>
          <w:lang w:val="fr-FR"/>
        </w:rPr>
      </w:pPr>
      <w:r w:rsidRPr="00E82E8A">
        <w:rPr>
          <w:lang w:val="fr-FR"/>
        </w:rPr>
        <w:t>4. Sources de données compatibles</w:t>
      </w:r>
    </w:p>
    <w:p w14:paraId="1C5794D4" w14:textId="77777777" w:rsidR="00127A1C" w:rsidRDefault="00000000">
      <w:pPr>
        <w:spacing w:after="160"/>
      </w:pPr>
      <w:r w:rsidRPr="00E82E8A">
        <w:rPr>
          <w:lang w:val="fr-FR"/>
        </w:rPr>
        <w:t xml:space="preserve">Ce pipeline est conçu pour être agnostique à la source. </w:t>
      </w:r>
      <w:r>
        <w:t xml:space="preserve">Azure Data Factory </w:t>
      </w:r>
      <w:proofErr w:type="spellStart"/>
      <w:r>
        <w:t>supporte</w:t>
      </w:r>
      <w:proofErr w:type="spellEnd"/>
      <w:r>
        <w:t xml:space="preserve"> </w:t>
      </w:r>
      <w:proofErr w:type="spellStart"/>
      <w:proofErr w:type="gramStart"/>
      <w:r>
        <w:t>nativement</w:t>
      </w:r>
      <w:proofErr w:type="spellEnd"/>
      <w:r>
        <w:t xml:space="preserve"> :</w:t>
      </w:r>
      <w:proofErr w:type="gramEnd"/>
    </w:p>
    <w:p w14:paraId="66F55C09" w14:textId="77777777" w:rsidR="00127A1C" w:rsidRPr="00E82E8A" w:rsidRDefault="00000000">
      <w:pPr>
        <w:pStyle w:val="Paragraphedeliste"/>
        <w:numPr>
          <w:ilvl w:val="0"/>
          <w:numId w:val="1"/>
        </w:numPr>
        <w:spacing w:after="80"/>
        <w:rPr>
          <w:lang w:val="fr-FR"/>
        </w:rPr>
      </w:pPr>
      <w:r w:rsidRPr="00E82E8A">
        <w:rPr>
          <w:lang w:val="fr-FR"/>
        </w:rPr>
        <w:t xml:space="preserve">Bases de données relationnelles : SQL Server, MySQL, PostgreSQL, Oracle, </w:t>
      </w:r>
      <w:proofErr w:type="spellStart"/>
      <w:r w:rsidRPr="00E82E8A">
        <w:rPr>
          <w:lang w:val="fr-FR"/>
        </w:rPr>
        <w:t>MariaDB</w:t>
      </w:r>
      <w:proofErr w:type="spellEnd"/>
      <w:r w:rsidRPr="00E82E8A">
        <w:rPr>
          <w:lang w:val="fr-FR"/>
        </w:rPr>
        <w:t>, SAP HANA.</w:t>
      </w:r>
    </w:p>
    <w:p w14:paraId="6DD8A8FF" w14:textId="77777777" w:rsidR="00127A1C" w:rsidRPr="00E82E8A" w:rsidRDefault="00000000">
      <w:pPr>
        <w:pStyle w:val="Paragraphedeliste"/>
        <w:numPr>
          <w:ilvl w:val="0"/>
          <w:numId w:val="1"/>
        </w:numPr>
        <w:spacing w:after="80"/>
        <w:rPr>
          <w:lang w:val="fr-FR"/>
        </w:rPr>
      </w:pPr>
      <w:r w:rsidRPr="00E82E8A">
        <w:rPr>
          <w:lang w:val="fr-FR"/>
        </w:rPr>
        <w:t xml:space="preserve">Fichiers plats : CSV, Excel, JSON, XML, Parquet, </w:t>
      </w:r>
      <w:proofErr w:type="spellStart"/>
      <w:r w:rsidRPr="00E82E8A">
        <w:rPr>
          <w:lang w:val="fr-FR"/>
        </w:rPr>
        <w:t>Avro</w:t>
      </w:r>
      <w:proofErr w:type="spellEnd"/>
      <w:r w:rsidRPr="00E82E8A">
        <w:rPr>
          <w:lang w:val="fr-FR"/>
        </w:rPr>
        <w:t>, ORC.</w:t>
      </w:r>
    </w:p>
    <w:p w14:paraId="2BD835C6" w14:textId="77777777" w:rsidR="00127A1C" w:rsidRDefault="00000000">
      <w:pPr>
        <w:pStyle w:val="Paragraphedeliste"/>
        <w:numPr>
          <w:ilvl w:val="0"/>
          <w:numId w:val="1"/>
        </w:numPr>
        <w:spacing w:after="80"/>
      </w:pPr>
      <w:r>
        <w:t xml:space="preserve">Cloud et </w:t>
      </w:r>
      <w:proofErr w:type="gramStart"/>
      <w:r>
        <w:t>SaaS :</w:t>
      </w:r>
      <w:proofErr w:type="gramEnd"/>
      <w:r>
        <w:t xml:space="preserve"> Salesforce, Dynamics 365, SharePoint, Google </w:t>
      </w:r>
      <w:proofErr w:type="spellStart"/>
      <w:r>
        <w:t>BigQuery</w:t>
      </w:r>
      <w:proofErr w:type="spellEnd"/>
      <w:r>
        <w:t>, Snowflake, AWS S3.</w:t>
      </w:r>
    </w:p>
    <w:p w14:paraId="2093BF94" w14:textId="77777777" w:rsidR="00127A1C" w:rsidRPr="00E82E8A" w:rsidRDefault="00000000">
      <w:pPr>
        <w:pStyle w:val="Paragraphedeliste"/>
        <w:numPr>
          <w:ilvl w:val="0"/>
          <w:numId w:val="1"/>
        </w:numPr>
        <w:spacing w:after="80"/>
        <w:rPr>
          <w:lang w:val="fr-FR"/>
        </w:rPr>
      </w:pPr>
      <w:r w:rsidRPr="00E82E8A">
        <w:rPr>
          <w:lang w:val="fr-FR"/>
        </w:rPr>
        <w:t xml:space="preserve">APIs et flux temps réel : REST API, </w:t>
      </w:r>
      <w:proofErr w:type="spellStart"/>
      <w:r w:rsidRPr="00E82E8A">
        <w:rPr>
          <w:lang w:val="fr-FR"/>
        </w:rPr>
        <w:t>OData</w:t>
      </w:r>
      <w:proofErr w:type="spellEnd"/>
      <w:r w:rsidRPr="00E82E8A">
        <w:rPr>
          <w:lang w:val="fr-FR"/>
        </w:rPr>
        <w:t>, Azure Event Hubs, Kafka, IoT Hub.</w:t>
      </w:r>
    </w:p>
    <w:p w14:paraId="5F2951A7" w14:textId="77777777" w:rsidR="00127A1C" w:rsidRDefault="00000000">
      <w:pPr>
        <w:pStyle w:val="Paragraphedeliste"/>
        <w:numPr>
          <w:ilvl w:val="0"/>
          <w:numId w:val="1"/>
        </w:numPr>
        <w:spacing w:after="80"/>
      </w:pPr>
      <w:r>
        <w:t xml:space="preserve">ERP et </w:t>
      </w:r>
      <w:proofErr w:type="spellStart"/>
      <w:r>
        <w:t>systèmes</w:t>
      </w:r>
      <w:proofErr w:type="spellEnd"/>
      <w:r>
        <w:t xml:space="preserve"> </w:t>
      </w:r>
      <w:proofErr w:type="gramStart"/>
      <w:r>
        <w:t>métier :</w:t>
      </w:r>
      <w:proofErr w:type="gramEnd"/>
      <w:r>
        <w:t xml:space="preserve"> SAP ECC, SAP S/4HANA, SAP BW, Odoo, Sage.</w:t>
      </w:r>
    </w:p>
    <w:p w14:paraId="4F2E590C" w14:textId="77777777" w:rsidR="00127A1C" w:rsidRDefault="00000000">
      <w:pPr>
        <w:pStyle w:val="Paragraphedeliste"/>
        <w:numPr>
          <w:ilvl w:val="0"/>
          <w:numId w:val="1"/>
        </w:numPr>
        <w:spacing w:after="80"/>
      </w:pPr>
      <w:r>
        <w:t xml:space="preserve">NoSQL et Big </w:t>
      </w:r>
      <w:proofErr w:type="gramStart"/>
      <w:r>
        <w:t>Data :</w:t>
      </w:r>
      <w:proofErr w:type="gramEnd"/>
      <w:r>
        <w:t xml:space="preserve"> MongoDB, Cosmos DB, Cassandra, HBase, Elasticsearch.</w:t>
      </w:r>
    </w:p>
    <w:p w14:paraId="401AF1FC" w14:textId="77777777" w:rsidR="00127A1C" w:rsidRPr="00E82E8A" w:rsidRDefault="00000000">
      <w:pPr>
        <w:spacing w:after="160"/>
        <w:rPr>
          <w:lang w:val="fr-FR"/>
        </w:rPr>
      </w:pPr>
      <w:r w:rsidRPr="00E82E8A">
        <w:rPr>
          <w:lang w:val="fr-FR"/>
        </w:rPr>
        <w:t>Si une source n'est pas dans cette liste, ADF propose un connecteur générique HTTP/REST pour toute API web, ainsi qu'un connecteur ODBC pour tout système exposant ce driver.</w:t>
      </w:r>
    </w:p>
    <w:p w14:paraId="64C2151B" w14:textId="77777777" w:rsidR="00127A1C" w:rsidRPr="00E82E8A" w:rsidRDefault="00127A1C">
      <w:pPr>
        <w:spacing w:after="160"/>
        <w:rPr>
          <w:lang w:val="fr-FR"/>
        </w:rPr>
      </w:pPr>
    </w:p>
    <w:p w14:paraId="04B08E5F" w14:textId="77777777" w:rsidR="00127A1C" w:rsidRPr="00E82E8A" w:rsidRDefault="00127A1C">
      <w:pPr>
        <w:spacing w:after="160"/>
        <w:rPr>
          <w:lang w:val="fr-FR"/>
        </w:rPr>
      </w:pPr>
    </w:p>
    <w:p w14:paraId="045272A9" w14:textId="77777777" w:rsidR="00127A1C" w:rsidRPr="00E82E8A" w:rsidRDefault="00127A1C">
      <w:pPr>
        <w:spacing w:after="80"/>
        <w:rPr>
          <w:lang w:val="fr-FR"/>
        </w:rPr>
      </w:pPr>
    </w:p>
    <w:p w14:paraId="6A056DF2" w14:textId="77777777" w:rsidR="00127A1C" w:rsidRPr="00E82E8A" w:rsidRDefault="00000000">
      <w:pPr>
        <w:pStyle w:val="Titre1"/>
        <w:rPr>
          <w:lang w:val="fr-FR"/>
        </w:rPr>
      </w:pPr>
      <w:r w:rsidRPr="00E82E8A">
        <w:rPr>
          <w:lang w:val="fr-FR"/>
        </w:rPr>
        <w:t>5. Points clés à retenir</w:t>
      </w:r>
    </w:p>
    <w:p w14:paraId="6D57D1BA" w14:textId="77777777" w:rsidR="00127A1C" w:rsidRPr="00E82E8A" w:rsidRDefault="00000000">
      <w:pPr>
        <w:spacing w:after="160"/>
        <w:rPr>
          <w:lang w:val="fr-FR"/>
        </w:rPr>
      </w:pPr>
      <w:r w:rsidRPr="00E82E8A">
        <w:rPr>
          <w:lang w:val="fr-FR"/>
        </w:rPr>
        <w:t>Ce pipeline repose sur trois principes fondamentaux :</w:t>
      </w:r>
    </w:p>
    <w:p w14:paraId="5D15AD3A" w14:textId="77777777" w:rsidR="00127A1C" w:rsidRDefault="00000000">
      <w:pPr>
        <w:pStyle w:val="Paragraphedeliste"/>
        <w:numPr>
          <w:ilvl w:val="0"/>
          <w:numId w:val="1"/>
        </w:numPr>
        <w:spacing w:after="80"/>
      </w:pPr>
      <w:r w:rsidRPr="00E82E8A">
        <w:rPr>
          <w:b/>
          <w:bCs/>
          <w:lang w:val="fr-FR"/>
        </w:rPr>
        <w:t xml:space="preserve">Séparation des responsabilités — </w:t>
      </w:r>
      <w:r w:rsidRPr="00E82E8A">
        <w:rPr>
          <w:lang w:val="fr-FR"/>
        </w:rPr>
        <w:t xml:space="preserve">Séparation des responsabilités : chaque couche a un rôle unique. </w:t>
      </w:r>
      <w:r>
        <w:t xml:space="preserve">ADF </w:t>
      </w:r>
      <w:proofErr w:type="spellStart"/>
      <w:r>
        <w:t>ingère</w:t>
      </w:r>
      <w:proofErr w:type="spellEnd"/>
      <w:r>
        <w:t xml:space="preserve">, Databricks </w:t>
      </w:r>
      <w:proofErr w:type="spellStart"/>
      <w:r>
        <w:t>transforme</w:t>
      </w:r>
      <w:proofErr w:type="spellEnd"/>
      <w:r>
        <w:t xml:space="preserve">, SQL Database </w:t>
      </w:r>
      <w:proofErr w:type="spellStart"/>
      <w:r>
        <w:t>sert</w:t>
      </w:r>
      <w:proofErr w:type="spellEnd"/>
      <w:r>
        <w:t xml:space="preserve">, Power BI </w:t>
      </w:r>
      <w:proofErr w:type="spellStart"/>
      <w:r>
        <w:t>visualise</w:t>
      </w:r>
      <w:proofErr w:type="spellEnd"/>
      <w:r>
        <w:t>.</w:t>
      </w:r>
    </w:p>
    <w:p w14:paraId="23A37033" w14:textId="77777777" w:rsidR="00127A1C" w:rsidRPr="00E82E8A" w:rsidRDefault="00000000">
      <w:pPr>
        <w:pStyle w:val="Paragraphedeliste"/>
        <w:numPr>
          <w:ilvl w:val="0"/>
          <w:numId w:val="1"/>
        </w:numPr>
        <w:spacing w:after="80"/>
        <w:rPr>
          <w:lang w:val="fr-FR"/>
        </w:rPr>
      </w:pPr>
      <w:proofErr w:type="spellStart"/>
      <w:r w:rsidRPr="00E82E8A">
        <w:rPr>
          <w:b/>
          <w:bCs/>
          <w:lang w:val="fr-FR"/>
        </w:rPr>
        <w:t>Rejouabilité</w:t>
      </w:r>
      <w:proofErr w:type="spellEnd"/>
      <w:r w:rsidRPr="00E82E8A">
        <w:rPr>
          <w:b/>
          <w:bCs/>
          <w:lang w:val="fr-FR"/>
        </w:rPr>
        <w:t xml:space="preserve"> — </w:t>
      </w:r>
      <w:proofErr w:type="spellStart"/>
      <w:r w:rsidRPr="00E82E8A">
        <w:rPr>
          <w:lang w:val="fr-FR"/>
        </w:rPr>
        <w:t>Rejouabilité</w:t>
      </w:r>
      <w:proofErr w:type="spellEnd"/>
      <w:r w:rsidRPr="00E82E8A">
        <w:rPr>
          <w:lang w:val="fr-FR"/>
        </w:rPr>
        <w:t xml:space="preserve"> : grâce au Bronze immuable, on peut toujours reconstruire Silver et Gold sans retourner aux sources.</w:t>
      </w:r>
    </w:p>
    <w:p w14:paraId="50141E1B" w14:textId="77777777" w:rsidR="00127A1C" w:rsidRPr="00E82E8A" w:rsidRDefault="00000000">
      <w:pPr>
        <w:pStyle w:val="Paragraphedeliste"/>
        <w:numPr>
          <w:ilvl w:val="0"/>
          <w:numId w:val="1"/>
        </w:numPr>
        <w:spacing w:after="80"/>
        <w:rPr>
          <w:lang w:val="fr-FR"/>
        </w:rPr>
      </w:pPr>
      <w:r w:rsidRPr="00E82E8A">
        <w:rPr>
          <w:b/>
          <w:bCs/>
          <w:lang w:val="fr-FR"/>
        </w:rPr>
        <w:t xml:space="preserve">Scalabilité — </w:t>
      </w:r>
      <w:r w:rsidRPr="00E82E8A">
        <w:rPr>
          <w:lang w:val="fr-FR"/>
        </w:rPr>
        <w:t xml:space="preserve">Scalabilité : </w:t>
      </w:r>
      <w:proofErr w:type="spellStart"/>
      <w:r w:rsidRPr="00E82E8A">
        <w:rPr>
          <w:lang w:val="fr-FR"/>
        </w:rPr>
        <w:t>Databricks</w:t>
      </w:r>
      <w:proofErr w:type="spellEnd"/>
      <w:r w:rsidRPr="00E82E8A">
        <w:rPr>
          <w:lang w:val="fr-FR"/>
        </w:rPr>
        <w:t xml:space="preserve"> et ADLS s'adaptent automatiquement au volume de données, des </w:t>
      </w:r>
      <w:proofErr w:type="spellStart"/>
      <w:r w:rsidRPr="00E82E8A">
        <w:rPr>
          <w:lang w:val="fr-FR"/>
        </w:rPr>
        <w:t>gigaoctets</w:t>
      </w:r>
      <w:proofErr w:type="spellEnd"/>
      <w:r w:rsidRPr="00E82E8A">
        <w:rPr>
          <w:lang w:val="fr-FR"/>
        </w:rPr>
        <w:t xml:space="preserve"> aux pétaoctets.</w:t>
      </w:r>
    </w:p>
    <w:p w14:paraId="2ED3D9E3" w14:textId="77777777" w:rsidR="00127A1C" w:rsidRPr="00E82E8A" w:rsidRDefault="00127A1C">
      <w:pPr>
        <w:spacing w:after="80"/>
        <w:rPr>
          <w:lang w:val="fr-FR"/>
        </w:rPr>
      </w:pPr>
    </w:p>
    <w:p w14:paraId="105A9868" w14:textId="77777777" w:rsidR="00127A1C" w:rsidRPr="00E82E8A" w:rsidRDefault="00000000">
      <w:pPr>
        <w:spacing w:after="160"/>
        <w:rPr>
          <w:lang w:val="fr-FR"/>
        </w:rPr>
      </w:pPr>
      <w:r w:rsidRPr="00E82E8A">
        <w:rPr>
          <w:lang w:val="fr-FR"/>
        </w:rPr>
        <w:t>Ce qui change selon les projets, c'est uniquement la connexion dans ADF (la source). Une fois les données dans le Bronze, le reste du pipeline reste identique.</w:t>
      </w:r>
    </w:p>
    <w:p w14:paraId="7E95976F" w14:textId="77777777" w:rsidR="00127A1C" w:rsidRDefault="00000000">
      <w:pPr>
        <w:spacing w:after="160"/>
      </w:pPr>
      <w:r>
        <w:rPr>
          <w:noProof/>
        </w:rPr>
        <w:lastRenderedPageBreak/>
        <w:drawing>
          <wp:inline distT="0" distB="0" distL="114300" distR="114300" wp14:anchorId="12989015" wp14:editId="01DC2117">
            <wp:extent cx="5494020" cy="4511040"/>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2"/>
                    <a:stretch>
                      <a:fillRect/>
                    </a:stretch>
                  </pic:blipFill>
                  <pic:spPr>
                    <a:xfrm>
                      <a:off x="0" y="0"/>
                      <a:ext cx="5494020" cy="4511040"/>
                    </a:xfrm>
                    <a:prstGeom prst="rect">
                      <a:avLst/>
                    </a:prstGeom>
                    <a:noFill/>
                    <a:ln>
                      <a:noFill/>
                    </a:ln>
                  </pic:spPr>
                </pic:pic>
              </a:graphicData>
            </a:graphic>
          </wp:inline>
        </w:drawing>
      </w:r>
    </w:p>
    <w:p w14:paraId="4BDF6C5E" w14:textId="77777777" w:rsidR="00127A1C" w:rsidRPr="00E82E8A" w:rsidRDefault="00000000">
      <w:pPr>
        <w:spacing w:after="160"/>
        <w:rPr>
          <w:lang w:val="fr-FR"/>
        </w:rPr>
      </w:pPr>
      <w:r w:rsidRPr="00E82E8A">
        <w:rPr>
          <w:lang w:val="fr-FR"/>
        </w:rPr>
        <w:t xml:space="preserve">Voici le stepper pour chaque </w:t>
      </w:r>
      <w:proofErr w:type="spellStart"/>
      <w:r w:rsidRPr="00E82E8A">
        <w:rPr>
          <w:lang w:val="fr-FR"/>
        </w:rPr>
        <w:t>etape</w:t>
      </w:r>
      <w:proofErr w:type="spellEnd"/>
      <w:r w:rsidRPr="00E82E8A">
        <w:rPr>
          <w:lang w:val="fr-FR"/>
        </w:rPr>
        <w:t xml:space="preserve"> du pipeline :</w:t>
      </w:r>
    </w:p>
    <w:p w14:paraId="554D337B" w14:textId="77777777" w:rsidR="00127A1C" w:rsidRPr="00E82E8A" w:rsidRDefault="00000000">
      <w:pPr>
        <w:widowControl/>
        <w:jc w:val="left"/>
        <w:rPr>
          <w:sz w:val="28"/>
          <w:szCs w:val="28"/>
          <w:lang w:val="fr-FR"/>
        </w:rPr>
      </w:pPr>
      <w:r w:rsidRPr="00E82E8A">
        <w:rPr>
          <w:rFonts w:ascii="Segoe UI" w:eastAsia="Segoe UI" w:hAnsi="Segoe UI" w:cs="Segoe UI"/>
          <w:color w:val="185FA5"/>
          <w:sz w:val="28"/>
          <w:szCs w:val="28"/>
          <w:shd w:val="clear" w:color="auto" w:fill="E6F1FB"/>
          <w:lang w:val="fr-FR" w:eastAsia="zh-CN" w:bidi="ar"/>
        </w:rPr>
        <w:t>Extraction</w:t>
      </w:r>
    </w:p>
    <w:p w14:paraId="0DBCCDA7" w14:textId="77777777" w:rsidR="00127A1C" w:rsidRPr="00E82E8A" w:rsidRDefault="00000000">
      <w:pPr>
        <w:pStyle w:val="NormalWeb"/>
        <w:widowControl/>
        <w:spacing w:after="96"/>
        <w:rPr>
          <w:rFonts w:ascii="Segoe UI" w:eastAsia="Segoe UI" w:hAnsi="Segoe UI" w:cs="Segoe UI"/>
          <w:color w:val="141413"/>
          <w:sz w:val="28"/>
          <w:szCs w:val="28"/>
          <w:lang w:val="fr-FR"/>
        </w:rPr>
      </w:pPr>
      <w:r w:rsidRPr="00E82E8A">
        <w:rPr>
          <w:rFonts w:ascii="Segoe UI" w:eastAsia="Segoe UI" w:hAnsi="Segoe UI" w:cs="Segoe UI"/>
          <w:color w:val="141413"/>
          <w:sz w:val="28"/>
          <w:szCs w:val="28"/>
          <w:lang w:val="fr-FR"/>
        </w:rPr>
        <w:t>Les données sont extraites des sources</w:t>
      </w:r>
    </w:p>
    <w:p w14:paraId="1F2A3C96" w14:textId="77777777" w:rsidR="00127A1C" w:rsidRPr="00E82E8A" w:rsidRDefault="00000000">
      <w:pPr>
        <w:pStyle w:val="NormalWeb"/>
        <w:widowControl/>
        <w:spacing w:after="192"/>
        <w:rPr>
          <w:rFonts w:ascii="Segoe UI" w:eastAsia="Segoe UI" w:hAnsi="Segoe UI" w:cs="Segoe UI"/>
          <w:color w:val="3D3D3A"/>
          <w:sz w:val="28"/>
          <w:szCs w:val="28"/>
          <w:lang w:val="fr-FR"/>
        </w:rPr>
      </w:pPr>
      <w:r w:rsidRPr="00E82E8A">
        <w:rPr>
          <w:rFonts w:ascii="Segoe UI" w:eastAsia="Segoe UI" w:hAnsi="Segoe UI" w:cs="Segoe UI"/>
          <w:color w:val="3D3D3A"/>
          <w:sz w:val="28"/>
          <w:szCs w:val="28"/>
          <w:lang w:val="fr-FR"/>
        </w:rPr>
        <w:t xml:space="preserve">Azure Data </w:t>
      </w:r>
      <w:proofErr w:type="spellStart"/>
      <w:r w:rsidRPr="00E82E8A">
        <w:rPr>
          <w:rFonts w:ascii="Segoe UI" w:eastAsia="Segoe UI" w:hAnsi="Segoe UI" w:cs="Segoe UI"/>
          <w:color w:val="3D3D3A"/>
          <w:sz w:val="28"/>
          <w:szCs w:val="28"/>
          <w:lang w:val="fr-FR"/>
        </w:rPr>
        <w:t>Factory</w:t>
      </w:r>
      <w:proofErr w:type="spellEnd"/>
      <w:r w:rsidRPr="00E82E8A">
        <w:rPr>
          <w:rFonts w:ascii="Segoe UI" w:eastAsia="Segoe UI" w:hAnsi="Segoe UI" w:cs="Segoe UI"/>
          <w:color w:val="3D3D3A"/>
          <w:sz w:val="28"/>
          <w:szCs w:val="28"/>
          <w:lang w:val="fr-FR"/>
        </w:rPr>
        <w:t xml:space="preserve"> (ADF) se connecte aux systèmes sources</w:t>
      </w:r>
    </w:p>
    <w:p w14:paraId="326313D2" w14:textId="77777777" w:rsidR="00127A1C" w:rsidRPr="00E82E8A" w:rsidRDefault="00000000">
      <w:pPr>
        <w:widowControl/>
        <w:spacing w:line="20" w:lineRule="atLeast"/>
        <w:jc w:val="left"/>
        <w:rPr>
          <w:rFonts w:ascii="Segoe UI" w:eastAsia="Segoe UI" w:hAnsi="Segoe UI" w:cs="Segoe UI"/>
          <w:color w:val="141413"/>
          <w:sz w:val="28"/>
          <w:szCs w:val="28"/>
          <w:lang w:val="fr-FR"/>
        </w:rPr>
      </w:pPr>
      <w:r w:rsidRPr="00E82E8A">
        <w:rPr>
          <w:rFonts w:ascii="Segoe UI" w:eastAsia="Segoe UI" w:hAnsi="Segoe UI" w:cs="Segoe UI"/>
          <w:color w:val="141413"/>
          <w:sz w:val="28"/>
          <w:szCs w:val="28"/>
          <w:lang w:val="fr-FR" w:eastAsia="zh-CN" w:bidi="ar"/>
        </w:rPr>
        <w:t>Un pipeline commence toujours par une question : où sont tes données ? Elles peuvent venir d'une base de données SQL, d'un fichier CSV, d'une API, d'un ERP… ADF se connecte à ces sources et extrait les données telles quelles, sans les modifier.</w:t>
      </w:r>
    </w:p>
    <w:p w14:paraId="1DFC2427" w14:textId="77777777" w:rsidR="00127A1C" w:rsidRPr="00E82E8A" w:rsidRDefault="00000000">
      <w:pPr>
        <w:widowControl/>
        <w:spacing w:before="168"/>
        <w:jc w:val="left"/>
        <w:rPr>
          <w:rFonts w:ascii="Segoe UI" w:eastAsia="Segoe UI" w:hAnsi="Segoe UI" w:cs="Segoe UI"/>
          <w:color w:val="3D3D3A"/>
          <w:sz w:val="28"/>
          <w:szCs w:val="28"/>
          <w:lang w:val="fr-FR" w:eastAsia="zh-CN" w:bidi="ar"/>
        </w:rPr>
      </w:pPr>
      <w:r w:rsidRPr="00E82E8A">
        <w:rPr>
          <w:rFonts w:ascii="Segoe UI" w:eastAsia="Segoe UI" w:hAnsi="Segoe UI" w:cs="Segoe UI"/>
          <w:color w:val="3D3D3A"/>
          <w:sz w:val="28"/>
          <w:szCs w:val="28"/>
          <w:lang w:val="fr-FR" w:eastAsia="zh-CN" w:bidi="ar"/>
        </w:rPr>
        <w:t>Analogie : c'est comme ramasser des ingrédients dans différents rayons d'un supermarché. Tu ne les cuisine pas encore — tu les collectes juste.</w:t>
      </w:r>
    </w:p>
    <w:p w14:paraId="6D039CDE" w14:textId="77777777" w:rsidR="00127A1C" w:rsidRPr="00E82E8A" w:rsidRDefault="00127A1C">
      <w:pPr>
        <w:widowControl/>
        <w:spacing w:before="168"/>
        <w:jc w:val="left"/>
        <w:rPr>
          <w:rFonts w:ascii="Segoe UI" w:eastAsia="Segoe UI" w:hAnsi="Segoe UI" w:cs="Segoe UI"/>
          <w:color w:val="3D3D3A"/>
          <w:sz w:val="28"/>
          <w:szCs w:val="28"/>
          <w:lang w:val="fr-FR" w:eastAsia="zh-CN" w:bidi="ar"/>
        </w:rPr>
      </w:pPr>
    </w:p>
    <w:p w14:paraId="3EA5F366" w14:textId="77777777" w:rsidR="00127A1C" w:rsidRPr="00E82E8A" w:rsidRDefault="00000000">
      <w:pPr>
        <w:widowControl/>
        <w:jc w:val="left"/>
        <w:rPr>
          <w:sz w:val="28"/>
          <w:szCs w:val="28"/>
          <w:lang w:val="fr-FR"/>
        </w:rPr>
      </w:pPr>
      <w:r w:rsidRPr="00E82E8A">
        <w:rPr>
          <w:rFonts w:ascii="Segoe UI" w:eastAsia="Segoe UI" w:hAnsi="Segoe UI" w:cs="Segoe UI"/>
          <w:color w:val="633806"/>
          <w:sz w:val="28"/>
          <w:szCs w:val="28"/>
          <w:shd w:val="clear" w:color="auto" w:fill="FAEEDA"/>
          <w:lang w:val="fr-FR" w:eastAsia="zh-CN" w:bidi="ar"/>
        </w:rPr>
        <w:t>Chargement brut</w:t>
      </w:r>
    </w:p>
    <w:p w14:paraId="7F77688B" w14:textId="77777777" w:rsidR="00127A1C" w:rsidRPr="00E82E8A" w:rsidRDefault="00000000">
      <w:pPr>
        <w:pStyle w:val="NormalWeb"/>
        <w:widowControl/>
        <w:spacing w:after="96"/>
        <w:rPr>
          <w:rFonts w:ascii="Segoe UI" w:eastAsia="Segoe UI" w:hAnsi="Segoe UI" w:cs="Segoe UI"/>
          <w:color w:val="141413"/>
          <w:sz w:val="28"/>
          <w:szCs w:val="28"/>
          <w:lang w:val="fr-FR"/>
        </w:rPr>
      </w:pPr>
      <w:r w:rsidRPr="00E82E8A">
        <w:rPr>
          <w:rFonts w:ascii="Segoe UI" w:eastAsia="Segoe UI" w:hAnsi="Segoe UI" w:cs="Segoe UI"/>
          <w:color w:val="141413"/>
          <w:sz w:val="28"/>
          <w:szCs w:val="28"/>
          <w:lang w:val="fr-FR"/>
        </w:rPr>
        <w:t>Les données brutes arrivent dans la couche Bronze</w:t>
      </w:r>
    </w:p>
    <w:p w14:paraId="22F28A31" w14:textId="77777777" w:rsidR="00127A1C" w:rsidRDefault="00000000">
      <w:pPr>
        <w:pStyle w:val="NormalWeb"/>
        <w:widowControl/>
        <w:spacing w:after="192"/>
        <w:rPr>
          <w:rFonts w:ascii="Segoe UI" w:eastAsia="Segoe UI" w:hAnsi="Segoe UI" w:cs="Segoe UI"/>
          <w:color w:val="3D3D3A"/>
          <w:sz w:val="28"/>
          <w:szCs w:val="28"/>
        </w:rPr>
      </w:pPr>
      <w:r>
        <w:rPr>
          <w:rFonts w:ascii="Segoe UI" w:eastAsia="Segoe UI" w:hAnsi="Segoe UI" w:cs="Segoe UI"/>
          <w:color w:val="3D3D3A"/>
          <w:sz w:val="28"/>
          <w:szCs w:val="28"/>
        </w:rPr>
        <w:t>Stockage brut dans Azure Data Lake Storage</w:t>
      </w:r>
    </w:p>
    <w:p w14:paraId="4DAC50A4" w14:textId="77777777" w:rsidR="00127A1C" w:rsidRPr="00E82E8A" w:rsidRDefault="00000000">
      <w:pPr>
        <w:widowControl/>
        <w:spacing w:line="20" w:lineRule="atLeast"/>
        <w:jc w:val="left"/>
        <w:rPr>
          <w:rFonts w:ascii="Segoe UI" w:eastAsia="Segoe UI" w:hAnsi="Segoe UI" w:cs="Segoe UI"/>
          <w:color w:val="141413"/>
          <w:sz w:val="28"/>
          <w:szCs w:val="28"/>
          <w:lang w:val="fr-FR"/>
        </w:rPr>
      </w:pPr>
      <w:r w:rsidRPr="00E82E8A">
        <w:rPr>
          <w:rFonts w:ascii="Segoe UI" w:eastAsia="Segoe UI" w:hAnsi="Segoe UI" w:cs="Segoe UI"/>
          <w:color w:val="141413"/>
          <w:sz w:val="28"/>
          <w:szCs w:val="28"/>
          <w:lang w:val="fr-FR" w:eastAsia="zh-CN" w:bidi="ar"/>
        </w:rPr>
        <w:lastRenderedPageBreak/>
        <w:t>Les données sont copiées telles quelles dans le Data Lake, sans transformation. C'est la couche Bronze. Elle sert d'archive fidèle de la source. Si quelque chose se passe mal plus tard, on peut toujours revenir ici et reconstruire.</w:t>
      </w:r>
    </w:p>
    <w:p w14:paraId="669E916C" w14:textId="77777777" w:rsidR="00127A1C" w:rsidRPr="00E82E8A" w:rsidRDefault="00000000">
      <w:pPr>
        <w:widowControl/>
        <w:spacing w:before="168"/>
        <w:jc w:val="left"/>
        <w:rPr>
          <w:rFonts w:ascii="Segoe UI" w:eastAsia="Segoe UI" w:hAnsi="Segoe UI" w:cs="Segoe UI"/>
          <w:color w:val="3D3D3A"/>
          <w:sz w:val="28"/>
          <w:szCs w:val="28"/>
          <w:lang w:val="fr-FR" w:eastAsia="zh-CN" w:bidi="ar"/>
        </w:rPr>
      </w:pPr>
      <w:r w:rsidRPr="00E82E8A">
        <w:rPr>
          <w:rFonts w:ascii="Segoe UI" w:eastAsia="Segoe UI" w:hAnsi="Segoe UI" w:cs="Segoe UI"/>
          <w:color w:val="3D3D3A"/>
          <w:sz w:val="28"/>
          <w:szCs w:val="28"/>
          <w:lang w:val="fr-FR" w:eastAsia="zh-CN" w:bidi="ar"/>
        </w:rPr>
        <w:t>Analogie : c'est ton réfrigérateur. Les ingrédients arrivent et sont stockés bruts — pas encore lavés ni coupés.</w:t>
      </w:r>
    </w:p>
    <w:p w14:paraId="6C3DC103" w14:textId="77777777" w:rsidR="00127A1C" w:rsidRPr="00E82E8A" w:rsidRDefault="00127A1C">
      <w:pPr>
        <w:widowControl/>
        <w:spacing w:before="168"/>
        <w:jc w:val="left"/>
        <w:rPr>
          <w:rFonts w:ascii="Segoe UI" w:eastAsia="Segoe UI" w:hAnsi="Segoe UI" w:cs="Segoe UI"/>
          <w:color w:val="3D3D3A"/>
          <w:sz w:val="28"/>
          <w:szCs w:val="28"/>
          <w:lang w:val="fr-FR" w:eastAsia="zh-CN" w:bidi="ar"/>
        </w:rPr>
      </w:pPr>
    </w:p>
    <w:p w14:paraId="182275B2" w14:textId="77777777" w:rsidR="00127A1C" w:rsidRPr="00E82E8A" w:rsidRDefault="00000000">
      <w:pPr>
        <w:widowControl/>
        <w:jc w:val="left"/>
        <w:rPr>
          <w:sz w:val="28"/>
          <w:szCs w:val="28"/>
          <w:lang w:val="fr-FR"/>
        </w:rPr>
      </w:pPr>
      <w:r w:rsidRPr="00E82E8A">
        <w:rPr>
          <w:rFonts w:ascii="Segoe UI" w:eastAsia="Segoe UI" w:hAnsi="Segoe UI" w:cs="Segoe UI"/>
          <w:color w:val="085041"/>
          <w:sz w:val="28"/>
          <w:szCs w:val="28"/>
          <w:shd w:val="clear" w:color="auto" w:fill="E1F5EE"/>
          <w:lang w:val="fr-FR" w:eastAsia="zh-CN" w:bidi="ar"/>
        </w:rPr>
        <w:t>Nettoyage</w:t>
      </w:r>
    </w:p>
    <w:p w14:paraId="7D09ECD3" w14:textId="77777777" w:rsidR="00127A1C" w:rsidRPr="00E82E8A" w:rsidRDefault="00000000">
      <w:pPr>
        <w:pStyle w:val="NormalWeb"/>
        <w:widowControl/>
        <w:spacing w:after="96"/>
        <w:rPr>
          <w:rFonts w:ascii="Segoe UI" w:eastAsia="Segoe UI" w:hAnsi="Segoe UI" w:cs="Segoe UI"/>
          <w:color w:val="141413"/>
          <w:sz w:val="28"/>
          <w:szCs w:val="28"/>
          <w:lang w:val="fr-FR"/>
        </w:rPr>
      </w:pPr>
      <w:proofErr w:type="spellStart"/>
      <w:r w:rsidRPr="00E82E8A">
        <w:rPr>
          <w:rFonts w:ascii="Segoe UI" w:eastAsia="Segoe UI" w:hAnsi="Segoe UI" w:cs="Segoe UI"/>
          <w:color w:val="141413"/>
          <w:sz w:val="28"/>
          <w:szCs w:val="28"/>
          <w:lang w:val="fr-FR"/>
        </w:rPr>
        <w:t>Databricks</w:t>
      </w:r>
      <w:proofErr w:type="spellEnd"/>
      <w:r w:rsidRPr="00E82E8A">
        <w:rPr>
          <w:rFonts w:ascii="Segoe UI" w:eastAsia="Segoe UI" w:hAnsi="Segoe UI" w:cs="Segoe UI"/>
          <w:color w:val="141413"/>
          <w:sz w:val="28"/>
          <w:szCs w:val="28"/>
          <w:lang w:val="fr-FR"/>
        </w:rPr>
        <w:t xml:space="preserve"> nettoie les données — couche Silver</w:t>
      </w:r>
    </w:p>
    <w:p w14:paraId="00CF5F94" w14:textId="77777777" w:rsidR="00127A1C" w:rsidRPr="00E82E8A" w:rsidRDefault="00000000">
      <w:pPr>
        <w:pStyle w:val="NormalWeb"/>
        <w:widowControl/>
        <w:spacing w:after="192"/>
        <w:rPr>
          <w:rFonts w:ascii="Segoe UI" w:eastAsia="Segoe UI" w:hAnsi="Segoe UI" w:cs="Segoe UI"/>
          <w:color w:val="3D3D3A"/>
          <w:sz w:val="28"/>
          <w:szCs w:val="28"/>
          <w:lang w:val="fr-FR"/>
        </w:rPr>
      </w:pPr>
      <w:r w:rsidRPr="00E82E8A">
        <w:rPr>
          <w:rFonts w:ascii="Segoe UI" w:eastAsia="Segoe UI" w:hAnsi="Segoe UI" w:cs="Segoe UI"/>
          <w:color w:val="3D3D3A"/>
          <w:sz w:val="28"/>
          <w:szCs w:val="28"/>
          <w:lang w:val="fr-FR"/>
        </w:rPr>
        <w:t>Suppression des doublons, correction des types, valeurs manquantes</w:t>
      </w:r>
    </w:p>
    <w:p w14:paraId="2E926D3C" w14:textId="77777777" w:rsidR="00127A1C" w:rsidRPr="00E82E8A" w:rsidRDefault="00000000">
      <w:pPr>
        <w:widowControl/>
        <w:spacing w:line="20" w:lineRule="atLeast"/>
        <w:jc w:val="left"/>
        <w:rPr>
          <w:rFonts w:ascii="Segoe UI" w:eastAsia="Segoe UI" w:hAnsi="Segoe UI" w:cs="Segoe UI"/>
          <w:color w:val="141413"/>
          <w:sz w:val="28"/>
          <w:szCs w:val="28"/>
          <w:lang w:val="fr-FR"/>
        </w:rPr>
      </w:pPr>
      <w:proofErr w:type="spellStart"/>
      <w:r w:rsidRPr="00E82E8A">
        <w:rPr>
          <w:rFonts w:ascii="Segoe UI" w:eastAsia="Segoe UI" w:hAnsi="Segoe UI" w:cs="Segoe UI"/>
          <w:color w:val="141413"/>
          <w:sz w:val="28"/>
          <w:szCs w:val="28"/>
          <w:lang w:val="fr-FR" w:eastAsia="zh-CN" w:bidi="ar"/>
        </w:rPr>
        <w:t>Databricks</w:t>
      </w:r>
      <w:proofErr w:type="spellEnd"/>
      <w:r w:rsidRPr="00E82E8A">
        <w:rPr>
          <w:rFonts w:ascii="Segoe UI" w:eastAsia="Segoe UI" w:hAnsi="Segoe UI" w:cs="Segoe UI"/>
          <w:color w:val="141413"/>
          <w:sz w:val="28"/>
          <w:szCs w:val="28"/>
          <w:lang w:val="fr-FR" w:eastAsia="zh-CN" w:bidi="ar"/>
        </w:rPr>
        <w:t xml:space="preserve"> lit les données brutes du Bronze et les transforme en Spark </w:t>
      </w:r>
      <w:proofErr w:type="spellStart"/>
      <w:r w:rsidRPr="00E82E8A">
        <w:rPr>
          <w:rFonts w:ascii="Segoe UI" w:eastAsia="Segoe UI" w:hAnsi="Segoe UI" w:cs="Segoe UI"/>
          <w:color w:val="141413"/>
          <w:sz w:val="28"/>
          <w:szCs w:val="28"/>
          <w:lang w:val="fr-FR" w:eastAsia="zh-CN" w:bidi="ar"/>
        </w:rPr>
        <w:t>DataFrames</w:t>
      </w:r>
      <w:proofErr w:type="spellEnd"/>
      <w:r w:rsidRPr="00E82E8A">
        <w:rPr>
          <w:rFonts w:ascii="Segoe UI" w:eastAsia="Segoe UI" w:hAnsi="Segoe UI" w:cs="Segoe UI"/>
          <w:color w:val="141413"/>
          <w:sz w:val="28"/>
          <w:szCs w:val="28"/>
          <w:lang w:val="fr-FR" w:eastAsia="zh-CN" w:bidi="ar"/>
        </w:rPr>
        <w:t>. Il supprime les doublons, corrige les types de colonnes (ex. une date stockée comme texte), gère les valeurs nulles. Le résultat est propre mais pas encore agrégé.</w:t>
      </w:r>
    </w:p>
    <w:p w14:paraId="427560AD" w14:textId="77777777" w:rsidR="00127A1C" w:rsidRPr="00E82E8A" w:rsidRDefault="00000000">
      <w:pPr>
        <w:widowControl/>
        <w:spacing w:before="168"/>
        <w:jc w:val="left"/>
        <w:rPr>
          <w:rFonts w:ascii="Segoe UI" w:eastAsia="Segoe UI" w:hAnsi="Segoe UI" w:cs="Segoe UI"/>
          <w:color w:val="3D3D3A"/>
          <w:sz w:val="28"/>
          <w:szCs w:val="28"/>
          <w:lang w:val="fr-FR" w:eastAsia="zh-CN" w:bidi="ar"/>
        </w:rPr>
      </w:pPr>
      <w:r w:rsidRPr="00E82E8A">
        <w:rPr>
          <w:rFonts w:ascii="Segoe UI" w:eastAsia="Segoe UI" w:hAnsi="Segoe UI" w:cs="Segoe UI"/>
          <w:color w:val="3D3D3A"/>
          <w:sz w:val="28"/>
          <w:szCs w:val="28"/>
          <w:lang w:val="fr-FR" w:eastAsia="zh-CN" w:bidi="ar"/>
        </w:rPr>
        <w:t>Analogie : tu laves les légumes, tu épluches les pommes de terre. Les ingrédients sont propres et prêts, mais pas encore cuisinés.</w:t>
      </w:r>
    </w:p>
    <w:p w14:paraId="2C0AB5F0" w14:textId="77777777" w:rsidR="00127A1C" w:rsidRPr="00E82E8A" w:rsidRDefault="00127A1C">
      <w:pPr>
        <w:widowControl/>
        <w:spacing w:before="168"/>
        <w:jc w:val="left"/>
        <w:rPr>
          <w:rFonts w:ascii="Segoe UI" w:eastAsia="Segoe UI" w:hAnsi="Segoe UI" w:cs="Segoe UI"/>
          <w:color w:val="3D3D3A"/>
          <w:sz w:val="28"/>
          <w:szCs w:val="28"/>
          <w:lang w:val="fr-FR" w:eastAsia="zh-CN" w:bidi="ar"/>
        </w:rPr>
      </w:pPr>
    </w:p>
    <w:p w14:paraId="31F27555" w14:textId="77777777" w:rsidR="00127A1C" w:rsidRPr="00E82E8A" w:rsidRDefault="00127A1C">
      <w:pPr>
        <w:widowControl/>
        <w:spacing w:before="168"/>
        <w:jc w:val="left"/>
        <w:rPr>
          <w:rFonts w:ascii="Segoe UI" w:eastAsia="Segoe UI" w:hAnsi="Segoe UI" w:cs="Segoe UI"/>
          <w:color w:val="3D3D3A"/>
          <w:sz w:val="28"/>
          <w:szCs w:val="28"/>
          <w:lang w:val="fr-FR" w:eastAsia="zh-CN" w:bidi="ar"/>
        </w:rPr>
      </w:pPr>
    </w:p>
    <w:p w14:paraId="3D8BF9BF" w14:textId="77777777" w:rsidR="00127A1C" w:rsidRPr="00E82E8A" w:rsidRDefault="00127A1C">
      <w:pPr>
        <w:widowControl/>
        <w:spacing w:before="168"/>
        <w:jc w:val="left"/>
        <w:rPr>
          <w:rFonts w:ascii="Segoe UI" w:eastAsia="Segoe UI" w:hAnsi="Segoe UI" w:cs="Segoe UI"/>
          <w:color w:val="3D3D3A"/>
          <w:sz w:val="28"/>
          <w:szCs w:val="28"/>
          <w:lang w:val="fr-FR" w:eastAsia="zh-CN" w:bidi="ar"/>
        </w:rPr>
      </w:pPr>
    </w:p>
    <w:p w14:paraId="3DF8F33F" w14:textId="77777777" w:rsidR="00127A1C" w:rsidRPr="00E82E8A" w:rsidRDefault="00127A1C">
      <w:pPr>
        <w:spacing w:after="160"/>
        <w:rPr>
          <w:lang w:val="fr-FR"/>
        </w:rPr>
      </w:pPr>
    </w:p>
    <w:sectPr w:rsidR="00127A1C" w:rsidRPr="00E82E8A">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94134" w14:textId="77777777" w:rsidR="001C0219" w:rsidRDefault="001C0219">
      <w:r>
        <w:separator/>
      </w:r>
    </w:p>
  </w:endnote>
  <w:endnote w:type="continuationSeparator" w:id="0">
    <w:p w14:paraId="3CEE5A92" w14:textId="77777777" w:rsidR="001C0219" w:rsidRDefault="001C0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53C8" w14:textId="77777777" w:rsidR="00127A1C" w:rsidRDefault="00000000">
    <w:pPr>
      <w:jc w:val="right"/>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E82E8A">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1DDC4" w14:textId="77777777" w:rsidR="001C0219" w:rsidRDefault="001C0219">
      <w:r>
        <w:separator/>
      </w:r>
    </w:p>
  </w:footnote>
  <w:footnote w:type="continuationSeparator" w:id="0">
    <w:p w14:paraId="76296E7D" w14:textId="77777777" w:rsidR="001C0219" w:rsidRDefault="001C0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70AB" w14:textId="77777777" w:rsidR="00127A1C" w:rsidRPr="00E82E8A" w:rsidRDefault="00000000">
    <w:pPr>
      <w:pBdr>
        <w:bottom w:val="single" w:sz="6" w:space="1" w:color="1A56A0"/>
      </w:pBdr>
      <w:rPr>
        <w:lang w:val="fr-FR"/>
      </w:rPr>
    </w:pPr>
    <w:r w:rsidRPr="00E82E8A">
      <w:rPr>
        <w:color w:val="555555"/>
        <w:sz w:val="20"/>
        <w:szCs w:val="20"/>
        <w:lang w:val="fr-FR"/>
      </w:rPr>
      <w:t>Pipeline de données Azure — Guide explicatif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83CF9"/>
    <w:multiLevelType w:val="singleLevel"/>
    <w:tmpl w:val="72183CF9"/>
    <w:lvl w:ilvl="0">
      <w:start w:val="1"/>
      <w:numFmt w:val="bullet"/>
      <w:lvlText w:val="•"/>
      <w:lvlJc w:val="left"/>
      <w:pPr>
        <w:ind w:left="720" w:hanging="360"/>
      </w:pPr>
    </w:lvl>
  </w:abstractNum>
  <w:num w:numId="1" w16cid:durableId="14382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A1C"/>
    <w:rsid w:val="00127A1C"/>
    <w:rsid w:val="001C0219"/>
    <w:rsid w:val="005B453B"/>
    <w:rsid w:val="00E82E8A"/>
    <w:rsid w:val="36995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FB8F"/>
  <w15:docId w15:val="{1A349935-63C8-4398-8A79-40252DC2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qFormat="1"/>
    <w:lsdException w:name="annotation text" w:uiPriority="0"/>
    <w:lsdException w:name="header" w:uiPriority="0"/>
    <w:lsdException w:name="footer" w:uiPriority="0"/>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semiHidden="1" w:unhideWhenUsed="1" w:qFormat="1"/>
    <w:lsdException w:name="annotation reference" w:uiPriority="0"/>
    <w:lsdException w:name="line number" w:uiPriority="0"/>
    <w:lsdException w:name="page number" w:uiPriority="0"/>
    <w:lsdException w:name="endnote reference" w:semiHidden="1" w:unhideWhenUsed="1" w:qFormat="1"/>
    <w:lsdException w:name="endnote text" w:semiHidden="1" w:unhideWhenUsed="1" w:qFormat="1"/>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uiPriority="0"/>
    <w:lsdException w:name="Default Paragraph Font" w:semiHidden="1" w:uiPriority="0"/>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nhideWhenUsed="1" w:qFormat="1"/>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iPriority="0"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Arial" w:eastAsia="Arial" w:hAnsi="Arial" w:cs="Arial"/>
      <w:sz w:val="24"/>
      <w:szCs w:val="24"/>
    </w:rPr>
  </w:style>
  <w:style w:type="paragraph" w:styleId="Titre1">
    <w:name w:val="heading 1"/>
    <w:next w:val="Normal"/>
    <w:qFormat/>
    <w:pPr>
      <w:spacing w:before="320" w:after="160"/>
      <w:outlineLvl w:val="0"/>
    </w:pPr>
    <w:rPr>
      <w:rFonts w:ascii="Arial" w:eastAsia="Arial" w:hAnsi="Arial" w:cs="Arial"/>
      <w:b/>
      <w:bCs/>
      <w:color w:val="1A56A0"/>
      <w:sz w:val="32"/>
      <w:szCs w:val="32"/>
    </w:rPr>
  </w:style>
  <w:style w:type="paragraph" w:styleId="Titre2">
    <w:name w:val="heading 2"/>
    <w:next w:val="Normal"/>
    <w:qFormat/>
    <w:pPr>
      <w:spacing w:before="240" w:after="120"/>
      <w:outlineLvl w:val="1"/>
    </w:pPr>
    <w:rPr>
      <w:rFonts w:ascii="Arial" w:eastAsia="Arial" w:hAnsi="Arial" w:cs="Arial"/>
      <w:b/>
      <w:bCs/>
      <w:color w:val="0F6E56"/>
      <w:sz w:val="26"/>
      <w:szCs w:val="26"/>
    </w:rPr>
  </w:style>
  <w:style w:type="paragraph" w:styleId="Titre3">
    <w:name w:val="heading 3"/>
    <w:next w:val="Normal"/>
    <w:qFormat/>
    <w:pPr>
      <w:outlineLvl w:val="2"/>
    </w:pPr>
    <w:rPr>
      <w:rFonts w:ascii="Arial" w:eastAsia="Arial" w:hAnsi="Arial" w:cs="Arial"/>
      <w:color w:val="1F4D78"/>
      <w:sz w:val="24"/>
      <w:szCs w:val="24"/>
    </w:rPr>
  </w:style>
  <w:style w:type="paragraph" w:styleId="Titre4">
    <w:name w:val="heading 4"/>
    <w:next w:val="Normal"/>
    <w:qFormat/>
    <w:pPr>
      <w:outlineLvl w:val="3"/>
    </w:pPr>
    <w:rPr>
      <w:rFonts w:ascii="Arial" w:eastAsia="Arial" w:hAnsi="Arial" w:cs="Arial"/>
      <w:i/>
      <w:iCs/>
      <w:color w:val="2E74B5"/>
      <w:sz w:val="24"/>
      <w:szCs w:val="24"/>
    </w:rPr>
  </w:style>
  <w:style w:type="paragraph" w:styleId="Titre5">
    <w:name w:val="heading 5"/>
    <w:next w:val="Normal"/>
    <w:qFormat/>
    <w:pPr>
      <w:outlineLvl w:val="4"/>
    </w:pPr>
    <w:rPr>
      <w:rFonts w:ascii="Arial" w:eastAsia="Arial" w:hAnsi="Arial" w:cs="Arial"/>
      <w:color w:val="2E74B5"/>
      <w:sz w:val="24"/>
      <w:szCs w:val="24"/>
    </w:rPr>
  </w:style>
  <w:style w:type="paragraph" w:styleId="Titre6">
    <w:name w:val="heading 6"/>
    <w:next w:val="Normal"/>
    <w:qFormat/>
    <w:pPr>
      <w:outlineLvl w:val="5"/>
    </w:pPr>
    <w:rPr>
      <w:rFonts w:ascii="Arial" w:eastAsia="Arial" w:hAnsi="Arial" w:cs="Arial"/>
      <w:color w:val="1F4D78"/>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qFormat/>
    <w:rPr>
      <w:color w:val="0563C1"/>
      <w:u w:val="single"/>
    </w:rPr>
  </w:style>
  <w:style w:type="character" w:styleId="Appelnotedebasdep">
    <w:name w:val="footnote reference"/>
    <w:uiPriority w:val="99"/>
    <w:semiHidden/>
    <w:unhideWhenUsed/>
    <w:qFormat/>
    <w:rPr>
      <w:vertAlign w:val="superscript"/>
    </w:rPr>
  </w:style>
  <w:style w:type="character" w:styleId="Appeldenotedefin">
    <w:name w:val="endnote reference"/>
    <w:uiPriority w:val="99"/>
    <w:semiHidden/>
    <w:unhideWhenUsed/>
    <w:qFormat/>
    <w:rPr>
      <w:vertAlign w:val="superscript"/>
    </w:rPr>
  </w:style>
  <w:style w:type="paragraph" w:styleId="Notedefin">
    <w:name w:val="endnote text"/>
    <w:link w:val="NotedefinCar"/>
    <w:uiPriority w:val="99"/>
    <w:semiHidden/>
    <w:unhideWhenUsed/>
    <w:qFormat/>
    <w:rPr>
      <w:rFonts w:ascii="Arial" w:eastAsia="Arial" w:hAnsi="Arial" w:cs="Arial"/>
    </w:rPr>
  </w:style>
  <w:style w:type="paragraph" w:styleId="Notedebasdepage">
    <w:name w:val="footnote text"/>
    <w:link w:val="NotedebasdepageCar"/>
    <w:uiPriority w:val="99"/>
    <w:semiHidden/>
    <w:unhideWhenUsed/>
    <w:qFormat/>
    <w:rPr>
      <w:rFonts w:ascii="Arial" w:eastAsia="Arial" w:hAnsi="Arial" w:cs="Arial"/>
    </w:rPr>
  </w:style>
  <w:style w:type="paragraph" w:styleId="NormalWeb">
    <w:name w:val="Normal (Web)"/>
    <w:basedOn w:val="Normal"/>
    <w:qFormat/>
  </w:style>
  <w:style w:type="paragraph" w:styleId="Titre">
    <w:name w:val="Title"/>
    <w:qFormat/>
    <w:rPr>
      <w:rFonts w:ascii="Arial" w:eastAsia="Arial" w:hAnsi="Arial" w:cs="Arial"/>
      <w:sz w:val="56"/>
      <w:szCs w:val="56"/>
    </w:rPr>
  </w:style>
  <w:style w:type="paragraph" w:styleId="Paragraphedeliste">
    <w:name w:val="List Paragraph"/>
    <w:qFormat/>
    <w:rPr>
      <w:rFonts w:ascii="Arial" w:eastAsia="Arial" w:hAnsi="Arial" w:cs="Arial"/>
      <w:sz w:val="24"/>
      <w:szCs w:val="24"/>
    </w:rPr>
  </w:style>
  <w:style w:type="character" w:customStyle="1" w:styleId="NotedebasdepageCar">
    <w:name w:val="Note de bas de page Car"/>
    <w:link w:val="Notedebasdepage"/>
    <w:uiPriority w:val="99"/>
    <w:semiHidden/>
    <w:unhideWhenUsed/>
    <w:qFormat/>
    <w:rPr>
      <w:sz w:val="20"/>
      <w:szCs w:val="20"/>
    </w:rPr>
  </w:style>
  <w:style w:type="character" w:customStyle="1" w:styleId="NotedefinCar">
    <w:name w:val="Note de fin Car"/>
    <w:link w:val="Notedefin"/>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1107</Words>
  <Characters>6311</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Chater</cp:lastModifiedBy>
  <cp:revision>2</cp:revision>
  <dcterms:created xsi:type="dcterms:W3CDTF">2026-06-01T10:36:00Z</dcterms:created>
  <dcterms:modified xsi:type="dcterms:W3CDTF">2026-06-29T12:52:00Z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B9EA2C0D70EB4AA8A5910D2FE858EDF1_12</vt:lpwstr>
  </property>
</Properties>
</file>