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6E82FF5A" w:rsidR="003346D4" w:rsidRPr="003172B4" w:rsidRDefault="003346D4" w:rsidP="00B20C84">
      <w:pPr>
        <w:pStyle w:val="Ttulo8"/>
        <w:tabs>
          <w:tab w:val="clear" w:pos="284"/>
        </w:tabs>
        <w:jc w:val="center"/>
      </w:pPr>
      <w:r w:rsidRPr="003172B4">
        <w:t xml:space="preserve">Nº </w:t>
      </w:r>
      <w:r w:rsidR="00EA1352">
        <w:t>1220</w:t>
      </w:r>
      <w:r w:rsidRPr="003172B4">
        <w:t>/</w:t>
      </w:r>
      <w:r w:rsidR="004158FE">
        <w:t>2026</w:t>
      </w:r>
    </w:p>
    <w:p w14:paraId="1F688DFA" w14:textId="77777777" w:rsidR="003346D4" w:rsidRPr="003172B4" w:rsidRDefault="003346D4" w:rsidP="003346D4"/>
    <w:p w14:paraId="091B6C4B" w14:textId="710CCEBE" w:rsidR="003346D4" w:rsidRPr="003172B4" w:rsidRDefault="00F80E44" w:rsidP="00B20C84">
      <w:pPr>
        <w:pStyle w:val="Ttulo8"/>
        <w:tabs>
          <w:tab w:val="clear" w:pos="284"/>
        </w:tabs>
        <w:jc w:val="center"/>
      </w:pPr>
      <w:r w:rsidRPr="003172B4">
        <w:t>Data de divulgação:</w:t>
      </w:r>
      <w:r w:rsidR="003346D4" w:rsidRPr="003172B4">
        <w:t xml:space="preserve"> </w:t>
      </w:r>
      <w:r w:rsidR="00EA1352">
        <w:t>16</w:t>
      </w:r>
      <w:r w:rsidR="00F9702B">
        <w:t xml:space="preserve"> </w:t>
      </w:r>
      <w:r w:rsidR="00C37594" w:rsidRPr="003172B4">
        <w:t xml:space="preserve">de </w:t>
      </w:r>
      <w:r w:rsidR="00EA1352">
        <w:t>junho</w:t>
      </w:r>
      <w:r w:rsidR="006F26B3">
        <w:t xml:space="preserve"> </w:t>
      </w:r>
      <w:r w:rsidR="003346D4" w:rsidRPr="003172B4">
        <w:t xml:space="preserve">de </w:t>
      </w:r>
      <w:r w:rsidR="004158FE">
        <w:t>2026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65D87052"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EA1352">
        <w:rPr>
          <w:b w:val="0"/>
          <w:sz w:val="16"/>
          <w:szCs w:val="16"/>
        </w:rPr>
        <w:t>1220</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EA1352">
        <w:rPr>
          <w:b w:val="0"/>
          <w:sz w:val="16"/>
          <w:szCs w:val="16"/>
        </w:rPr>
        <w:t>16</w:t>
      </w:r>
      <w:r w:rsidR="00CA6E74">
        <w:rPr>
          <w:b w:val="0"/>
          <w:sz w:val="16"/>
          <w:szCs w:val="16"/>
        </w:rPr>
        <w:t xml:space="preserve"> </w:t>
      </w:r>
      <w:r w:rsidR="00D805B8" w:rsidRPr="00D805B8">
        <w:rPr>
          <w:b w:val="0"/>
          <w:sz w:val="16"/>
          <w:szCs w:val="16"/>
        </w:rPr>
        <w:t>de</w:t>
      </w:r>
      <w:r w:rsidR="00F9702B">
        <w:rPr>
          <w:b w:val="0"/>
          <w:sz w:val="16"/>
          <w:szCs w:val="16"/>
        </w:rPr>
        <w:t xml:space="preserve"> </w:t>
      </w:r>
      <w:r w:rsidR="00EA1352">
        <w:rPr>
          <w:b w:val="0"/>
          <w:sz w:val="16"/>
          <w:szCs w:val="16"/>
        </w:rPr>
        <w:t>junho</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29658CCD" w14:textId="6AD784BB" w:rsidR="00AD256D" w:rsidRPr="003C4979" w:rsidRDefault="000B6C14" w:rsidP="00AD256D">
      <w:pPr>
        <w:spacing w:line="360" w:lineRule="auto"/>
        <w:ind w:left="1418"/>
        <w:rPr>
          <w:sz w:val="24"/>
          <w:szCs w:val="24"/>
          <w:lang w:eastAsia="en-US"/>
        </w:rPr>
      </w:pPr>
      <w:r w:rsidRPr="000B6C14">
        <w:rPr>
          <w:sz w:val="24"/>
          <w:szCs w:val="24"/>
          <w:lang w:eastAsia="en-US"/>
        </w:rPr>
        <w:t xml:space="preserve">Bens Públicos; Concessão </w:t>
      </w:r>
      <w:r w:rsidR="00F83E56">
        <w:rPr>
          <w:sz w:val="24"/>
          <w:szCs w:val="24"/>
          <w:lang w:eastAsia="en-US"/>
        </w:rPr>
        <w:t>d</w:t>
      </w:r>
      <w:r w:rsidRPr="000B6C14">
        <w:rPr>
          <w:sz w:val="24"/>
          <w:szCs w:val="24"/>
          <w:lang w:eastAsia="en-US"/>
        </w:rPr>
        <w:t xml:space="preserve">e Uso </w:t>
      </w:r>
      <w:r w:rsidR="00F83E56">
        <w:rPr>
          <w:sz w:val="24"/>
          <w:szCs w:val="24"/>
          <w:lang w:eastAsia="en-US"/>
        </w:rPr>
        <w:t>d</w:t>
      </w:r>
      <w:r w:rsidRPr="000B6C14">
        <w:rPr>
          <w:sz w:val="24"/>
          <w:szCs w:val="24"/>
          <w:lang w:eastAsia="en-US"/>
        </w:rPr>
        <w:t xml:space="preserve">e Bens Imóveis Estaduais; Exigência </w:t>
      </w:r>
      <w:r w:rsidR="00F83E56">
        <w:rPr>
          <w:sz w:val="24"/>
          <w:szCs w:val="24"/>
          <w:lang w:eastAsia="en-US"/>
        </w:rPr>
        <w:t>d</w:t>
      </w:r>
      <w:r w:rsidRPr="000B6C14">
        <w:rPr>
          <w:sz w:val="24"/>
          <w:szCs w:val="24"/>
          <w:lang w:eastAsia="en-US"/>
        </w:rPr>
        <w:t xml:space="preserve">e Autorização Prévia </w:t>
      </w:r>
      <w:r w:rsidR="00F83E56">
        <w:rPr>
          <w:sz w:val="24"/>
          <w:szCs w:val="24"/>
          <w:lang w:eastAsia="en-US"/>
        </w:rPr>
        <w:t>d</w:t>
      </w:r>
      <w:r w:rsidRPr="000B6C14">
        <w:rPr>
          <w:sz w:val="24"/>
          <w:szCs w:val="24"/>
          <w:lang w:eastAsia="en-US"/>
        </w:rPr>
        <w:t xml:space="preserve">a Assembleia Legislativa; Reserva </w:t>
      </w:r>
      <w:r w:rsidR="00F83E56">
        <w:rPr>
          <w:sz w:val="24"/>
          <w:szCs w:val="24"/>
          <w:lang w:eastAsia="en-US"/>
        </w:rPr>
        <w:t>d</w:t>
      </w:r>
      <w:r w:rsidRPr="000B6C14">
        <w:rPr>
          <w:sz w:val="24"/>
          <w:szCs w:val="24"/>
          <w:lang w:eastAsia="en-US"/>
        </w:rPr>
        <w:t>e Administração</w:t>
      </w:r>
    </w:p>
    <w:p w14:paraId="37D75211" w14:textId="18954BB0" w:rsidR="00AD256D" w:rsidRDefault="00F83E56" w:rsidP="00AD256D">
      <w:pPr>
        <w:spacing w:line="360" w:lineRule="auto"/>
        <w:ind w:left="2126"/>
      </w:pPr>
      <w:hyperlink w:anchor="bempublico" w:history="1">
        <w:r w:rsidRPr="00AE035F">
          <w:rPr>
            <w:rStyle w:val="Hyperlink"/>
            <w:b/>
            <w:bCs/>
            <w:i/>
            <w:iCs/>
            <w:color w:val="auto"/>
            <w:sz w:val="24"/>
            <w:szCs w:val="24"/>
            <w:u w:val="none"/>
            <w:lang w:eastAsia="en-US"/>
          </w:rPr>
          <w:t>Alienação e concessão de bens imóveis estaduais: prévia autorização da Assembleia Legislativa</w:t>
        </w:r>
      </w:hyperlink>
      <w:r w:rsidRPr="00F83E56">
        <w:rPr>
          <w:b/>
          <w:bCs/>
          <w:i/>
          <w:iCs/>
          <w:sz w:val="24"/>
          <w:szCs w:val="24"/>
          <w:lang w:eastAsia="en-US"/>
        </w:rPr>
        <w:t xml:space="preserve"> </w:t>
      </w:r>
      <w:r w:rsidR="008072A9">
        <w:rPr>
          <w:sz w:val="24"/>
          <w:szCs w:val="24"/>
          <w:lang w:eastAsia="en-US"/>
        </w:rPr>
        <w:t>–</w:t>
      </w:r>
      <w:r w:rsidRPr="00F83E56">
        <w:rPr>
          <w:sz w:val="24"/>
          <w:szCs w:val="24"/>
          <w:lang w:eastAsia="en-US"/>
        </w:rPr>
        <w:t xml:space="preserve"> </w:t>
      </w:r>
      <w:hyperlink r:id="rId10" w:history="1">
        <w:r w:rsidRPr="00F83E56">
          <w:rPr>
            <w:sz w:val="24"/>
            <w:szCs w:val="24"/>
            <w:lang w:eastAsia="en-US"/>
          </w:rPr>
          <w:t>ADI 6.891/AP</w:t>
        </w:r>
      </w:hyperlink>
      <w:r w:rsidR="00AD256D" w:rsidRPr="00CA27F9">
        <w:rPr>
          <w:b/>
          <w:bCs/>
          <w:i/>
          <w:iCs/>
          <w:sz w:val="24"/>
          <w:szCs w:val="24"/>
          <w:lang w:eastAsia="en-US"/>
        </w:rPr>
        <w:t xml:space="preserve"> </w:t>
      </w:r>
      <w:r w:rsidR="00AD256D">
        <w:t xml:space="preserve"> </w:t>
      </w:r>
    </w:p>
    <w:p w14:paraId="13BA63E7" w14:textId="77777777" w:rsidR="00AD256D" w:rsidRDefault="00AD256D" w:rsidP="00AD256D">
      <w:pPr>
        <w:spacing w:line="360" w:lineRule="auto"/>
        <w:ind w:left="708"/>
        <w:rPr>
          <w:b/>
          <w:sz w:val="24"/>
          <w:szCs w:val="24"/>
          <w:lang w:eastAsia="en-US"/>
        </w:rPr>
      </w:pPr>
      <w:r w:rsidRPr="003C4979">
        <w:rPr>
          <w:b/>
          <w:sz w:val="24"/>
          <w:szCs w:val="24"/>
          <w:lang w:eastAsia="en-US"/>
        </w:rPr>
        <w:t>Direito Constitucional</w:t>
      </w:r>
    </w:p>
    <w:p w14:paraId="23F27D51" w14:textId="4907742E" w:rsidR="002A4A01" w:rsidRPr="003C4979" w:rsidRDefault="002A4A01" w:rsidP="002A4A01">
      <w:pPr>
        <w:spacing w:line="360" w:lineRule="auto"/>
        <w:ind w:left="1418"/>
        <w:rPr>
          <w:sz w:val="24"/>
          <w:szCs w:val="24"/>
          <w:lang w:eastAsia="en-US"/>
        </w:rPr>
      </w:pPr>
      <w:r w:rsidRPr="002A4A01">
        <w:rPr>
          <w:sz w:val="24"/>
          <w:szCs w:val="24"/>
          <w:lang w:eastAsia="en-US"/>
        </w:rPr>
        <w:t xml:space="preserve">Controle </w:t>
      </w:r>
      <w:r>
        <w:rPr>
          <w:sz w:val="24"/>
          <w:szCs w:val="24"/>
          <w:lang w:eastAsia="en-US"/>
        </w:rPr>
        <w:t>d</w:t>
      </w:r>
      <w:r w:rsidRPr="002A4A01">
        <w:rPr>
          <w:sz w:val="24"/>
          <w:szCs w:val="24"/>
          <w:lang w:eastAsia="en-US"/>
        </w:rPr>
        <w:t xml:space="preserve">e Constitucionalidade; Constituição Estadual; Legitimidade </w:t>
      </w:r>
      <w:r w:rsidRPr="002A4A01">
        <w:rPr>
          <w:i/>
          <w:iCs/>
          <w:sz w:val="24"/>
          <w:szCs w:val="24"/>
          <w:lang w:eastAsia="en-US"/>
        </w:rPr>
        <w:t>Ad Causam</w:t>
      </w:r>
      <w:r w:rsidRPr="002A4A01">
        <w:rPr>
          <w:sz w:val="24"/>
          <w:szCs w:val="24"/>
          <w:lang w:eastAsia="en-US"/>
        </w:rPr>
        <w:t xml:space="preserve">; Pertinência Temática; Conselho Estadual </w:t>
      </w:r>
      <w:r>
        <w:rPr>
          <w:sz w:val="24"/>
          <w:szCs w:val="24"/>
          <w:lang w:eastAsia="en-US"/>
        </w:rPr>
        <w:t>d</w:t>
      </w:r>
      <w:r w:rsidRPr="002A4A01">
        <w:rPr>
          <w:sz w:val="24"/>
          <w:szCs w:val="24"/>
          <w:lang w:eastAsia="en-US"/>
        </w:rPr>
        <w:t xml:space="preserve">a </w:t>
      </w:r>
      <w:r>
        <w:rPr>
          <w:sz w:val="24"/>
          <w:szCs w:val="24"/>
          <w:lang w:eastAsia="en-US"/>
        </w:rPr>
        <w:t>OAB</w:t>
      </w:r>
    </w:p>
    <w:p w14:paraId="28BE5722" w14:textId="65DEA360" w:rsidR="002A4A01" w:rsidRDefault="002A4A01" w:rsidP="002A4A01">
      <w:pPr>
        <w:spacing w:line="360" w:lineRule="auto"/>
        <w:ind w:left="2126"/>
      </w:pPr>
      <w:hyperlink w:anchor="controleconcentrado" w:history="1">
        <w:r w:rsidRPr="00AE035F">
          <w:rPr>
            <w:rStyle w:val="Hyperlink"/>
            <w:b/>
            <w:bCs/>
            <w:i/>
            <w:iCs/>
            <w:color w:val="auto"/>
            <w:sz w:val="24"/>
            <w:szCs w:val="24"/>
            <w:u w:val="none"/>
            <w:lang w:eastAsia="en-US"/>
          </w:rPr>
          <w:t>Contr</w:t>
        </w:r>
        <w:r w:rsidRPr="00AE035F">
          <w:rPr>
            <w:rStyle w:val="Hyperlink"/>
            <w:b/>
            <w:bCs/>
            <w:i/>
            <w:iCs/>
            <w:color w:val="auto"/>
            <w:sz w:val="24"/>
            <w:szCs w:val="24"/>
            <w:u w:val="none"/>
            <w:lang w:eastAsia="en-US"/>
          </w:rPr>
          <w:t>o</w:t>
        </w:r>
        <w:r w:rsidRPr="00AE035F">
          <w:rPr>
            <w:rStyle w:val="Hyperlink"/>
            <w:b/>
            <w:bCs/>
            <w:i/>
            <w:iCs/>
            <w:color w:val="auto"/>
            <w:sz w:val="24"/>
            <w:szCs w:val="24"/>
            <w:u w:val="none"/>
            <w:lang w:eastAsia="en-US"/>
          </w:rPr>
          <w:t>le abstrato de constitucionalidade em âmbito estadual</w:t>
        </w:r>
      </w:hyperlink>
      <w:r w:rsidRPr="002A4A01">
        <w:rPr>
          <w:b/>
          <w:bCs/>
          <w:i/>
          <w:iCs/>
          <w:sz w:val="24"/>
          <w:szCs w:val="24"/>
          <w:lang w:eastAsia="en-US"/>
        </w:rPr>
        <w:t xml:space="preserve"> </w:t>
      </w:r>
      <w:r w:rsidR="008072A9">
        <w:rPr>
          <w:sz w:val="24"/>
          <w:szCs w:val="24"/>
          <w:lang w:eastAsia="en-US"/>
        </w:rPr>
        <w:t>–</w:t>
      </w:r>
      <w:r w:rsidRPr="002A4A01">
        <w:rPr>
          <w:sz w:val="24"/>
          <w:szCs w:val="24"/>
          <w:lang w:eastAsia="en-US"/>
        </w:rPr>
        <w:t xml:space="preserve"> </w:t>
      </w:r>
      <w:hyperlink r:id="rId11" w:history="1">
        <w:r w:rsidRPr="002A4A01">
          <w:rPr>
            <w:sz w:val="24"/>
            <w:szCs w:val="24"/>
            <w:lang w:eastAsia="en-US"/>
          </w:rPr>
          <w:t>ADI 7.821/CE</w:t>
        </w:r>
      </w:hyperlink>
      <w:r w:rsidRPr="00CA27F9">
        <w:rPr>
          <w:b/>
          <w:bCs/>
          <w:i/>
          <w:iCs/>
          <w:sz w:val="24"/>
          <w:szCs w:val="24"/>
          <w:lang w:eastAsia="en-US"/>
        </w:rPr>
        <w:t xml:space="preserve"> </w:t>
      </w:r>
      <w:r>
        <w:t xml:space="preserve"> </w:t>
      </w:r>
    </w:p>
    <w:p w14:paraId="647A4A0C" w14:textId="043C337B" w:rsidR="00043E36" w:rsidRDefault="00043E36" w:rsidP="00D13C22">
      <w:pPr>
        <w:spacing w:line="360" w:lineRule="auto"/>
        <w:ind w:left="1418"/>
        <w:rPr>
          <w:sz w:val="24"/>
          <w:szCs w:val="24"/>
          <w:lang w:eastAsia="en-US"/>
        </w:rPr>
      </w:pPr>
      <w:r>
        <w:rPr>
          <w:sz w:val="24"/>
          <w:szCs w:val="24"/>
          <w:lang w:eastAsia="en-US"/>
        </w:rPr>
        <w:t>Federalismo; Competência Legislativa; Instituição de Microrregiões</w:t>
      </w:r>
    </w:p>
    <w:p w14:paraId="645112F9" w14:textId="2AB300AB" w:rsidR="00043E36" w:rsidRPr="00AA5C8D" w:rsidRDefault="00043E36" w:rsidP="00043E36">
      <w:pPr>
        <w:spacing w:line="360" w:lineRule="auto"/>
        <w:ind w:left="1418" w:firstLine="709"/>
        <w:rPr>
          <w:sz w:val="24"/>
          <w:szCs w:val="24"/>
          <w:lang w:eastAsia="en-US"/>
        </w:rPr>
      </w:pPr>
      <w:hyperlink w:anchor="microrregião" w:history="1">
        <w:r w:rsidRPr="00287AA4">
          <w:rPr>
            <w:rStyle w:val="Hyperlink"/>
            <w:b/>
            <w:bCs/>
            <w:i/>
            <w:iCs/>
            <w:color w:val="auto"/>
            <w:sz w:val="24"/>
            <w:szCs w:val="24"/>
            <w:u w:val="none"/>
            <w:lang w:eastAsia="en-US"/>
          </w:rPr>
          <w:t>Instituição de microrregião de saneamento básico</w:t>
        </w:r>
      </w:hyperlink>
      <w:r w:rsidRPr="00287AA4">
        <w:rPr>
          <w:i/>
          <w:iCs/>
          <w:sz w:val="24"/>
          <w:szCs w:val="24"/>
          <w:lang w:eastAsia="en-US"/>
        </w:rPr>
        <w:t xml:space="preserve"> </w:t>
      </w:r>
      <w:r w:rsidRPr="00E67586">
        <w:rPr>
          <w:sz w:val="24"/>
          <w:szCs w:val="24"/>
          <w:lang w:eastAsia="en-US"/>
        </w:rPr>
        <w:t>–</w:t>
      </w:r>
      <w:r w:rsidRPr="00287AA4">
        <w:rPr>
          <w:i/>
          <w:iCs/>
          <w:sz w:val="24"/>
          <w:szCs w:val="24"/>
          <w:lang w:eastAsia="en-US"/>
        </w:rPr>
        <w:t xml:space="preserve"> </w:t>
      </w:r>
      <w:hyperlink r:id="rId12" w:history="1">
        <w:r w:rsidRPr="00AA5C8D">
          <w:rPr>
            <w:sz w:val="24"/>
            <w:szCs w:val="24"/>
            <w:lang w:eastAsia="en-US"/>
          </w:rPr>
          <w:t>ADI 7.705/SE</w:t>
        </w:r>
      </w:hyperlink>
    </w:p>
    <w:p w14:paraId="154EAC9F" w14:textId="3F42105B" w:rsidR="00D13C22" w:rsidRPr="003C4979" w:rsidRDefault="00D13C22" w:rsidP="00D13C22">
      <w:pPr>
        <w:spacing w:line="360" w:lineRule="auto"/>
        <w:ind w:left="1418"/>
        <w:rPr>
          <w:sz w:val="24"/>
          <w:szCs w:val="24"/>
          <w:lang w:eastAsia="en-US"/>
        </w:rPr>
      </w:pPr>
      <w:r w:rsidRPr="00D13C22">
        <w:rPr>
          <w:sz w:val="24"/>
          <w:szCs w:val="24"/>
          <w:lang w:eastAsia="en-US"/>
        </w:rPr>
        <w:t>Ordem Econômica; Sistema Financeiro Nacional; Livre Iniciativa; Livre Concorrência; Isonomia</w:t>
      </w:r>
    </w:p>
    <w:p w14:paraId="064111A1" w14:textId="67584F1B" w:rsidR="00D13C22" w:rsidRDefault="00D13C22" w:rsidP="00D13C22">
      <w:pPr>
        <w:spacing w:line="360" w:lineRule="auto"/>
        <w:ind w:left="2126"/>
      </w:pPr>
      <w:hyperlink w:anchor="carbono" w:history="1">
        <w:r w:rsidRPr="008C089D">
          <w:rPr>
            <w:rStyle w:val="Hyperlink"/>
            <w:b/>
            <w:bCs/>
            <w:i/>
            <w:iCs/>
            <w:color w:val="auto"/>
            <w:sz w:val="24"/>
            <w:szCs w:val="24"/>
            <w:u w:val="none"/>
            <w:lang w:eastAsia="en-US"/>
          </w:rPr>
          <w:t>Obrigatoriedade de aquisição de créditos de carbono por seguradoras e entidades de previdência</w:t>
        </w:r>
      </w:hyperlink>
      <w:r w:rsidRPr="00D13C22">
        <w:rPr>
          <w:b/>
          <w:bCs/>
          <w:i/>
          <w:iCs/>
          <w:sz w:val="24"/>
          <w:szCs w:val="24"/>
          <w:lang w:eastAsia="en-US"/>
        </w:rPr>
        <w:t xml:space="preserve"> </w:t>
      </w:r>
      <w:r w:rsidRPr="007F72D6">
        <w:rPr>
          <w:sz w:val="24"/>
          <w:szCs w:val="24"/>
          <w:lang w:eastAsia="en-US"/>
        </w:rPr>
        <w:t xml:space="preserve">– </w:t>
      </w:r>
      <w:hyperlink r:id="rId13" w:history="1">
        <w:r w:rsidRPr="00D13C22">
          <w:rPr>
            <w:rStyle w:val="Hyperlink"/>
            <w:bCs/>
            <w:color w:val="auto"/>
            <w:sz w:val="24"/>
            <w:szCs w:val="24"/>
            <w:u w:val="none"/>
            <w:lang w:eastAsia="en-US"/>
          </w:rPr>
          <w:t>ADI 7.795/DF</w:t>
        </w:r>
      </w:hyperlink>
      <w:r w:rsidRPr="00D13C22">
        <w:rPr>
          <w:bCs/>
          <w:sz w:val="24"/>
          <w:szCs w:val="24"/>
          <w:lang w:eastAsia="en-US"/>
        </w:rPr>
        <w:t xml:space="preserve"> </w:t>
      </w:r>
      <w:r w:rsidRPr="00D13C22">
        <w:t xml:space="preserve"> </w:t>
      </w:r>
    </w:p>
    <w:p w14:paraId="70974D56" w14:textId="40FB59DA" w:rsidR="00AD256D" w:rsidRPr="003C4979" w:rsidRDefault="00D64CF8" w:rsidP="00AD256D">
      <w:pPr>
        <w:spacing w:line="360" w:lineRule="auto"/>
        <w:ind w:left="1418"/>
        <w:rPr>
          <w:sz w:val="24"/>
          <w:szCs w:val="24"/>
          <w:lang w:eastAsia="en-US"/>
        </w:rPr>
      </w:pPr>
      <w:r w:rsidRPr="00C17806">
        <w:rPr>
          <w:sz w:val="24"/>
          <w:szCs w:val="24"/>
          <w:lang w:eastAsia="en-US"/>
        </w:rPr>
        <w:t xml:space="preserve">Previdência </w:t>
      </w:r>
      <w:r>
        <w:rPr>
          <w:sz w:val="24"/>
          <w:szCs w:val="24"/>
          <w:lang w:eastAsia="en-US"/>
        </w:rPr>
        <w:t>e</w:t>
      </w:r>
      <w:r w:rsidRPr="00C17806">
        <w:rPr>
          <w:sz w:val="24"/>
          <w:szCs w:val="24"/>
          <w:lang w:eastAsia="en-US"/>
        </w:rPr>
        <w:t xml:space="preserve"> Assistência Social; Medida Protetiva; Afastamento </w:t>
      </w:r>
      <w:r>
        <w:rPr>
          <w:sz w:val="24"/>
          <w:szCs w:val="24"/>
          <w:lang w:eastAsia="en-US"/>
        </w:rPr>
        <w:t>d</w:t>
      </w:r>
      <w:r w:rsidRPr="00C17806">
        <w:rPr>
          <w:sz w:val="24"/>
          <w:szCs w:val="24"/>
          <w:lang w:eastAsia="en-US"/>
        </w:rPr>
        <w:t>o Trabalho; Violência Doméstica; Prestação Pecuniária; Ônus Remuneratório</w:t>
      </w:r>
      <w:r>
        <w:rPr>
          <w:sz w:val="24"/>
          <w:szCs w:val="24"/>
          <w:lang w:eastAsia="en-US"/>
        </w:rPr>
        <w:t xml:space="preserve"> de Benefícios Assistenciais Eventuais; Incidência Tributária</w:t>
      </w:r>
    </w:p>
    <w:p w14:paraId="777ED3D3" w14:textId="6C82111C" w:rsidR="00AD256D" w:rsidRDefault="00D64CF8" w:rsidP="00AD256D">
      <w:pPr>
        <w:spacing w:line="360" w:lineRule="auto"/>
        <w:ind w:left="2126"/>
      </w:pPr>
      <w:hyperlink w:anchor="Esclarecimentos" w:history="1">
        <w:r w:rsidRPr="00095057">
          <w:rPr>
            <w:rStyle w:val="Hyperlink"/>
            <w:b/>
            <w:bCs/>
            <w:i/>
            <w:iCs/>
            <w:color w:val="auto"/>
            <w:sz w:val="24"/>
            <w:szCs w:val="24"/>
            <w:u w:val="none"/>
            <w:lang w:eastAsia="en-US"/>
          </w:rPr>
          <w:t>Esclarecimentos sobre o afastamento laboral remunerado de mulher vítima de violência doméstica</w:t>
        </w:r>
      </w:hyperlink>
      <w:r w:rsidRPr="00D64CF8">
        <w:rPr>
          <w:b/>
          <w:bCs/>
          <w:i/>
          <w:iCs/>
          <w:sz w:val="24"/>
          <w:szCs w:val="24"/>
          <w:lang w:eastAsia="en-US"/>
        </w:rPr>
        <w:t xml:space="preserve"> </w:t>
      </w:r>
      <w:r w:rsidRPr="007F72D6">
        <w:rPr>
          <w:sz w:val="24"/>
          <w:szCs w:val="24"/>
          <w:lang w:eastAsia="en-US"/>
        </w:rPr>
        <w:t xml:space="preserve">– </w:t>
      </w:r>
      <w:hyperlink r:id="rId14" w:history="1">
        <w:r w:rsidRPr="00D64CF8">
          <w:rPr>
            <w:sz w:val="24"/>
            <w:szCs w:val="24"/>
            <w:lang w:eastAsia="en-US"/>
          </w:rPr>
          <w:t>RE 1.520.468 ED/PR</w:t>
        </w:r>
      </w:hyperlink>
      <w:r w:rsidRPr="00D64CF8">
        <w:rPr>
          <w:sz w:val="24"/>
          <w:szCs w:val="24"/>
        </w:rPr>
        <w:t xml:space="preserve"> (</w:t>
      </w:r>
      <w:hyperlink r:id="rId15" w:history="1">
        <w:r w:rsidRPr="00D64CF8">
          <w:rPr>
            <w:sz w:val="24"/>
            <w:szCs w:val="24"/>
            <w:u w:val="single"/>
          </w:rPr>
          <w:t>Tema 1.370 RG</w:t>
        </w:r>
      </w:hyperlink>
      <w:r w:rsidRPr="00D64CF8">
        <w:rPr>
          <w:sz w:val="24"/>
          <w:szCs w:val="24"/>
        </w:rPr>
        <w:t>)</w:t>
      </w:r>
      <w:r w:rsidR="00AD256D" w:rsidRPr="00CA27F9">
        <w:rPr>
          <w:b/>
          <w:bCs/>
          <w:i/>
          <w:iCs/>
          <w:sz w:val="24"/>
          <w:szCs w:val="24"/>
          <w:lang w:eastAsia="en-US"/>
        </w:rPr>
        <w:t xml:space="preserve"> </w:t>
      </w:r>
      <w:r w:rsidR="00AD256D">
        <w:t xml:space="preserve"> </w:t>
      </w:r>
    </w:p>
    <w:p w14:paraId="26FCF034" w14:textId="05E38F0E" w:rsidR="008B7877" w:rsidRPr="008B7877" w:rsidRDefault="008B7877" w:rsidP="008B7877">
      <w:pPr>
        <w:spacing w:line="360" w:lineRule="auto"/>
        <w:ind w:left="1418"/>
        <w:rPr>
          <w:sz w:val="24"/>
          <w:szCs w:val="24"/>
        </w:rPr>
      </w:pPr>
      <w:r w:rsidRPr="008B7877">
        <w:rPr>
          <w:sz w:val="24"/>
          <w:szCs w:val="24"/>
        </w:rPr>
        <w:lastRenderedPageBreak/>
        <w:t>Repartição de Competências; Telecomunicações e Radiodifusão</w:t>
      </w:r>
    </w:p>
    <w:p w14:paraId="37CB7D8F" w14:textId="77777777" w:rsidR="008B7877" w:rsidRPr="008B7877" w:rsidRDefault="008B7877" w:rsidP="008B7877">
      <w:pPr>
        <w:spacing w:line="360" w:lineRule="auto"/>
        <w:ind w:left="2126"/>
        <w:rPr>
          <w:sz w:val="24"/>
          <w:szCs w:val="24"/>
        </w:rPr>
      </w:pPr>
      <w:r w:rsidRPr="008B7877">
        <w:rPr>
          <w:b/>
          <w:bCs/>
          <w:i/>
          <w:iCs/>
          <w:sz w:val="24"/>
          <w:szCs w:val="24"/>
        </w:rPr>
        <w:t xml:space="preserve">Meio ambiente: licenciamento ambiental como condição para instalação, funcionamento e operação de estações de Rádio-Base </w:t>
      </w:r>
      <w:r w:rsidRPr="00CC51BC">
        <w:rPr>
          <w:b/>
          <w:bCs/>
          <w:i/>
          <w:iCs/>
          <w:sz w:val="24"/>
          <w:szCs w:val="24"/>
        </w:rPr>
        <w:t>(ERBs)</w:t>
      </w:r>
      <w:r w:rsidRPr="008B7877">
        <w:rPr>
          <w:b/>
          <w:bCs/>
          <w:i/>
          <w:iCs/>
          <w:sz w:val="24"/>
          <w:szCs w:val="24"/>
        </w:rPr>
        <w:t xml:space="preserve"> </w:t>
      </w:r>
      <w:r w:rsidRPr="008B7877">
        <w:rPr>
          <w:sz w:val="24"/>
          <w:szCs w:val="24"/>
        </w:rPr>
        <w:t xml:space="preserve">– </w:t>
      </w:r>
      <w:hyperlink r:id="rId16" w:history="1">
        <w:r w:rsidRPr="008B7877">
          <w:rPr>
            <w:rStyle w:val="Hyperlink"/>
            <w:color w:val="auto"/>
            <w:sz w:val="24"/>
            <w:szCs w:val="24"/>
            <w:u w:val="none"/>
          </w:rPr>
          <w:t>ADI 7.888/GO</w:t>
        </w:r>
      </w:hyperlink>
    </w:p>
    <w:p w14:paraId="735A10DA" w14:textId="06F9DBD0" w:rsidR="00B65577" w:rsidRDefault="00B65577" w:rsidP="00CC51BC">
      <w:pPr>
        <w:spacing w:line="360" w:lineRule="auto"/>
        <w:ind w:firstLine="709"/>
        <w:rPr>
          <w:b/>
          <w:sz w:val="24"/>
          <w:szCs w:val="24"/>
          <w:lang w:eastAsia="en-US"/>
        </w:rPr>
      </w:pPr>
      <w:r w:rsidRPr="00B65577">
        <w:rPr>
          <w:b/>
          <w:sz w:val="24"/>
          <w:szCs w:val="24"/>
          <w:lang w:eastAsia="en-US"/>
        </w:rPr>
        <w:t>Direito Previdenciário</w:t>
      </w:r>
    </w:p>
    <w:p w14:paraId="199B36CA" w14:textId="5C710CCA" w:rsidR="00B65577" w:rsidRDefault="00B65577" w:rsidP="00B65577">
      <w:pPr>
        <w:spacing w:line="360" w:lineRule="auto"/>
        <w:ind w:left="1418"/>
        <w:rPr>
          <w:sz w:val="24"/>
          <w:szCs w:val="24"/>
          <w:lang w:eastAsia="en-US"/>
        </w:rPr>
      </w:pPr>
      <w:r w:rsidRPr="00B65577">
        <w:rPr>
          <w:sz w:val="24"/>
          <w:szCs w:val="24"/>
          <w:lang w:eastAsia="en-US"/>
        </w:rPr>
        <w:t xml:space="preserve">Reforma </w:t>
      </w:r>
      <w:r>
        <w:rPr>
          <w:sz w:val="24"/>
          <w:szCs w:val="24"/>
          <w:lang w:eastAsia="en-US"/>
        </w:rPr>
        <w:t>d</w:t>
      </w:r>
      <w:r w:rsidRPr="00B65577">
        <w:rPr>
          <w:sz w:val="24"/>
          <w:szCs w:val="24"/>
          <w:lang w:eastAsia="en-US"/>
        </w:rPr>
        <w:t xml:space="preserve">a Previdência; Regime Geral </w:t>
      </w:r>
      <w:r>
        <w:rPr>
          <w:sz w:val="24"/>
          <w:szCs w:val="24"/>
          <w:lang w:eastAsia="en-US"/>
        </w:rPr>
        <w:t>d</w:t>
      </w:r>
      <w:r w:rsidRPr="00B65577">
        <w:rPr>
          <w:sz w:val="24"/>
          <w:szCs w:val="24"/>
          <w:lang w:eastAsia="en-US"/>
        </w:rPr>
        <w:t>a Previdência Social; Aposentadoria Especial; Idade Mínima</w:t>
      </w:r>
    </w:p>
    <w:p w14:paraId="429EB7B2" w14:textId="3BD35F02" w:rsidR="00B65577" w:rsidRDefault="00B65577" w:rsidP="00B65577">
      <w:pPr>
        <w:spacing w:line="360" w:lineRule="auto"/>
        <w:ind w:left="2126"/>
      </w:pPr>
      <w:r w:rsidRPr="00B65577">
        <w:rPr>
          <w:sz w:val="24"/>
          <w:szCs w:val="24"/>
          <w:lang w:eastAsia="en-US"/>
        </w:rPr>
        <w:tab/>
      </w:r>
      <w:hyperlink w:anchor="Aposentadoria" w:history="1">
        <w:r w:rsidRPr="00B65577">
          <w:rPr>
            <w:rStyle w:val="Hyperlink"/>
            <w:b/>
            <w:bCs/>
            <w:i/>
            <w:iCs/>
            <w:color w:val="auto"/>
            <w:sz w:val="24"/>
            <w:szCs w:val="24"/>
            <w:u w:val="none"/>
            <w:lang w:eastAsia="en-US"/>
          </w:rPr>
          <w:t>Aposentadoria especial: idade mínima para trabalhadores expostos a agentes nocivos</w:t>
        </w:r>
      </w:hyperlink>
      <w:r w:rsidRPr="00B65577">
        <w:rPr>
          <w:b/>
          <w:bCs/>
          <w:i/>
          <w:iCs/>
          <w:sz w:val="24"/>
          <w:szCs w:val="24"/>
          <w:lang w:eastAsia="en-US"/>
        </w:rPr>
        <w:t xml:space="preserve"> </w:t>
      </w:r>
      <w:r w:rsidRPr="00B65577">
        <w:rPr>
          <w:sz w:val="24"/>
          <w:szCs w:val="24"/>
          <w:lang w:eastAsia="en-US"/>
        </w:rPr>
        <w:t xml:space="preserve">– </w:t>
      </w:r>
      <w:hyperlink r:id="rId17" w:history="1">
        <w:r w:rsidRPr="00B65577">
          <w:rPr>
            <w:rFonts w:eastAsia="Aptos"/>
            <w:kern w:val="2"/>
            <w:sz w:val="24"/>
            <w:szCs w:val="24"/>
            <w:lang w:eastAsia="en-US"/>
            <w14:ligatures w14:val="standardContextual"/>
          </w:rPr>
          <w:t xml:space="preserve">ADI 6.309/DF </w:t>
        </w:r>
      </w:hyperlink>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3D6DC518" w14:textId="77777777" w:rsidR="00F83E56" w:rsidRPr="00F83E56" w:rsidRDefault="00F83E56" w:rsidP="00F83E56">
      <w:pPr>
        <w:rPr>
          <w:sz w:val="24"/>
          <w:szCs w:val="24"/>
          <w:lang w:eastAsia="en-US"/>
        </w:rPr>
      </w:pPr>
      <w:bookmarkStart w:id="2" w:name="Esclarecimentos"/>
      <w:bookmarkStart w:id="3" w:name="_Hlk199424979"/>
      <w:bookmarkEnd w:id="1"/>
      <w:bookmarkEnd w:id="2"/>
      <w:r w:rsidRPr="00F83E56">
        <w:rPr>
          <w:sz w:val="24"/>
          <w:szCs w:val="24"/>
          <w:lang w:eastAsia="en-US"/>
        </w:rPr>
        <w:t>DIREITO ADMINISTRATIVO – BENS PÚBLICOS; CONCESSÃO DE USO DE BENS IMÓVEIS ESTADUAIS; EXIGÊNCIA DE AUTORIZAÇÃO PRÉVIA DA ASSEMBLEIA LEGISLATIVA; RESERVA DE ADMINISTRAÇÃO</w:t>
      </w:r>
    </w:p>
    <w:p w14:paraId="372F02D0" w14:textId="77777777" w:rsidR="00F83E56" w:rsidRPr="00F83E56" w:rsidRDefault="00F83E56" w:rsidP="00F83E56">
      <w:pPr>
        <w:rPr>
          <w:b/>
          <w:bCs/>
          <w:sz w:val="24"/>
          <w:szCs w:val="24"/>
          <w:highlight w:val="yellow"/>
          <w:lang w:eastAsia="en-US"/>
        </w:rPr>
      </w:pPr>
    </w:p>
    <w:p w14:paraId="218BAEEB" w14:textId="6959A706" w:rsidR="00F83E56" w:rsidRPr="00F83E56" w:rsidRDefault="00F83E56" w:rsidP="00F83E56">
      <w:pPr>
        <w:autoSpaceDE w:val="0"/>
        <w:autoSpaceDN w:val="0"/>
        <w:adjustRightInd w:val="0"/>
        <w:rPr>
          <w:sz w:val="24"/>
          <w:szCs w:val="24"/>
          <w:lang w:eastAsia="en-US"/>
        </w:rPr>
      </w:pPr>
      <w:bookmarkStart w:id="4" w:name="bempublico"/>
      <w:r w:rsidRPr="00F83E56">
        <w:rPr>
          <w:b/>
          <w:bCs/>
          <w:i/>
          <w:iCs/>
          <w:sz w:val="24"/>
          <w:szCs w:val="24"/>
          <w:lang w:eastAsia="en-US"/>
        </w:rPr>
        <w:t xml:space="preserve">Alienação e concessão de bens imóveis estaduais: prévia autorização da Assembleia Legislativa </w:t>
      </w:r>
      <w:bookmarkEnd w:id="4"/>
      <w:r w:rsidR="006E1E0D">
        <w:rPr>
          <w:sz w:val="24"/>
          <w:szCs w:val="24"/>
          <w:lang w:eastAsia="en-US"/>
        </w:rPr>
        <w:t>–</w:t>
      </w:r>
      <w:r w:rsidRPr="00F83E56">
        <w:rPr>
          <w:sz w:val="24"/>
          <w:szCs w:val="24"/>
          <w:lang w:eastAsia="en-US"/>
        </w:rPr>
        <w:t xml:space="preserve"> </w:t>
      </w:r>
      <w:hyperlink r:id="rId18" w:history="1">
        <w:r w:rsidRPr="00F83E56">
          <w:rPr>
            <w:sz w:val="24"/>
            <w:szCs w:val="24"/>
            <w:lang w:eastAsia="en-US"/>
          </w:rPr>
          <w:t>ADI 6.891/AP</w:t>
        </w:r>
      </w:hyperlink>
      <w:r w:rsidRPr="00F83E56">
        <w:rPr>
          <w:sz w:val="24"/>
          <w:szCs w:val="24"/>
          <w:lang w:eastAsia="en-US"/>
        </w:rPr>
        <w:t xml:space="preserve"> </w:t>
      </w:r>
      <w:r w:rsidRPr="00F83E56">
        <w:rPr>
          <w:noProof/>
          <w:sz w:val="24"/>
          <w:szCs w:val="24"/>
        </w:rPr>
        <w:drawing>
          <wp:inline distT="0" distB="0" distL="0" distR="0" wp14:anchorId="1F51CEB1" wp14:editId="2073305F">
            <wp:extent cx="1195705" cy="180975"/>
            <wp:effectExtent l="0" t="0" r="4445" b="9525"/>
            <wp:docPr id="65481011" name="Imagem 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6C2408C" w14:textId="77777777" w:rsidR="00F83E56" w:rsidRPr="00F83E56" w:rsidRDefault="00F83E56" w:rsidP="00F83E56">
      <w:pPr>
        <w:autoSpaceDE w:val="0"/>
        <w:autoSpaceDN w:val="0"/>
        <w:adjustRightInd w:val="0"/>
        <w:rPr>
          <w:sz w:val="24"/>
          <w:szCs w:val="24"/>
        </w:rPr>
      </w:pPr>
    </w:p>
    <w:p w14:paraId="6532DFCC" w14:textId="77777777" w:rsidR="00F83E56" w:rsidRPr="00F83E56" w:rsidRDefault="00F83E56" w:rsidP="00F83E56">
      <w:pPr>
        <w:rPr>
          <w:sz w:val="24"/>
          <w:szCs w:val="24"/>
        </w:rPr>
      </w:pPr>
      <w:r w:rsidRPr="00F83E56">
        <w:rPr>
          <w:b/>
          <w:bCs/>
          <w:sz w:val="24"/>
          <w:szCs w:val="24"/>
        </w:rPr>
        <w:t xml:space="preserve">ODS: </w:t>
      </w:r>
      <w:hyperlink r:id="rId21" w:history="1">
        <w:r w:rsidRPr="00F83E56">
          <w:rPr>
            <w:color w:val="0000FF"/>
            <w:sz w:val="24"/>
            <w:szCs w:val="24"/>
            <w:u w:val="single"/>
          </w:rPr>
          <w:t>16</w:t>
        </w:r>
      </w:hyperlink>
    </w:p>
    <w:p w14:paraId="6BC08400" w14:textId="77777777" w:rsidR="00F83E56" w:rsidRPr="00F83E56" w:rsidRDefault="00F83E56" w:rsidP="006E1E0D">
      <w:pPr>
        <w:autoSpaceDE w:val="0"/>
        <w:autoSpaceDN w:val="0"/>
        <w:adjustRightInd w:val="0"/>
        <w:rPr>
          <w:sz w:val="24"/>
          <w:szCs w:val="24"/>
          <w:lang w:eastAsia="en-US"/>
        </w:rPr>
      </w:pPr>
    </w:p>
    <w:p w14:paraId="5394ED9C" w14:textId="77777777" w:rsidR="00F83E56" w:rsidRPr="00F83E56" w:rsidRDefault="00F83E56" w:rsidP="00F83E56">
      <w:pPr>
        <w:spacing w:line="360" w:lineRule="auto"/>
        <w:rPr>
          <w:sz w:val="24"/>
          <w:szCs w:val="24"/>
          <w:lang w:eastAsia="en-US"/>
        </w:rPr>
      </w:pPr>
      <w:r w:rsidRPr="00F83E56">
        <w:rPr>
          <w:sz w:val="24"/>
          <w:szCs w:val="24"/>
          <w:lang w:eastAsia="en-US"/>
        </w:rPr>
        <w:t>Resumo:</w:t>
      </w:r>
    </w:p>
    <w:p w14:paraId="136C4C05" w14:textId="01B4D877" w:rsidR="00F83E56" w:rsidRPr="00F83E56" w:rsidRDefault="00F83E56" w:rsidP="00F83E56">
      <w:pPr>
        <w:spacing w:line="360" w:lineRule="auto"/>
        <w:ind w:firstLine="708"/>
        <w:rPr>
          <w:b/>
          <w:bCs/>
          <w:sz w:val="24"/>
          <w:szCs w:val="24"/>
          <w:lang w:eastAsia="en-US"/>
        </w:rPr>
      </w:pPr>
      <w:r w:rsidRPr="00F83E56">
        <w:rPr>
          <w:b/>
          <w:bCs/>
          <w:sz w:val="24"/>
          <w:szCs w:val="24"/>
          <w:lang w:eastAsia="en-US"/>
        </w:rPr>
        <w:t xml:space="preserve">É inconstitucional </w:t>
      </w:r>
      <w:r w:rsidR="00006BC3" w:rsidRPr="00006BC3">
        <w:rPr>
          <w:b/>
          <w:bCs/>
          <w:sz w:val="24"/>
          <w:szCs w:val="24"/>
          <w:lang w:eastAsia="en-US"/>
        </w:rPr>
        <w:t>–</w:t>
      </w:r>
      <w:r w:rsidRPr="00F83E56">
        <w:rPr>
          <w:b/>
          <w:bCs/>
          <w:sz w:val="24"/>
          <w:szCs w:val="24"/>
          <w:lang w:eastAsia="en-US"/>
        </w:rPr>
        <w:t xml:space="preserve"> por violar o princípio da separação dos Poderes e a reserva de administração </w:t>
      </w:r>
      <w:r w:rsidR="00006BC3" w:rsidRPr="00006BC3">
        <w:rPr>
          <w:b/>
          <w:bCs/>
          <w:sz w:val="24"/>
          <w:szCs w:val="24"/>
          <w:lang w:eastAsia="en-US"/>
        </w:rPr>
        <w:t>–</w:t>
      </w:r>
      <w:r w:rsidRPr="00F83E56">
        <w:rPr>
          <w:b/>
          <w:bCs/>
          <w:sz w:val="24"/>
          <w:szCs w:val="24"/>
          <w:lang w:eastAsia="en-US"/>
        </w:rPr>
        <w:t xml:space="preserve"> norma de Constituição estadual que condiciona a concessão de uso de bens imóveis estaduais à prévia autorização da Assembleia Legislativa.</w:t>
      </w:r>
    </w:p>
    <w:p w14:paraId="3CAD2732" w14:textId="77777777" w:rsidR="00F83E56" w:rsidRPr="00F83E56" w:rsidRDefault="00F83E56" w:rsidP="00F83E56">
      <w:pPr>
        <w:spacing w:line="360" w:lineRule="auto"/>
        <w:ind w:firstLine="708"/>
        <w:rPr>
          <w:sz w:val="24"/>
          <w:szCs w:val="24"/>
          <w:lang w:eastAsia="en-US"/>
        </w:rPr>
      </w:pPr>
      <w:r w:rsidRPr="00F83E56">
        <w:rPr>
          <w:sz w:val="24"/>
          <w:szCs w:val="24"/>
          <w:lang w:eastAsia="en-US"/>
        </w:rPr>
        <w:t>A Constituição Federal assegura aos entes federativos autonomia para dispor sobre a gestão de seus bens públicos, cabendo ao Poder Executivo a prática de atos de administração patrimonial. Nesse contexto, a concessão de uso de bem público constitui típico ato de gestão administrativa, inserido na esfera de atuação do Executivo.</w:t>
      </w:r>
    </w:p>
    <w:p w14:paraId="59C578A9" w14:textId="5ECFFC86" w:rsidR="00F83E56" w:rsidRPr="00F83E56" w:rsidRDefault="00F83E56" w:rsidP="00F83E56">
      <w:pPr>
        <w:spacing w:line="360" w:lineRule="auto"/>
        <w:ind w:firstLine="708"/>
        <w:rPr>
          <w:sz w:val="24"/>
          <w:szCs w:val="24"/>
          <w:lang w:eastAsia="en-US"/>
        </w:rPr>
      </w:pPr>
      <w:r w:rsidRPr="00F83E56">
        <w:rPr>
          <w:sz w:val="24"/>
          <w:szCs w:val="24"/>
          <w:lang w:eastAsia="en-US"/>
        </w:rPr>
        <w:t xml:space="preserve">Conforme jurisprudência desta Corte (1), a reserva de administração limita a atuação normativa do Poder Legislativo, de forma a impedir interferências indevidas em competências próprias do Executivo. Embora se admita o controle legislativo sobre determinados atos de gestão patrimonial </w:t>
      </w:r>
      <w:r w:rsidR="00006BC3" w:rsidRPr="008B7877">
        <w:rPr>
          <w:sz w:val="24"/>
          <w:szCs w:val="24"/>
          <w:lang w:eastAsia="en-US"/>
        </w:rPr>
        <w:t>–</w:t>
      </w:r>
      <w:r w:rsidRPr="00F83E56">
        <w:rPr>
          <w:sz w:val="24"/>
          <w:szCs w:val="24"/>
          <w:lang w:eastAsia="en-US"/>
        </w:rPr>
        <w:t xml:space="preserve"> especialmente em hipóteses expressamente previstas na Constituição, </w:t>
      </w:r>
      <w:r w:rsidRPr="00F83E56">
        <w:rPr>
          <w:sz w:val="24"/>
          <w:szCs w:val="24"/>
          <w:lang w:eastAsia="en-US"/>
        </w:rPr>
        <w:lastRenderedPageBreak/>
        <w:t xml:space="preserve">como a alienação de bens públicos </w:t>
      </w:r>
      <w:r w:rsidR="00006BC3" w:rsidRPr="008B7877">
        <w:rPr>
          <w:sz w:val="24"/>
          <w:szCs w:val="24"/>
          <w:lang w:eastAsia="en-US"/>
        </w:rPr>
        <w:t>–</w:t>
      </w:r>
      <w:r w:rsidRPr="00F83E56">
        <w:rPr>
          <w:sz w:val="24"/>
          <w:szCs w:val="24"/>
          <w:lang w:eastAsia="en-US"/>
        </w:rPr>
        <w:t>, não se autoriza a submissão generalizada de atos administrativos à prévia autorização legislativa.</w:t>
      </w:r>
    </w:p>
    <w:p w14:paraId="07B2E0E3" w14:textId="77777777" w:rsidR="00F83E56" w:rsidRPr="00F83E56" w:rsidRDefault="00F83E56" w:rsidP="00F83E56">
      <w:pPr>
        <w:spacing w:line="360" w:lineRule="auto"/>
        <w:ind w:firstLine="708"/>
        <w:rPr>
          <w:sz w:val="24"/>
          <w:szCs w:val="24"/>
          <w:lang w:eastAsia="en-US"/>
        </w:rPr>
      </w:pPr>
      <w:r w:rsidRPr="00F83E56">
        <w:rPr>
          <w:sz w:val="24"/>
          <w:szCs w:val="24"/>
          <w:lang w:eastAsia="en-US"/>
        </w:rPr>
        <w:t>Na espécie, a Constituição do Estado do Amapá condicionou a concessão de uso de bens imóveis estaduais à prévia autorização da Assembleia Legislativa, de forma ampla e indistinta, independentemente da natureza ou do valor do bem. Tal exigência impõe entrave desproporcional à atuação administrativa e compromete a eficiência da gestão patrimonial.</w:t>
      </w:r>
    </w:p>
    <w:p w14:paraId="746A10BF" w14:textId="77777777" w:rsidR="00F83E56" w:rsidRPr="00F83E56" w:rsidRDefault="00F83E56" w:rsidP="00F83E56">
      <w:pPr>
        <w:spacing w:line="360" w:lineRule="auto"/>
        <w:ind w:firstLine="708"/>
        <w:rPr>
          <w:sz w:val="24"/>
          <w:szCs w:val="24"/>
          <w:lang w:eastAsia="en-US"/>
        </w:rPr>
      </w:pPr>
      <w:r w:rsidRPr="00F83E56">
        <w:rPr>
          <w:sz w:val="24"/>
          <w:szCs w:val="24"/>
          <w:lang w:eastAsia="en-US"/>
        </w:rPr>
        <w:t>Com base nesses e em outros entendimentos, o Plenário, por maioria, julgou procedente a ação direta para declarar a inconstitucionalidade do trecho “</w:t>
      </w:r>
      <w:r w:rsidRPr="00F83E56">
        <w:rPr>
          <w:i/>
          <w:iCs/>
          <w:sz w:val="24"/>
          <w:szCs w:val="24"/>
          <w:lang w:eastAsia="en-US"/>
        </w:rPr>
        <w:t>e a concessão</w:t>
      </w:r>
      <w:r w:rsidRPr="00F83E56">
        <w:rPr>
          <w:sz w:val="24"/>
          <w:szCs w:val="24"/>
          <w:lang w:eastAsia="en-US"/>
        </w:rPr>
        <w:t xml:space="preserve">” do parágrafo único do art. 9º da </w:t>
      </w:r>
      <w:hyperlink r:id="rId22" w:history="1">
        <w:r w:rsidRPr="00F83E56">
          <w:rPr>
            <w:color w:val="0000FF"/>
            <w:sz w:val="24"/>
            <w:szCs w:val="24"/>
            <w:u w:val="single"/>
            <w:lang w:eastAsia="en-US"/>
          </w:rPr>
          <w:t>Constituição do Estado do Amapá</w:t>
        </w:r>
      </w:hyperlink>
      <w:r w:rsidRPr="00F83E56">
        <w:rPr>
          <w:sz w:val="24"/>
          <w:szCs w:val="24"/>
          <w:lang w:eastAsia="en-US"/>
        </w:rPr>
        <w:t xml:space="preserve"> (2).</w:t>
      </w:r>
    </w:p>
    <w:p w14:paraId="241156A4" w14:textId="77777777" w:rsidR="00F83E56" w:rsidRPr="00F83E56" w:rsidRDefault="00F83E56" w:rsidP="00F83E56">
      <w:pPr>
        <w:contextualSpacing/>
        <w:rPr>
          <w:rFonts w:ascii="Arial" w:hAnsi="Arial" w:cs="Arial"/>
          <w:sz w:val="20"/>
          <w:szCs w:val="20"/>
        </w:rPr>
      </w:pPr>
    </w:p>
    <w:p w14:paraId="483590BE" w14:textId="7560B2D7" w:rsidR="00F83E56" w:rsidRPr="00F83E56" w:rsidRDefault="00F83E56" w:rsidP="00CC51BC">
      <w:pPr>
        <w:spacing w:after="120"/>
        <w:ind w:firstLine="708"/>
        <w:rPr>
          <w:rFonts w:ascii="Arial" w:hAnsi="Arial" w:cs="Arial"/>
          <w:sz w:val="20"/>
          <w:szCs w:val="20"/>
        </w:rPr>
      </w:pPr>
      <w:r w:rsidRPr="00F83E56">
        <w:rPr>
          <w:rFonts w:ascii="Arial" w:hAnsi="Arial" w:cs="Arial"/>
          <w:sz w:val="20"/>
          <w:szCs w:val="20"/>
        </w:rPr>
        <w:t xml:space="preserve">(1) Precedentes citados: </w:t>
      </w:r>
      <w:hyperlink r:id="rId23" w:history="1">
        <w:r w:rsidRPr="00F83E56">
          <w:rPr>
            <w:rFonts w:ascii="Arial" w:hAnsi="Arial" w:cs="Arial"/>
            <w:color w:val="0000FF"/>
            <w:sz w:val="20"/>
            <w:szCs w:val="20"/>
            <w:u w:val="single"/>
          </w:rPr>
          <w:t>ADI 2.364</w:t>
        </w:r>
        <w:r w:rsidR="006E1E0D">
          <w:rPr>
            <w:rFonts w:ascii="Arial" w:hAnsi="Arial" w:cs="Arial"/>
            <w:color w:val="0000FF"/>
            <w:sz w:val="20"/>
            <w:szCs w:val="20"/>
            <w:u w:val="single"/>
          </w:rPr>
          <w:t xml:space="preserve"> </w:t>
        </w:r>
        <w:r w:rsidRPr="00F83E56">
          <w:rPr>
            <w:rFonts w:ascii="Arial" w:hAnsi="Arial" w:cs="Arial"/>
            <w:color w:val="0000FF"/>
            <w:sz w:val="20"/>
            <w:szCs w:val="20"/>
            <w:u w:val="single"/>
          </w:rPr>
          <w:t>MC</w:t>
        </w:r>
      </w:hyperlink>
      <w:r w:rsidRPr="00F83E56">
        <w:rPr>
          <w:rFonts w:ascii="Arial" w:hAnsi="Arial" w:cs="Arial"/>
          <w:sz w:val="20"/>
          <w:szCs w:val="20"/>
        </w:rPr>
        <w:t xml:space="preserve"> e </w:t>
      </w:r>
      <w:hyperlink r:id="rId24" w:history="1">
        <w:r w:rsidRPr="00F83E56">
          <w:rPr>
            <w:rFonts w:ascii="Arial" w:hAnsi="Arial" w:cs="Arial"/>
            <w:color w:val="0000FF"/>
            <w:sz w:val="20"/>
            <w:szCs w:val="20"/>
            <w:u w:val="single"/>
          </w:rPr>
          <w:t>ADI 3.594</w:t>
        </w:r>
      </w:hyperlink>
      <w:r w:rsidRPr="00F83E56">
        <w:rPr>
          <w:rFonts w:ascii="Arial" w:hAnsi="Arial" w:cs="Arial"/>
          <w:sz w:val="20"/>
          <w:szCs w:val="20"/>
        </w:rPr>
        <w:t>.</w:t>
      </w:r>
    </w:p>
    <w:p w14:paraId="49FEA795" w14:textId="52671094" w:rsidR="00F83E56" w:rsidRPr="00F83E56" w:rsidRDefault="00F83E56" w:rsidP="00CC51BC">
      <w:pPr>
        <w:spacing w:after="120"/>
        <w:ind w:firstLine="709"/>
        <w:contextualSpacing/>
        <w:rPr>
          <w:rFonts w:ascii="Arial" w:hAnsi="Arial" w:cs="Arial"/>
          <w:sz w:val="20"/>
          <w:szCs w:val="20"/>
        </w:rPr>
      </w:pPr>
      <w:r w:rsidRPr="00F83E56">
        <w:rPr>
          <w:rFonts w:ascii="Arial" w:hAnsi="Arial" w:cs="Arial"/>
          <w:sz w:val="20"/>
          <w:szCs w:val="20"/>
        </w:rPr>
        <w:t xml:space="preserve">(2) </w:t>
      </w:r>
      <w:hyperlink r:id="rId25" w:history="1">
        <w:r w:rsidRPr="00F83E56">
          <w:rPr>
            <w:rFonts w:ascii="Arial" w:hAnsi="Arial" w:cs="Arial"/>
            <w:color w:val="0000FF"/>
            <w:sz w:val="20"/>
            <w:szCs w:val="20"/>
            <w:u w:val="single"/>
          </w:rPr>
          <w:t>Constituição do Estado do Amapá</w:t>
        </w:r>
      </w:hyperlink>
      <w:r w:rsidRPr="00F83E56">
        <w:rPr>
          <w:rFonts w:ascii="Arial" w:hAnsi="Arial" w:cs="Arial"/>
          <w:sz w:val="20"/>
          <w:szCs w:val="20"/>
        </w:rPr>
        <w:t>: “Art. 9º São bens do Estado, na forma disposta pela Constituição Federal: (...) Parágrafo único. A alienação, gratuita ou onerosa, e a concessão de bens imóveis do Estado do Amapá dependerão de prévia autorização da Assembleia Legislativa. (Parágrafo acrescentado pela Emenda Constitucional nº 35 de 21.03.2006)</w:t>
      </w:r>
      <w:r w:rsidR="000F3B4C">
        <w:rPr>
          <w:rFonts w:ascii="Arial" w:hAnsi="Arial" w:cs="Arial"/>
          <w:sz w:val="20"/>
          <w:szCs w:val="20"/>
        </w:rPr>
        <w:t>.</w:t>
      </w:r>
      <w:r w:rsidRPr="00F83E56">
        <w:rPr>
          <w:rFonts w:ascii="Arial" w:hAnsi="Arial" w:cs="Arial"/>
          <w:sz w:val="20"/>
          <w:szCs w:val="20"/>
        </w:rPr>
        <w:t>”</w:t>
      </w:r>
    </w:p>
    <w:p w14:paraId="496FE1CF" w14:textId="77777777" w:rsidR="00F83E56" w:rsidRPr="00F83E56" w:rsidRDefault="00F83E56" w:rsidP="00712DB9">
      <w:pPr>
        <w:spacing w:after="120"/>
        <w:rPr>
          <w:rFonts w:ascii="Arial" w:hAnsi="Arial" w:cs="Arial"/>
          <w:sz w:val="20"/>
          <w:szCs w:val="20"/>
          <w:lang w:eastAsia="en-US"/>
        </w:rPr>
      </w:pPr>
    </w:p>
    <w:p w14:paraId="6436A481" w14:textId="6DA8A1C3" w:rsidR="00F83E56" w:rsidRPr="00F83E56" w:rsidRDefault="00F83E56" w:rsidP="00F83E56">
      <w:pPr>
        <w:spacing w:line="360" w:lineRule="auto"/>
        <w:rPr>
          <w:sz w:val="24"/>
          <w:szCs w:val="24"/>
          <w:lang w:eastAsia="en-US"/>
        </w:rPr>
      </w:pPr>
      <w:hyperlink r:id="rId26" w:history="1">
        <w:r w:rsidRPr="00F83E56">
          <w:rPr>
            <w:color w:val="0000FF"/>
            <w:sz w:val="24"/>
            <w:szCs w:val="24"/>
            <w:u w:val="single"/>
            <w:lang w:eastAsia="en-US"/>
          </w:rPr>
          <w:t xml:space="preserve">ADI 6.891/AP, relator Ministro Nunes Marques, redator </w:t>
        </w:r>
        <w:r w:rsidR="006E1E0D">
          <w:rPr>
            <w:color w:val="0000FF"/>
            <w:sz w:val="24"/>
            <w:szCs w:val="24"/>
            <w:u w:val="single"/>
            <w:lang w:eastAsia="en-US"/>
          </w:rPr>
          <w:t>d</w:t>
        </w:r>
        <w:r w:rsidRPr="00F83E56">
          <w:rPr>
            <w:color w:val="0000FF"/>
            <w:sz w:val="24"/>
            <w:szCs w:val="24"/>
            <w:u w:val="single"/>
            <w:lang w:eastAsia="en-US"/>
          </w:rPr>
          <w:t>o acórdão Ministro Alexandre de Moraes, julgamento virtual finalizado em 29.05.2026 (sexta-feira), às 23:59</w:t>
        </w:r>
      </w:hyperlink>
    </w:p>
    <w:p w14:paraId="1FDD0311" w14:textId="77777777" w:rsidR="00F83E56" w:rsidRDefault="00F83E56" w:rsidP="002A4A01">
      <w:pPr>
        <w:rPr>
          <w:sz w:val="24"/>
          <w:szCs w:val="24"/>
          <w:lang w:eastAsia="en-US"/>
        </w:rPr>
      </w:pPr>
    </w:p>
    <w:p w14:paraId="200FF31C" w14:textId="568D2604" w:rsidR="00F83E56" w:rsidRPr="00F83E56" w:rsidRDefault="00F83E56" w:rsidP="00F83E56">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33F419CE" w14:textId="77777777" w:rsidR="00F83E56" w:rsidRDefault="00F83E56" w:rsidP="002A4A01">
      <w:pPr>
        <w:rPr>
          <w:sz w:val="24"/>
          <w:szCs w:val="24"/>
          <w:lang w:eastAsia="en-US"/>
        </w:rPr>
      </w:pPr>
    </w:p>
    <w:p w14:paraId="442E955D" w14:textId="418ED70E" w:rsidR="002A4A01" w:rsidRPr="002A4A01" w:rsidRDefault="002A4A01" w:rsidP="002A4A01">
      <w:pPr>
        <w:rPr>
          <w:sz w:val="24"/>
          <w:szCs w:val="24"/>
          <w:lang w:eastAsia="en-US"/>
        </w:rPr>
      </w:pPr>
      <w:r w:rsidRPr="002A4A01">
        <w:rPr>
          <w:sz w:val="24"/>
          <w:szCs w:val="24"/>
          <w:lang w:eastAsia="en-US"/>
        </w:rPr>
        <w:t xml:space="preserve">DIREITO CONSTITUCIONAL – CONTROLE DE CONSTITUCIONALIDADE; CONSTITUIÇÃO ESTADUAL; LEGITIMIDADE </w:t>
      </w:r>
      <w:r w:rsidRPr="002A4A01">
        <w:rPr>
          <w:i/>
          <w:iCs/>
          <w:sz w:val="24"/>
          <w:szCs w:val="24"/>
          <w:lang w:eastAsia="en-US"/>
        </w:rPr>
        <w:t>AD CAUSAM</w:t>
      </w:r>
      <w:r w:rsidRPr="002A4A01">
        <w:rPr>
          <w:sz w:val="24"/>
          <w:szCs w:val="24"/>
          <w:lang w:eastAsia="en-US"/>
        </w:rPr>
        <w:t>; PERTINÊNCIA TEMÁTICA; CONSELHO ESTADUAL DA OAB</w:t>
      </w:r>
    </w:p>
    <w:p w14:paraId="4A24E1EF" w14:textId="77777777" w:rsidR="002A4A01" w:rsidRPr="002A4A01" w:rsidRDefault="002A4A01" w:rsidP="002A4A01">
      <w:pPr>
        <w:rPr>
          <w:b/>
          <w:bCs/>
          <w:sz w:val="24"/>
          <w:szCs w:val="24"/>
          <w:highlight w:val="yellow"/>
          <w:lang w:eastAsia="en-US"/>
        </w:rPr>
      </w:pPr>
    </w:p>
    <w:p w14:paraId="03FC5CCD" w14:textId="359EEE92" w:rsidR="002A4A01" w:rsidRPr="002A4A01" w:rsidRDefault="002A4A01" w:rsidP="002A4A01">
      <w:pPr>
        <w:autoSpaceDE w:val="0"/>
        <w:autoSpaceDN w:val="0"/>
        <w:adjustRightInd w:val="0"/>
        <w:rPr>
          <w:sz w:val="24"/>
          <w:szCs w:val="24"/>
          <w:lang w:eastAsia="en-US"/>
        </w:rPr>
      </w:pPr>
      <w:bookmarkStart w:id="5" w:name="controleconcentrado"/>
      <w:r w:rsidRPr="002A4A01">
        <w:rPr>
          <w:b/>
          <w:bCs/>
          <w:i/>
          <w:iCs/>
          <w:sz w:val="24"/>
          <w:szCs w:val="24"/>
          <w:lang w:eastAsia="en-US"/>
        </w:rPr>
        <w:t>Controle abstrato de constitucionalidade em âmbito estadual</w:t>
      </w:r>
      <w:bookmarkEnd w:id="5"/>
      <w:r w:rsidRPr="002A4A01">
        <w:rPr>
          <w:b/>
          <w:bCs/>
          <w:i/>
          <w:iCs/>
          <w:sz w:val="24"/>
          <w:szCs w:val="24"/>
          <w:lang w:eastAsia="en-US"/>
        </w:rPr>
        <w:t xml:space="preserve"> </w:t>
      </w:r>
      <w:r w:rsidR="000F3B4C">
        <w:rPr>
          <w:sz w:val="24"/>
          <w:szCs w:val="24"/>
          <w:lang w:eastAsia="en-US"/>
        </w:rPr>
        <w:t>–</w:t>
      </w:r>
      <w:r w:rsidRPr="002A4A01">
        <w:rPr>
          <w:sz w:val="24"/>
          <w:szCs w:val="24"/>
          <w:lang w:eastAsia="en-US"/>
        </w:rPr>
        <w:t xml:space="preserve"> </w:t>
      </w:r>
      <w:hyperlink r:id="rId27" w:history="1">
        <w:r w:rsidRPr="002A4A01">
          <w:rPr>
            <w:sz w:val="24"/>
            <w:szCs w:val="24"/>
            <w:lang w:eastAsia="en-US"/>
          </w:rPr>
          <w:t>ADI 7.821/CE</w:t>
        </w:r>
      </w:hyperlink>
      <w:r w:rsidRPr="002A4A01">
        <w:rPr>
          <w:sz w:val="24"/>
          <w:szCs w:val="24"/>
          <w:lang w:eastAsia="en-US"/>
        </w:rPr>
        <w:t xml:space="preserve"> </w:t>
      </w:r>
      <w:r w:rsidRPr="002A4A01">
        <w:rPr>
          <w:noProof/>
          <w:sz w:val="24"/>
          <w:szCs w:val="24"/>
        </w:rPr>
        <w:drawing>
          <wp:inline distT="0" distB="0" distL="0" distR="0" wp14:anchorId="410B1041" wp14:editId="607B7457">
            <wp:extent cx="1195705" cy="180975"/>
            <wp:effectExtent l="0" t="0" r="4445" b="9525"/>
            <wp:docPr id="934624534" name="Imagem 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380E930" w14:textId="77777777" w:rsidR="002A4A01" w:rsidRPr="002A4A01" w:rsidRDefault="002A4A01" w:rsidP="002A4A01">
      <w:pPr>
        <w:autoSpaceDE w:val="0"/>
        <w:autoSpaceDN w:val="0"/>
        <w:adjustRightInd w:val="0"/>
        <w:rPr>
          <w:sz w:val="24"/>
          <w:szCs w:val="24"/>
        </w:rPr>
      </w:pPr>
    </w:p>
    <w:p w14:paraId="037E7935" w14:textId="0A0D2513" w:rsidR="002A4A01" w:rsidRPr="002A4A01" w:rsidRDefault="002A4A01" w:rsidP="002A4A01">
      <w:pPr>
        <w:rPr>
          <w:sz w:val="24"/>
          <w:szCs w:val="24"/>
        </w:rPr>
      </w:pPr>
      <w:r w:rsidRPr="002A4A01">
        <w:rPr>
          <w:b/>
          <w:bCs/>
          <w:sz w:val="24"/>
          <w:szCs w:val="24"/>
        </w:rPr>
        <w:t xml:space="preserve">ODS: </w:t>
      </w:r>
      <w:hyperlink r:id="rId29" w:history="1">
        <w:r w:rsidR="000F0850">
          <w:rPr>
            <w:color w:val="0000FF"/>
            <w:sz w:val="24"/>
            <w:szCs w:val="24"/>
            <w:u w:val="single"/>
          </w:rPr>
          <w:t>17</w:t>
        </w:r>
      </w:hyperlink>
    </w:p>
    <w:p w14:paraId="25FCA485" w14:textId="77777777" w:rsidR="002A4A01" w:rsidRPr="002A4A01" w:rsidRDefault="002A4A01" w:rsidP="000F3B4C">
      <w:pPr>
        <w:autoSpaceDE w:val="0"/>
        <w:autoSpaceDN w:val="0"/>
        <w:adjustRightInd w:val="0"/>
        <w:rPr>
          <w:sz w:val="24"/>
          <w:szCs w:val="24"/>
          <w:lang w:eastAsia="en-US"/>
        </w:rPr>
      </w:pPr>
    </w:p>
    <w:p w14:paraId="684059FB" w14:textId="77777777" w:rsidR="002A4A01" w:rsidRPr="002A4A01" w:rsidRDefault="002A4A01" w:rsidP="002A4A01">
      <w:pPr>
        <w:spacing w:line="360" w:lineRule="auto"/>
        <w:rPr>
          <w:sz w:val="24"/>
          <w:szCs w:val="24"/>
          <w:lang w:eastAsia="en-US"/>
        </w:rPr>
      </w:pPr>
      <w:r w:rsidRPr="002A4A01">
        <w:rPr>
          <w:sz w:val="24"/>
          <w:szCs w:val="24"/>
          <w:lang w:eastAsia="en-US"/>
        </w:rPr>
        <w:t>Resumo:</w:t>
      </w:r>
    </w:p>
    <w:p w14:paraId="07C8DFF5" w14:textId="37366A8F" w:rsidR="002A4A01" w:rsidRPr="002A4A01" w:rsidRDefault="002A4A01" w:rsidP="002A4A01">
      <w:pPr>
        <w:spacing w:line="360" w:lineRule="auto"/>
        <w:ind w:firstLine="708"/>
        <w:rPr>
          <w:b/>
          <w:bCs/>
          <w:sz w:val="24"/>
          <w:szCs w:val="24"/>
          <w:lang w:eastAsia="en-US"/>
        </w:rPr>
      </w:pPr>
      <w:r w:rsidRPr="002A4A01">
        <w:rPr>
          <w:b/>
          <w:bCs/>
          <w:sz w:val="24"/>
          <w:szCs w:val="24"/>
          <w:lang w:eastAsia="en-US"/>
        </w:rPr>
        <w:t xml:space="preserve">É inconstitucional </w:t>
      </w:r>
      <w:r w:rsidR="00006BC3" w:rsidRPr="00006BC3">
        <w:rPr>
          <w:b/>
          <w:bCs/>
          <w:sz w:val="24"/>
          <w:szCs w:val="24"/>
          <w:lang w:eastAsia="en-US"/>
        </w:rPr>
        <w:t>–</w:t>
      </w:r>
      <w:r w:rsidRPr="002A4A01">
        <w:rPr>
          <w:b/>
          <w:bCs/>
          <w:sz w:val="24"/>
          <w:szCs w:val="24"/>
          <w:lang w:eastAsia="en-US"/>
        </w:rPr>
        <w:t xml:space="preserve"> por violar a natureza institucional da Ordem dos Advogados do Brasil e a amplitude de sua legitimação no controle concentrado </w:t>
      </w:r>
      <w:r w:rsidR="00006BC3" w:rsidRPr="00006BC3">
        <w:rPr>
          <w:b/>
          <w:bCs/>
          <w:sz w:val="24"/>
          <w:szCs w:val="24"/>
          <w:lang w:eastAsia="en-US"/>
        </w:rPr>
        <w:t>–</w:t>
      </w:r>
      <w:r w:rsidRPr="002A4A01">
        <w:rPr>
          <w:b/>
          <w:bCs/>
          <w:sz w:val="24"/>
          <w:szCs w:val="24"/>
          <w:lang w:eastAsia="en-US"/>
        </w:rPr>
        <w:t xml:space="preserve"> norma de Constituição estadual que, embora confira legitimidade à OAB para a propositura de ação direta de inconstitucionalidade perante o Tribunal de Justiça, impõe restrições ao seu exercício, vedando a impugnação de leis ou atos normativos municipais.</w:t>
      </w:r>
    </w:p>
    <w:p w14:paraId="40447173" w14:textId="7FD6C5CA" w:rsidR="002A4A01" w:rsidRPr="002A4A01" w:rsidRDefault="002A4A01" w:rsidP="002A4A01">
      <w:pPr>
        <w:spacing w:line="360" w:lineRule="auto"/>
        <w:ind w:firstLine="708"/>
        <w:rPr>
          <w:sz w:val="24"/>
          <w:szCs w:val="24"/>
          <w:lang w:eastAsia="en-US"/>
        </w:rPr>
      </w:pPr>
      <w:r w:rsidRPr="002A4A01">
        <w:rPr>
          <w:sz w:val="24"/>
          <w:szCs w:val="24"/>
          <w:lang w:eastAsia="en-US"/>
        </w:rPr>
        <w:t xml:space="preserve">A Constituição Federal atribui aos </w:t>
      </w:r>
      <w:r w:rsidR="000F3B4C">
        <w:rPr>
          <w:sz w:val="24"/>
          <w:szCs w:val="24"/>
          <w:lang w:eastAsia="en-US"/>
        </w:rPr>
        <w:t>e</w:t>
      </w:r>
      <w:r w:rsidRPr="002A4A01">
        <w:rPr>
          <w:sz w:val="24"/>
          <w:szCs w:val="24"/>
          <w:lang w:eastAsia="en-US"/>
        </w:rPr>
        <w:t xml:space="preserve">stados-membros competência para instituir o controle concentrado de constitucionalidade no âmbito dos Tribunais de Justiça, bem como para definir o rol de legitimados à sua propositura (CF/1988, arts. 25 e 125, § 2º). A jurisprudência desta Corte firmou-se no sentido de que, nessa matéria, não se aplica o princípio da simetria, </w:t>
      </w:r>
      <w:r w:rsidRPr="002A4A01">
        <w:rPr>
          <w:sz w:val="24"/>
          <w:szCs w:val="24"/>
          <w:lang w:eastAsia="en-US"/>
        </w:rPr>
        <w:lastRenderedPageBreak/>
        <w:t xml:space="preserve">sendo assegurada ampla liberdade de conformação aos </w:t>
      </w:r>
      <w:r w:rsidR="000F3B4C">
        <w:rPr>
          <w:sz w:val="24"/>
          <w:szCs w:val="24"/>
          <w:lang w:eastAsia="en-US"/>
        </w:rPr>
        <w:t>e</w:t>
      </w:r>
      <w:r w:rsidRPr="002A4A01">
        <w:rPr>
          <w:sz w:val="24"/>
          <w:szCs w:val="24"/>
          <w:lang w:eastAsia="en-US"/>
        </w:rPr>
        <w:t>stados, desde que respeitada a pluralidade de legitimados (1).</w:t>
      </w:r>
    </w:p>
    <w:p w14:paraId="1CC13281" w14:textId="77777777" w:rsidR="002A4A01" w:rsidRPr="002A4A01" w:rsidRDefault="002A4A01" w:rsidP="002A4A01">
      <w:pPr>
        <w:spacing w:line="360" w:lineRule="auto"/>
        <w:ind w:firstLine="708"/>
        <w:rPr>
          <w:sz w:val="24"/>
          <w:szCs w:val="24"/>
          <w:lang w:eastAsia="en-US"/>
        </w:rPr>
      </w:pPr>
      <w:r w:rsidRPr="002A4A01">
        <w:rPr>
          <w:sz w:val="24"/>
          <w:szCs w:val="24"/>
          <w:lang w:eastAsia="en-US"/>
        </w:rPr>
        <w:t>Essa liberdade, contudo, não autoriza a imposição de restrições incompatíveis com a natureza institucional das entidades contempladas. A Ordem dos Advogados do Brasil, por exercer função voltada à defesa da Constituição e da ordem jurídica, possui legitimidade universal no controle concentrado, independentemente de pertinência temática (2). Assim, uma vez incluída no sistema de controle abstrato estadual, não se admite a imposição de limitações quanto ao objeto da impugnação nem a submissão a requisitos próprios de legitimados especiais.</w:t>
      </w:r>
    </w:p>
    <w:p w14:paraId="3ABB3DA7" w14:textId="77777777" w:rsidR="002A4A01" w:rsidRPr="002A4A01" w:rsidRDefault="002A4A01" w:rsidP="002A4A01">
      <w:pPr>
        <w:spacing w:line="360" w:lineRule="auto"/>
        <w:ind w:firstLine="708"/>
        <w:rPr>
          <w:sz w:val="24"/>
          <w:szCs w:val="24"/>
          <w:lang w:eastAsia="en-US"/>
        </w:rPr>
      </w:pPr>
      <w:r w:rsidRPr="002A4A01">
        <w:rPr>
          <w:sz w:val="24"/>
          <w:szCs w:val="24"/>
          <w:lang w:eastAsia="en-US"/>
        </w:rPr>
        <w:t>Na espécie, a Constituição do Estado do Ceará conferiu legitimidade ao Conselho Seccional da OAB para o ajuizamento de ação direta de inconstitucionalidade perante o Tribunal de Justiça local, mas restringiu o seu exercício ao vedar a impugnação de leis municipais.</w:t>
      </w:r>
    </w:p>
    <w:p w14:paraId="3C3911C0" w14:textId="77777777" w:rsidR="002A4A01" w:rsidRPr="002A4A01" w:rsidRDefault="002A4A01" w:rsidP="002A4A01">
      <w:pPr>
        <w:spacing w:line="360" w:lineRule="auto"/>
        <w:ind w:firstLine="708"/>
        <w:rPr>
          <w:sz w:val="24"/>
          <w:szCs w:val="24"/>
          <w:lang w:eastAsia="en-US"/>
        </w:rPr>
      </w:pPr>
      <w:r w:rsidRPr="002A4A01">
        <w:rPr>
          <w:sz w:val="24"/>
          <w:szCs w:val="24"/>
          <w:lang w:eastAsia="en-US"/>
        </w:rPr>
        <w:t xml:space="preserve">Com base nesses e em outros entendimentos, o Plenário, por unanimidade, julgou procedente a ação direta para declarar a inconstitucionalidade parcial, sem redução de texto, do art. 127, </w:t>
      </w:r>
      <w:r w:rsidRPr="002A4A01">
        <w:rPr>
          <w:i/>
          <w:iCs/>
          <w:sz w:val="24"/>
          <w:szCs w:val="24"/>
          <w:lang w:eastAsia="en-US"/>
        </w:rPr>
        <w:t>caput</w:t>
      </w:r>
      <w:r w:rsidRPr="002A4A01">
        <w:rPr>
          <w:sz w:val="24"/>
          <w:szCs w:val="24"/>
          <w:lang w:eastAsia="en-US"/>
        </w:rPr>
        <w:t xml:space="preserve">, V, VI e VII, da </w:t>
      </w:r>
      <w:hyperlink r:id="rId30" w:history="1">
        <w:r w:rsidRPr="002A4A01">
          <w:rPr>
            <w:color w:val="0000FF"/>
            <w:sz w:val="24"/>
            <w:szCs w:val="24"/>
            <w:u w:val="single"/>
            <w:lang w:eastAsia="en-US"/>
          </w:rPr>
          <w:t>Constituição do Estado do Ceará</w:t>
        </w:r>
      </w:hyperlink>
      <w:r w:rsidRPr="002A4A01">
        <w:rPr>
          <w:sz w:val="24"/>
          <w:szCs w:val="24"/>
          <w:lang w:eastAsia="en-US"/>
        </w:rPr>
        <w:t xml:space="preserve"> (3), assentando que a legitimidade ativa do Conselho Estadual da OAB/CE para o ajuizamento de ação direta de inconstitucionalidade perante o Tribunal de Justiça local é universal, autorizando a impugnação indistintamente de leis e atos normativos estaduais e municipais, sendo inconstitucional qualquer interpretação que a restrinja.</w:t>
      </w:r>
    </w:p>
    <w:p w14:paraId="746AC3AB" w14:textId="77777777" w:rsidR="002A4A01" w:rsidRPr="002A4A01" w:rsidRDefault="002A4A01" w:rsidP="002A4A01">
      <w:pPr>
        <w:contextualSpacing/>
        <w:rPr>
          <w:rFonts w:ascii="Arial" w:hAnsi="Arial" w:cs="Arial"/>
          <w:sz w:val="20"/>
          <w:szCs w:val="20"/>
        </w:rPr>
      </w:pPr>
    </w:p>
    <w:p w14:paraId="3EE17DEB" w14:textId="77777777" w:rsidR="002A4A01" w:rsidRPr="002A4A01" w:rsidRDefault="002A4A01" w:rsidP="002A4A01">
      <w:pPr>
        <w:spacing w:after="120"/>
        <w:ind w:firstLine="708"/>
        <w:rPr>
          <w:rFonts w:ascii="Arial" w:hAnsi="Arial" w:cs="Arial"/>
          <w:sz w:val="20"/>
          <w:szCs w:val="20"/>
        </w:rPr>
      </w:pPr>
      <w:r w:rsidRPr="002A4A01">
        <w:rPr>
          <w:rFonts w:ascii="Arial" w:hAnsi="Arial" w:cs="Arial"/>
          <w:sz w:val="20"/>
          <w:szCs w:val="20"/>
        </w:rPr>
        <w:t xml:space="preserve">(1) Precedentes citados: </w:t>
      </w:r>
      <w:hyperlink r:id="rId31" w:history="1">
        <w:r w:rsidRPr="002A4A01">
          <w:rPr>
            <w:rFonts w:ascii="Arial" w:hAnsi="Arial" w:cs="Arial"/>
            <w:color w:val="0000FF"/>
            <w:sz w:val="20"/>
            <w:szCs w:val="20"/>
            <w:u w:val="single"/>
          </w:rPr>
          <w:t>RE 1.298.856 AgR</w:t>
        </w:r>
      </w:hyperlink>
      <w:r w:rsidRPr="002A4A01">
        <w:rPr>
          <w:rFonts w:ascii="Arial" w:hAnsi="Arial" w:cs="Arial"/>
          <w:sz w:val="20"/>
          <w:szCs w:val="20"/>
        </w:rPr>
        <w:t xml:space="preserve"> e </w:t>
      </w:r>
      <w:hyperlink r:id="rId32" w:history="1">
        <w:r w:rsidRPr="002A4A01">
          <w:rPr>
            <w:rFonts w:ascii="Arial" w:hAnsi="Arial" w:cs="Arial"/>
            <w:color w:val="0000FF"/>
            <w:sz w:val="20"/>
            <w:szCs w:val="20"/>
            <w:u w:val="single"/>
          </w:rPr>
          <w:t>ADI 5.693</w:t>
        </w:r>
      </w:hyperlink>
      <w:r w:rsidRPr="002A4A01">
        <w:rPr>
          <w:rFonts w:ascii="Arial" w:hAnsi="Arial" w:cs="Arial"/>
          <w:sz w:val="20"/>
          <w:szCs w:val="20"/>
        </w:rPr>
        <w:t>.</w:t>
      </w:r>
    </w:p>
    <w:p w14:paraId="6BA87184" w14:textId="77777777" w:rsidR="002A4A01" w:rsidRPr="002A4A01" w:rsidRDefault="002A4A01" w:rsidP="002A4A01">
      <w:pPr>
        <w:spacing w:after="120"/>
        <w:ind w:firstLine="708"/>
        <w:rPr>
          <w:rFonts w:ascii="Arial" w:hAnsi="Arial" w:cs="Arial"/>
          <w:sz w:val="20"/>
          <w:szCs w:val="20"/>
        </w:rPr>
      </w:pPr>
      <w:r w:rsidRPr="002A4A01">
        <w:rPr>
          <w:rFonts w:ascii="Arial" w:hAnsi="Arial" w:cs="Arial"/>
          <w:sz w:val="20"/>
          <w:szCs w:val="20"/>
        </w:rPr>
        <w:t xml:space="preserve">(2) Precedentes citados: </w:t>
      </w:r>
      <w:hyperlink r:id="rId33" w:history="1">
        <w:r w:rsidRPr="002A4A01">
          <w:rPr>
            <w:rFonts w:ascii="Arial" w:hAnsi="Arial" w:cs="Arial"/>
            <w:color w:val="0000FF"/>
            <w:sz w:val="20"/>
            <w:szCs w:val="20"/>
            <w:u w:val="single"/>
          </w:rPr>
          <w:t>ADI 3</w:t>
        </w:r>
      </w:hyperlink>
      <w:r w:rsidRPr="002A4A01">
        <w:rPr>
          <w:rFonts w:ascii="Arial" w:hAnsi="Arial" w:cs="Arial"/>
          <w:sz w:val="20"/>
          <w:szCs w:val="20"/>
        </w:rPr>
        <w:t xml:space="preserve">, </w:t>
      </w:r>
      <w:hyperlink r:id="rId34" w:history="1">
        <w:r w:rsidRPr="002A4A01">
          <w:rPr>
            <w:rFonts w:ascii="Arial" w:hAnsi="Arial" w:cs="Arial"/>
            <w:color w:val="0000FF"/>
            <w:sz w:val="20"/>
            <w:szCs w:val="20"/>
            <w:u w:val="single"/>
          </w:rPr>
          <w:t>ADI 3.026</w:t>
        </w:r>
      </w:hyperlink>
      <w:r w:rsidRPr="002A4A01">
        <w:rPr>
          <w:rFonts w:ascii="Arial" w:hAnsi="Arial" w:cs="Arial"/>
          <w:sz w:val="20"/>
          <w:szCs w:val="20"/>
        </w:rPr>
        <w:t xml:space="preserve">, </w:t>
      </w:r>
      <w:hyperlink r:id="rId35" w:history="1">
        <w:r w:rsidRPr="002A4A01">
          <w:rPr>
            <w:rFonts w:ascii="Arial" w:hAnsi="Arial" w:cs="Arial"/>
            <w:color w:val="0000FF"/>
            <w:sz w:val="20"/>
            <w:szCs w:val="20"/>
            <w:u w:val="single"/>
          </w:rPr>
          <w:t>RE 1.182.189</w:t>
        </w:r>
      </w:hyperlink>
      <w:r w:rsidRPr="002A4A01">
        <w:rPr>
          <w:rFonts w:ascii="Arial" w:hAnsi="Arial" w:cs="Arial"/>
          <w:sz w:val="20"/>
          <w:szCs w:val="20"/>
        </w:rPr>
        <w:t xml:space="preserve"> (</w:t>
      </w:r>
      <w:hyperlink r:id="rId36" w:history="1">
        <w:r w:rsidRPr="002A4A01">
          <w:rPr>
            <w:rFonts w:ascii="Arial" w:hAnsi="Arial" w:cs="Arial"/>
            <w:color w:val="0000FF"/>
            <w:sz w:val="20"/>
            <w:szCs w:val="20"/>
            <w:u w:val="single"/>
          </w:rPr>
          <w:t>Tema 1.054 RG</w:t>
        </w:r>
      </w:hyperlink>
      <w:r w:rsidRPr="002A4A01">
        <w:rPr>
          <w:rFonts w:ascii="Arial" w:hAnsi="Arial" w:cs="Arial"/>
          <w:sz w:val="20"/>
          <w:szCs w:val="20"/>
        </w:rPr>
        <w:t xml:space="preserve">) e </w:t>
      </w:r>
      <w:hyperlink r:id="rId37" w:history="1">
        <w:r w:rsidRPr="002A4A01">
          <w:rPr>
            <w:rFonts w:ascii="Arial" w:hAnsi="Arial" w:cs="Arial"/>
            <w:color w:val="0000FF"/>
            <w:sz w:val="20"/>
            <w:szCs w:val="20"/>
            <w:u w:val="single"/>
          </w:rPr>
          <w:t>ADI 4.650</w:t>
        </w:r>
      </w:hyperlink>
      <w:r w:rsidRPr="002A4A01">
        <w:rPr>
          <w:rFonts w:ascii="Arial" w:hAnsi="Arial" w:cs="Arial"/>
          <w:sz w:val="20"/>
          <w:szCs w:val="20"/>
        </w:rPr>
        <w:t>.</w:t>
      </w:r>
    </w:p>
    <w:p w14:paraId="3817CA4B" w14:textId="77777777" w:rsidR="002A4A01" w:rsidRPr="002A4A01" w:rsidRDefault="002A4A01" w:rsidP="002A4A01">
      <w:pPr>
        <w:spacing w:after="120"/>
        <w:ind w:firstLine="709"/>
        <w:contextualSpacing/>
        <w:rPr>
          <w:rFonts w:ascii="Arial" w:hAnsi="Arial" w:cs="Arial"/>
          <w:sz w:val="20"/>
          <w:szCs w:val="20"/>
        </w:rPr>
      </w:pPr>
      <w:r w:rsidRPr="002A4A01">
        <w:rPr>
          <w:rFonts w:ascii="Arial" w:hAnsi="Arial" w:cs="Arial"/>
          <w:sz w:val="20"/>
          <w:szCs w:val="20"/>
        </w:rPr>
        <w:t xml:space="preserve">(3) </w:t>
      </w:r>
      <w:hyperlink r:id="rId38" w:history="1">
        <w:r w:rsidRPr="002A4A01">
          <w:rPr>
            <w:rFonts w:ascii="Arial" w:hAnsi="Arial" w:cs="Arial"/>
            <w:color w:val="0000FF"/>
            <w:sz w:val="20"/>
            <w:szCs w:val="20"/>
            <w:u w:val="single"/>
          </w:rPr>
          <w:t>Constituição do Estado do Ceará</w:t>
        </w:r>
      </w:hyperlink>
      <w:r w:rsidRPr="002A4A01">
        <w:rPr>
          <w:rFonts w:ascii="Arial" w:hAnsi="Arial" w:cs="Arial"/>
          <w:sz w:val="20"/>
          <w:szCs w:val="20"/>
        </w:rPr>
        <w:t>: “Art. 127. São partes legítimas para propor a ação direta de inconstitucionalidade de lei ou de ato normativo estadual, contestado em face desta Constituição, ou por omissão de medida necessária para tornar efetiva norma ou princípio desta Constituição: (...) V – o Prefeito, a Mesa da Câmara ou entidade de classe e organização sindical, se se tratar de lei ou de ato normativo do respectivo Município; VI – os partidos políticos com representação na Assembleia Legislativa, ou, tratando-se de norma municipal, na respectiva Câmara; VII – o Conselho Estadual da Ordem dos Advogados do Brasil.”</w:t>
      </w:r>
    </w:p>
    <w:p w14:paraId="03B8641C" w14:textId="77777777" w:rsidR="002A4A01" w:rsidRPr="002A4A01" w:rsidRDefault="002A4A01" w:rsidP="002A4A01">
      <w:pPr>
        <w:contextualSpacing/>
        <w:rPr>
          <w:rFonts w:ascii="Arial" w:hAnsi="Arial" w:cs="Arial"/>
          <w:sz w:val="20"/>
          <w:szCs w:val="20"/>
          <w:lang w:eastAsia="en-US"/>
        </w:rPr>
      </w:pPr>
    </w:p>
    <w:p w14:paraId="53E536E0" w14:textId="77777777" w:rsidR="002A4A01" w:rsidRPr="002A4A01" w:rsidRDefault="002A4A01" w:rsidP="002A4A01">
      <w:pPr>
        <w:ind w:firstLine="709"/>
        <w:contextualSpacing/>
        <w:rPr>
          <w:rFonts w:ascii="Arial" w:hAnsi="Arial" w:cs="Arial"/>
          <w:sz w:val="20"/>
          <w:szCs w:val="20"/>
          <w:lang w:eastAsia="en-US"/>
        </w:rPr>
      </w:pPr>
    </w:p>
    <w:p w14:paraId="1B770BC4" w14:textId="77777777" w:rsidR="002A4A01" w:rsidRPr="002A4A01" w:rsidRDefault="002A4A01" w:rsidP="002A4A01">
      <w:pPr>
        <w:spacing w:line="360" w:lineRule="auto"/>
        <w:rPr>
          <w:sz w:val="24"/>
          <w:szCs w:val="24"/>
          <w:lang w:eastAsia="en-US"/>
        </w:rPr>
      </w:pPr>
      <w:hyperlink r:id="rId39" w:history="1">
        <w:r w:rsidRPr="002A4A01">
          <w:rPr>
            <w:color w:val="0000FF"/>
            <w:sz w:val="24"/>
            <w:szCs w:val="24"/>
            <w:u w:val="single"/>
            <w:lang w:eastAsia="en-US"/>
          </w:rPr>
          <w:t>ADI 7.821/CE, relator Ministro Gilmar Mendes, julgamento virtual finalizado em 09.06.2026 (terça-feira), às 23:59</w:t>
        </w:r>
      </w:hyperlink>
    </w:p>
    <w:p w14:paraId="374A19A7" w14:textId="77777777" w:rsidR="002A4A01" w:rsidRDefault="002A4A01" w:rsidP="00287AA4">
      <w:pPr>
        <w:rPr>
          <w:sz w:val="24"/>
          <w:szCs w:val="24"/>
          <w:lang w:eastAsia="en-US"/>
        </w:rPr>
      </w:pPr>
    </w:p>
    <w:p w14:paraId="5A0D81AF" w14:textId="7425F172" w:rsidR="002A4A01" w:rsidRPr="002A4A01" w:rsidRDefault="002A4A01" w:rsidP="002A4A01">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3367A81E" w14:textId="77777777" w:rsidR="002A4A01" w:rsidRDefault="002A4A01" w:rsidP="00287AA4">
      <w:pPr>
        <w:rPr>
          <w:sz w:val="24"/>
          <w:szCs w:val="24"/>
          <w:lang w:eastAsia="en-US"/>
        </w:rPr>
      </w:pPr>
    </w:p>
    <w:p w14:paraId="23E004F1" w14:textId="30C6EA0B" w:rsidR="00287AA4" w:rsidRPr="00102510" w:rsidRDefault="00287AA4" w:rsidP="00287AA4">
      <w:pPr>
        <w:rPr>
          <w:sz w:val="24"/>
          <w:szCs w:val="24"/>
          <w:lang w:eastAsia="en-US"/>
        </w:rPr>
      </w:pPr>
      <w:r w:rsidRPr="00966E23">
        <w:rPr>
          <w:sz w:val="24"/>
          <w:szCs w:val="24"/>
          <w:lang w:eastAsia="en-US"/>
        </w:rPr>
        <w:t xml:space="preserve">DIREITO CONSTITUCIONAL </w:t>
      </w:r>
      <w:r>
        <w:rPr>
          <w:sz w:val="24"/>
          <w:szCs w:val="24"/>
          <w:lang w:eastAsia="en-US"/>
        </w:rPr>
        <w:t>–</w:t>
      </w:r>
      <w:r w:rsidRPr="00966E23">
        <w:rPr>
          <w:sz w:val="24"/>
          <w:szCs w:val="24"/>
          <w:lang w:eastAsia="en-US"/>
        </w:rPr>
        <w:t xml:space="preserve"> </w:t>
      </w:r>
      <w:bookmarkStart w:id="6" w:name="_Hlk232421886"/>
      <w:r>
        <w:rPr>
          <w:sz w:val="24"/>
          <w:szCs w:val="24"/>
          <w:lang w:eastAsia="en-US"/>
        </w:rPr>
        <w:t>FEDERALISMO; COMPETÊNCIA LEGISLATIVA; INSTITUIÇÃO DE MICRORREGIÕES</w:t>
      </w:r>
      <w:bookmarkEnd w:id="6"/>
    </w:p>
    <w:p w14:paraId="642A5A87" w14:textId="77777777" w:rsidR="00287AA4" w:rsidRPr="004443EC" w:rsidRDefault="00287AA4" w:rsidP="00287AA4">
      <w:pPr>
        <w:rPr>
          <w:b/>
          <w:bCs/>
          <w:sz w:val="24"/>
          <w:szCs w:val="24"/>
          <w:highlight w:val="yellow"/>
          <w:lang w:eastAsia="en-US"/>
        </w:rPr>
      </w:pPr>
    </w:p>
    <w:p w14:paraId="47DFEA19" w14:textId="77777777" w:rsidR="00287AA4" w:rsidRPr="00A03B39" w:rsidRDefault="00287AA4" w:rsidP="00287AA4">
      <w:pPr>
        <w:autoSpaceDE w:val="0"/>
        <w:autoSpaceDN w:val="0"/>
        <w:adjustRightInd w:val="0"/>
        <w:rPr>
          <w:sz w:val="24"/>
          <w:szCs w:val="24"/>
          <w:lang w:eastAsia="en-US"/>
        </w:rPr>
      </w:pPr>
      <w:bookmarkStart w:id="7" w:name="microrregião"/>
      <w:bookmarkStart w:id="8" w:name="_Hlk232421913"/>
      <w:r>
        <w:rPr>
          <w:b/>
          <w:bCs/>
          <w:i/>
          <w:iCs/>
          <w:sz w:val="24"/>
          <w:szCs w:val="24"/>
          <w:lang w:eastAsia="en-US"/>
        </w:rPr>
        <w:lastRenderedPageBreak/>
        <w:t>Instituição de microrregião de saneamento básico</w:t>
      </w:r>
      <w:r w:rsidRPr="00287AA4">
        <w:rPr>
          <w:b/>
          <w:bCs/>
          <w:i/>
          <w:iCs/>
          <w:sz w:val="24"/>
          <w:szCs w:val="24"/>
          <w:lang w:eastAsia="en-US"/>
        </w:rPr>
        <w:t xml:space="preserve"> </w:t>
      </w:r>
      <w:bookmarkEnd w:id="7"/>
      <w:r w:rsidRPr="000F3B4C">
        <w:rPr>
          <w:sz w:val="24"/>
          <w:szCs w:val="24"/>
          <w:lang w:eastAsia="en-US"/>
        </w:rPr>
        <w:t>–</w:t>
      </w:r>
      <w:r w:rsidRPr="00287AA4">
        <w:rPr>
          <w:b/>
          <w:bCs/>
          <w:i/>
          <w:iCs/>
          <w:sz w:val="24"/>
          <w:szCs w:val="24"/>
          <w:lang w:eastAsia="en-US"/>
        </w:rPr>
        <w:t xml:space="preserve"> </w:t>
      </w:r>
      <w:hyperlink r:id="rId40" w:history="1">
        <w:r w:rsidRPr="00287AA4">
          <w:rPr>
            <w:rStyle w:val="Hyperlink"/>
            <w:color w:val="auto"/>
            <w:u w:val="none"/>
            <w:lang w:eastAsia="en-US"/>
          </w:rPr>
          <w:t>ADI 7.705/SE</w:t>
        </w:r>
      </w:hyperlink>
      <w:bookmarkEnd w:id="8"/>
      <w:r w:rsidRPr="00287AA4">
        <w:rPr>
          <w:rStyle w:val="Hyperlink"/>
          <w:color w:val="auto"/>
          <w:u w:val="none"/>
          <w:lang w:eastAsia="en-US"/>
        </w:rPr>
        <w:t xml:space="preserve"> </w:t>
      </w:r>
      <w:r w:rsidRPr="00A03B39">
        <w:rPr>
          <w:noProof/>
          <w:sz w:val="24"/>
          <w:szCs w:val="24"/>
        </w:rPr>
        <w:drawing>
          <wp:inline distT="0" distB="0" distL="0" distR="0" wp14:anchorId="200593C4" wp14:editId="11028F09">
            <wp:extent cx="1195705" cy="180975"/>
            <wp:effectExtent l="0" t="0" r="4445" b="9525"/>
            <wp:docPr id="596631004" name="Imagem 4">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4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424A0FD" w14:textId="77777777" w:rsidR="00287AA4" w:rsidRPr="00425CD1" w:rsidRDefault="00287AA4" w:rsidP="00287AA4">
      <w:pPr>
        <w:autoSpaceDE w:val="0"/>
        <w:autoSpaceDN w:val="0"/>
        <w:adjustRightInd w:val="0"/>
        <w:rPr>
          <w:sz w:val="24"/>
          <w:szCs w:val="24"/>
        </w:rPr>
      </w:pPr>
    </w:p>
    <w:p w14:paraId="3C40F6EE" w14:textId="77777777" w:rsidR="00287AA4" w:rsidRPr="000F3B4C" w:rsidRDefault="00287AA4" w:rsidP="00287AA4">
      <w:pPr>
        <w:rPr>
          <w:sz w:val="24"/>
          <w:szCs w:val="24"/>
        </w:rPr>
      </w:pPr>
      <w:r w:rsidRPr="00425CD1">
        <w:rPr>
          <w:b/>
          <w:bCs/>
          <w:sz w:val="24"/>
          <w:szCs w:val="24"/>
        </w:rPr>
        <w:t>ODS</w:t>
      </w:r>
      <w:r w:rsidRPr="000F3B4C">
        <w:rPr>
          <w:b/>
          <w:bCs/>
          <w:sz w:val="24"/>
          <w:szCs w:val="24"/>
        </w:rPr>
        <w:t xml:space="preserve">: </w:t>
      </w:r>
      <w:hyperlink r:id="rId42" w:history="1">
        <w:r w:rsidRPr="000F3B4C">
          <w:rPr>
            <w:rStyle w:val="Hyperlink"/>
            <w:sz w:val="24"/>
            <w:szCs w:val="24"/>
          </w:rPr>
          <w:t>6</w:t>
        </w:r>
      </w:hyperlink>
    </w:p>
    <w:p w14:paraId="234DED64" w14:textId="77777777" w:rsidR="00287AA4" w:rsidRDefault="00287AA4" w:rsidP="000F3B4C">
      <w:pPr>
        <w:autoSpaceDE w:val="0"/>
        <w:autoSpaceDN w:val="0"/>
        <w:adjustRightInd w:val="0"/>
        <w:rPr>
          <w:sz w:val="24"/>
          <w:szCs w:val="24"/>
          <w:lang w:eastAsia="en-US"/>
        </w:rPr>
      </w:pPr>
    </w:p>
    <w:p w14:paraId="7F98E280" w14:textId="77777777" w:rsidR="00287AA4" w:rsidRPr="00425CD1" w:rsidRDefault="00287AA4" w:rsidP="00287AA4">
      <w:pPr>
        <w:spacing w:line="360" w:lineRule="auto"/>
        <w:rPr>
          <w:sz w:val="24"/>
          <w:szCs w:val="24"/>
          <w:lang w:eastAsia="en-US"/>
        </w:rPr>
      </w:pPr>
      <w:r w:rsidRPr="00425CD1">
        <w:rPr>
          <w:sz w:val="24"/>
          <w:szCs w:val="24"/>
          <w:lang w:eastAsia="en-US"/>
        </w:rPr>
        <w:t>Resumo:</w:t>
      </w:r>
    </w:p>
    <w:p w14:paraId="27364C27" w14:textId="77777777" w:rsidR="00287AA4" w:rsidRPr="004837C9" w:rsidRDefault="00287AA4" w:rsidP="00287AA4">
      <w:pPr>
        <w:spacing w:line="360" w:lineRule="auto"/>
        <w:ind w:firstLine="708"/>
        <w:rPr>
          <w:b/>
          <w:bCs/>
          <w:sz w:val="24"/>
          <w:szCs w:val="24"/>
          <w:lang w:eastAsia="en-US"/>
        </w:rPr>
      </w:pPr>
      <w:r w:rsidRPr="00D51157">
        <w:rPr>
          <w:b/>
          <w:bCs/>
          <w:sz w:val="24"/>
          <w:szCs w:val="24"/>
          <w:lang w:eastAsia="en-US"/>
        </w:rPr>
        <w:t>É constitucional a instituição</w:t>
      </w:r>
      <w:r>
        <w:rPr>
          <w:b/>
          <w:bCs/>
          <w:sz w:val="24"/>
          <w:szCs w:val="24"/>
          <w:lang w:eastAsia="en-US"/>
        </w:rPr>
        <w:t>, mediante lei complementar estadual,</w:t>
      </w:r>
      <w:r w:rsidRPr="00D51157">
        <w:rPr>
          <w:b/>
          <w:bCs/>
          <w:sz w:val="24"/>
          <w:szCs w:val="24"/>
          <w:lang w:eastAsia="en-US"/>
        </w:rPr>
        <w:t xml:space="preserve"> de </w:t>
      </w:r>
      <w:r>
        <w:rPr>
          <w:b/>
          <w:bCs/>
          <w:sz w:val="24"/>
          <w:szCs w:val="24"/>
          <w:lang w:eastAsia="en-US"/>
        </w:rPr>
        <w:t xml:space="preserve">uma única </w:t>
      </w:r>
      <w:r w:rsidRPr="00D51157">
        <w:rPr>
          <w:b/>
          <w:bCs/>
          <w:sz w:val="24"/>
          <w:szCs w:val="24"/>
          <w:lang w:eastAsia="en-US"/>
        </w:rPr>
        <w:t>microrregião de saneamento básico</w:t>
      </w:r>
      <w:r>
        <w:rPr>
          <w:b/>
          <w:bCs/>
          <w:sz w:val="24"/>
          <w:szCs w:val="24"/>
          <w:lang w:eastAsia="en-US"/>
        </w:rPr>
        <w:t>, vedado o predomínio absoluto de um dos entes políticos sobre as deliberações</w:t>
      </w:r>
      <w:r w:rsidRPr="00D51157">
        <w:rPr>
          <w:b/>
          <w:bCs/>
          <w:sz w:val="24"/>
          <w:szCs w:val="24"/>
          <w:lang w:eastAsia="en-US"/>
        </w:rPr>
        <w:t>.</w:t>
      </w:r>
    </w:p>
    <w:p w14:paraId="69142D30" w14:textId="77777777" w:rsidR="00287AA4" w:rsidRDefault="00287AA4" w:rsidP="00287AA4">
      <w:pPr>
        <w:spacing w:line="360" w:lineRule="auto"/>
        <w:ind w:firstLine="708"/>
        <w:rPr>
          <w:sz w:val="24"/>
          <w:szCs w:val="24"/>
          <w:lang w:eastAsia="en-US"/>
        </w:rPr>
      </w:pPr>
      <w:r w:rsidRPr="004A34E0">
        <w:rPr>
          <w:sz w:val="24"/>
          <w:szCs w:val="24"/>
          <w:lang w:eastAsia="en-US"/>
        </w:rPr>
        <w:t>A regionaliza</w:t>
      </w:r>
      <w:r>
        <w:rPr>
          <w:sz w:val="24"/>
          <w:szCs w:val="24"/>
          <w:lang w:eastAsia="en-US"/>
        </w:rPr>
        <w:t>ção</w:t>
      </w:r>
      <w:r w:rsidRPr="004A34E0">
        <w:rPr>
          <w:sz w:val="24"/>
          <w:szCs w:val="24"/>
          <w:lang w:eastAsia="en-US"/>
        </w:rPr>
        <w:t xml:space="preserve"> dos serviços públicos de saneamento básico por meio da instituição de microrregiões</w:t>
      </w:r>
      <w:r>
        <w:rPr>
          <w:sz w:val="24"/>
          <w:szCs w:val="24"/>
          <w:lang w:eastAsia="en-US"/>
        </w:rPr>
        <w:t xml:space="preserve"> não afronta a autonomia municipal, dispensada a aprovação prévia pelas Câmaras de Vereadores e a consulta às populações interessadas (1). </w:t>
      </w:r>
      <w:r w:rsidRPr="004A34E0">
        <w:rPr>
          <w:sz w:val="24"/>
          <w:szCs w:val="24"/>
          <w:lang w:eastAsia="en-US"/>
        </w:rPr>
        <w:t>O modelo visa à gestão integrada e cooperativa de funções públicas de interesse comum</w:t>
      </w:r>
      <w:r>
        <w:rPr>
          <w:sz w:val="24"/>
          <w:szCs w:val="24"/>
          <w:lang w:eastAsia="en-US"/>
        </w:rPr>
        <w:t>, com efetiva participação dos entes envolvidos (2)</w:t>
      </w:r>
      <w:r w:rsidRPr="004A34E0">
        <w:rPr>
          <w:sz w:val="24"/>
          <w:szCs w:val="24"/>
          <w:lang w:eastAsia="en-US"/>
        </w:rPr>
        <w:t xml:space="preserve">. </w:t>
      </w:r>
    </w:p>
    <w:p w14:paraId="46166D0B" w14:textId="77777777" w:rsidR="00287AA4" w:rsidRPr="004A34E0" w:rsidRDefault="00287AA4" w:rsidP="00287AA4">
      <w:pPr>
        <w:spacing w:line="360" w:lineRule="auto"/>
        <w:ind w:firstLine="708"/>
        <w:rPr>
          <w:sz w:val="24"/>
          <w:szCs w:val="24"/>
          <w:lang w:eastAsia="en-US"/>
        </w:rPr>
      </w:pPr>
      <w:r>
        <w:rPr>
          <w:sz w:val="24"/>
          <w:szCs w:val="24"/>
          <w:lang w:eastAsia="en-US"/>
        </w:rPr>
        <w:t>Na espécie, a norma estadual, baseada em estudos técnicos,</w:t>
      </w:r>
      <w:r w:rsidRPr="004A34E0">
        <w:rPr>
          <w:sz w:val="24"/>
          <w:szCs w:val="24"/>
          <w:lang w:eastAsia="en-US"/>
        </w:rPr>
        <w:t xml:space="preserve"> congrega todos os municípios sergipanos sob uma </w:t>
      </w:r>
      <w:r>
        <w:rPr>
          <w:sz w:val="24"/>
          <w:szCs w:val="24"/>
          <w:lang w:eastAsia="en-US"/>
        </w:rPr>
        <w:t xml:space="preserve">única </w:t>
      </w:r>
      <w:r w:rsidRPr="004A34E0">
        <w:rPr>
          <w:sz w:val="24"/>
          <w:szCs w:val="24"/>
          <w:lang w:eastAsia="en-US"/>
        </w:rPr>
        <w:t>estrutura</w:t>
      </w:r>
      <w:r>
        <w:rPr>
          <w:sz w:val="24"/>
          <w:szCs w:val="24"/>
          <w:lang w:eastAsia="en-US"/>
        </w:rPr>
        <w:t xml:space="preserve"> e adota modelo de governança interfederativa não paritária. A norma está em harmonia com a Constituição Federal, porquanto inexiste a imposição de limites quanto à extensão territorial ou ao número de entes integrantes da microrregião, </w:t>
      </w:r>
      <w:r w:rsidRPr="004A34E0">
        <w:rPr>
          <w:sz w:val="24"/>
          <w:szCs w:val="24"/>
          <w:lang w:eastAsia="en-US"/>
        </w:rPr>
        <w:t>vedando-se</w:t>
      </w:r>
      <w:r>
        <w:rPr>
          <w:sz w:val="24"/>
          <w:szCs w:val="24"/>
          <w:lang w:eastAsia="en-US"/>
        </w:rPr>
        <w:t>, contudo,</w:t>
      </w:r>
      <w:r w:rsidRPr="004A34E0">
        <w:rPr>
          <w:sz w:val="24"/>
          <w:szCs w:val="24"/>
          <w:lang w:eastAsia="en-US"/>
        </w:rPr>
        <w:t xml:space="preserve"> arranjos institucionais que concentrem o poder de decisão de modo absoluto </w:t>
      </w:r>
      <w:r>
        <w:rPr>
          <w:sz w:val="24"/>
          <w:szCs w:val="24"/>
          <w:lang w:eastAsia="en-US"/>
        </w:rPr>
        <w:t>em</w:t>
      </w:r>
      <w:r w:rsidRPr="004A34E0">
        <w:rPr>
          <w:sz w:val="24"/>
          <w:szCs w:val="24"/>
          <w:lang w:eastAsia="en-US"/>
        </w:rPr>
        <w:t xml:space="preserve"> um único ente federado.</w:t>
      </w:r>
    </w:p>
    <w:p w14:paraId="65621A55" w14:textId="77777777" w:rsidR="00287AA4" w:rsidRPr="00A561B6" w:rsidRDefault="00287AA4" w:rsidP="00287AA4">
      <w:pPr>
        <w:spacing w:line="360" w:lineRule="auto"/>
        <w:ind w:firstLine="708"/>
        <w:rPr>
          <w:sz w:val="24"/>
          <w:szCs w:val="24"/>
          <w:lang w:eastAsia="en-US"/>
        </w:rPr>
      </w:pPr>
      <w:r w:rsidRPr="004A34E0">
        <w:rPr>
          <w:sz w:val="24"/>
          <w:szCs w:val="24"/>
          <w:lang w:eastAsia="en-US"/>
        </w:rPr>
        <w:t xml:space="preserve">Com base nesses e em outros entendimentos, o </w:t>
      </w:r>
      <w:r>
        <w:rPr>
          <w:sz w:val="24"/>
          <w:szCs w:val="24"/>
          <w:lang w:eastAsia="en-US"/>
        </w:rPr>
        <w:t>Plenário</w:t>
      </w:r>
      <w:r w:rsidRPr="004A34E0">
        <w:rPr>
          <w:sz w:val="24"/>
          <w:szCs w:val="24"/>
          <w:lang w:eastAsia="en-US"/>
        </w:rPr>
        <w:t xml:space="preserve"> conheceu parcialmente da ação e, na parte conhecida, julgou improcedente o pedido</w:t>
      </w:r>
      <w:r>
        <w:rPr>
          <w:sz w:val="24"/>
          <w:szCs w:val="24"/>
          <w:lang w:eastAsia="en-US"/>
        </w:rPr>
        <w:t xml:space="preserve"> sobre a</w:t>
      </w:r>
      <w:r w:rsidRPr="004A34E0">
        <w:rPr>
          <w:sz w:val="24"/>
          <w:szCs w:val="24"/>
          <w:lang w:eastAsia="en-US"/>
        </w:rPr>
        <w:t xml:space="preserve"> </w:t>
      </w:r>
      <w:r>
        <w:rPr>
          <w:sz w:val="24"/>
          <w:szCs w:val="24"/>
          <w:lang w:eastAsia="en-US"/>
        </w:rPr>
        <w:t>in</w:t>
      </w:r>
      <w:r w:rsidRPr="004A34E0">
        <w:rPr>
          <w:sz w:val="24"/>
          <w:szCs w:val="24"/>
          <w:lang w:eastAsia="en-US"/>
        </w:rPr>
        <w:t xml:space="preserve">constitucionalidade dos </w:t>
      </w:r>
      <w:r>
        <w:rPr>
          <w:sz w:val="24"/>
          <w:szCs w:val="24"/>
          <w:lang w:eastAsia="en-US"/>
        </w:rPr>
        <w:t xml:space="preserve">arts. </w:t>
      </w:r>
      <w:r w:rsidRPr="000E4957">
        <w:rPr>
          <w:sz w:val="24"/>
          <w:szCs w:val="24"/>
          <w:lang w:eastAsia="en-US"/>
        </w:rPr>
        <w:t>9º, I e II</w:t>
      </w:r>
      <w:r>
        <w:rPr>
          <w:sz w:val="24"/>
          <w:szCs w:val="24"/>
          <w:lang w:eastAsia="en-US"/>
        </w:rPr>
        <w:t>,</w:t>
      </w:r>
      <w:r w:rsidRPr="000E4957">
        <w:rPr>
          <w:sz w:val="24"/>
          <w:szCs w:val="24"/>
          <w:lang w:eastAsia="en-US"/>
        </w:rPr>
        <w:t xml:space="preserve"> 16</w:t>
      </w:r>
      <w:r>
        <w:rPr>
          <w:sz w:val="24"/>
          <w:szCs w:val="24"/>
          <w:lang w:eastAsia="en-US"/>
        </w:rPr>
        <w:t>,</w:t>
      </w:r>
      <w:r w:rsidRPr="000E4957">
        <w:rPr>
          <w:sz w:val="24"/>
          <w:szCs w:val="24"/>
          <w:lang w:eastAsia="en-US"/>
        </w:rPr>
        <w:t xml:space="preserve"> 17 e 19 da </w:t>
      </w:r>
      <w:hyperlink r:id="rId43" w:history="1">
        <w:r w:rsidRPr="00A561B6">
          <w:rPr>
            <w:rStyle w:val="Hyperlink"/>
            <w:sz w:val="24"/>
            <w:szCs w:val="24"/>
            <w:lang w:eastAsia="en-US"/>
          </w:rPr>
          <w:t>Lei Complementar nº 176/2009</w:t>
        </w:r>
      </w:hyperlink>
      <w:r w:rsidRPr="00A561B6">
        <w:rPr>
          <w:sz w:val="24"/>
          <w:szCs w:val="24"/>
          <w:lang w:eastAsia="en-US"/>
        </w:rPr>
        <w:t xml:space="preserve">, na redação dada pela </w:t>
      </w:r>
      <w:hyperlink r:id="rId44" w:anchor="a2" w:history="1">
        <w:r w:rsidRPr="00A561B6">
          <w:rPr>
            <w:rStyle w:val="Hyperlink"/>
            <w:sz w:val="24"/>
            <w:szCs w:val="24"/>
            <w:lang w:eastAsia="en-US"/>
          </w:rPr>
          <w:t>Lei Co</w:t>
        </w:r>
        <w:r w:rsidRPr="00A561B6">
          <w:rPr>
            <w:rStyle w:val="Hyperlink"/>
            <w:sz w:val="24"/>
            <w:szCs w:val="24"/>
            <w:lang w:eastAsia="en-US"/>
          </w:rPr>
          <w:t>m</w:t>
        </w:r>
        <w:r w:rsidRPr="00A561B6">
          <w:rPr>
            <w:rStyle w:val="Hyperlink"/>
            <w:sz w:val="24"/>
            <w:szCs w:val="24"/>
            <w:lang w:eastAsia="en-US"/>
          </w:rPr>
          <w:t>plementar nº 398/2023</w:t>
        </w:r>
      </w:hyperlink>
      <w:r w:rsidRPr="00A561B6">
        <w:rPr>
          <w:sz w:val="24"/>
          <w:szCs w:val="24"/>
          <w:lang w:eastAsia="en-US"/>
        </w:rPr>
        <w:t>, ambas do Estado de Sergipe (3).</w:t>
      </w:r>
    </w:p>
    <w:p w14:paraId="7F9918D3" w14:textId="77777777" w:rsidR="00287AA4" w:rsidRPr="004837C9" w:rsidRDefault="00287AA4" w:rsidP="00287AA4">
      <w:pPr>
        <w:spacing w:line="360" w:lineRule="auto"/>
        <w:ind w:firstLine="708"/>
        <w:rPr>
          <w:sz w:val="24"/>
          <w:szCs w:val="24"/>
          <w:lang w:eastAsia="en-US"/>
        </w:rPr>
      </w:pPr>
    </w:p>
    <w:p w14:paraId="2F5A50B6" w14:textId="77777777" w:rsidR="00287AA4" w:rsidRPr="00481408" w:rsidRDefault="00287AA4" w:rsidP="00287AA4">
      <w:pPr>
        <w:pStyle w:val="PargrafodaLista"/>
        <w:spacing w:after="120"/>
        <w:ind w:left="0" w:firstLine="709"/>
        <w:rPr>
          <w:rFonts w:ascii="Arial" w:hAnsi="Arial" w:cs="Arial"/>
          <w:sz w:val="20"/>
          <w:szCs w:val="20"/>
        </w:rPr>
      </w:pPr>
      <w:r>
        <w:rPr>
          <w:rFonts w:ascii="Arial" w:hAnsi="Arial" w:cs="Arial"/>
          <w:sz w:val="20"/>
          <w:szCs w:val="20"/>
        </w:rPr>
        <w:t xml:space="preserve">(1) Precedentes citados: </w:t>
      </w:r>
      <w:hyperlink r:id="rId45" w:history="1">
        <w:r w:rsidRPr="00FD19B7">
          <w:rPr>
            <w:rStyle w:val="Hyperlink"/>
            <w:rFonts w:ascii="Arial" w:hAnsi="Arial" w:cs="Arial"/>
            <w:sz w:val="20"/>
            <w:szCs w:val="20"/>
          </w:rPr>
          <w:t>ADI 1</w:t>
        </w:r>
        <w:r>
          <w:rPr>
            <w:rStyle w:val="Hyperlink"/>
            <w:rFonts w:ascii="Arial" w:hAnsi="Arial" w:cs="Arial"/>
            <w:sz w:val="20"/>
            <w:szCs w:val="20"/>
          </w:rPr>
          <w:t>.</w:t>
        </w:r>
        <w:r w:rsidRPr="00FD19B7">
          <w:rPr>
            <w:rStyle w:val="Hyperlink"/>
            <w:rFonts w:ascii="Arial" w:hAnsi="Arial" w:cs="Arial"/>
            <w:sz w:val="20"/>
            <w:szCs w:val="20"/>
          </w:rPr>
          <w:t>842</w:t>
        </w:r>
      </w:hyperlink>
      <w:r>
        <w:rPr>
          <w:rFonts w:ascii="Arial" w:hAnsi="Arial" w:cs="Arial"/>
          <w:sz w:val="20"/>
          <w:szCs w:val="20"/>
        </w:rPr>
        <w:t xml:space="preserve">, </w:t>
      </w:r>
      <w:hyperlink r:id="rId46" w:history="1">
        <w:r w:rsidRPr="00FD19B7">
          <w:rPr>
            <w:rStyle w:val="Hyperlink"/>
            <w:rFonts w:ascii="Arial" w:hAnsi="Arial" w:cs="Arial"/>
            <w:sz w:val="20"/>
            <w:szCs w:val="20"/>
          </w:rPr>
          <w:t>ADI 796</w:t>
        </w:r>
      </w:hyperlink>
      <w:r>
        <w:rPr>
          <w:rFonts w:ascii="Arial" w:hAnsi="Arial" w:cs="Arial"/>
          <w:sz w:val="20"/>
          <w:szCs w:val="20"/>
        </w:rPr>
        <w:t xml:space="preserve">, </w:t>
      </w:r>
      <w:hyperlink r:id="rId47" w:history="1">
        <w:r w:rsidRPr="00451652">
          <w:rPr>
            <w:rStyle w:val="Hyperlink"/>
            <w:rFonts w:ascii="Arial" w:hAnsi="Arial" w:cs="Arial"/>
            <w:sz w:val="20"/>
            <w:szCs w:val="20"/>
          </w:rPr>
          <w:t>ADI 6.492</w:t>
        </w:r>
      </w:hyperlink>
      <w:r w:rsidRPr="008F351C">
        <w:rPr>
          <w:rFonts w:ascii="Arial" w:hAnsi="Arial" w:cs="Arial"/>
          <w:sz w:val="20"/>
          <w:szCs w:val="20"/>
        </w:rPr>
        <w:t xml:space="preserve"> e </w:t>
      </w:r>
      <w:hyperlink r:id="rId48" w:history="1">
        <w:r w:rsidRPr="008F351C">
          <w:rPr>
            <w:rStyle w:val="Hyperlink"/>
            <w:rFonts w:ascii="Arial" w:hAnsi="Arial" w:cs="Arial"/>
            <w:sz w:val="20"/>
            <w:szCs w:val="20"/>
          </w:rPr>
          <w:t>ADI 6.911</w:t>
        </w:r>
        <w:r w:rsidRPr="00433323">
          <w:rPr>
            <w:rStyle w:val="Hyperlink"/>
            <w:rFonts w:ascii="Arial" w:hAnsi="Arial" w:cs="Arial"/>
            <w:color w:val="auto"/>
            <w:sz w:val="20"/>
            <w:szCs w:val="20"/>
            <w:u w:val="none"/>
          </w:rPr>
          <w:t>.</w:t>
        </w:r>
      </w:hyperlink>
    </w:p>
    <w:p w14:paraId="36D72BE9" w14:textId="060CCCD2" w:rsidR="00287AA4" w:rsidRPr="008F351C" w:rsidRDefault="00287AA4" w:rsidP="00287AA4">
      <w:pPr>
        <w:spacing w:after="120"/>
        <w:ind w:firstLine="709"/>
        <w:rPr>
          <w:rFonts w:ascii="Arial" w:hAnsi="Arial" w:cs="Arial"/>
          <w:sz w:val="20"/>
          <w:szCs w:val="20"/>
        </w:rPr>
      </w:pPr>
      <w:r w:rsidRPr="008F351C">
        <w:rPr>
          <w:rFonts w:ascii="Arial" w:hAnsi="Arial" w:cs="Arial"/>
          <w:sz w:val="20"/>
          <w:szCs w:val="20"/>
        </w:rPr>
        <w:t xml:space="preserve">(2) </w:t>
      </w:r>
      <w:hyperlink r:id="rId49" w:history="1">
        <w:r w:rsidRPr="00E9311F">
          <w:rPr>
            <w:rStyle w:val="Hyperlink"/>
            <w:rFonts w:ascii="Arial" w:hAnsi="Arial" w:cs="Arial"/>
            <w:sz w:val="20"/>
            <w:szCs w:val="20"/>
          </w:rPr>
          <w:t>Lei nº 13.</w:t>
        </w:r>
        <w:r w:rsidRPr="00E9311F">
          <w:rPr>
            <w:rStyle w:val="Hyperlink"/>
            <w:rFonts w:ascii="Arial" w:hAnsi="Arial" w:cs="Arial"/>
            <w:sz w:val="20"/>
            <w:szCs w:val="20"/>
          </w:rPr>
          <w:t>0</w:t>
        </w:r>
        <w:r w:rsidRPr="00E9311F">
          <w:rPr>
            <w:rStyle w:val="Hyperlink"/>
            <w:rFonts w:ascii="Arial" w:hAnsi="Arial" w:cs="Arial"/>
            <w:sz w:val="20"/>
            <w:szCs w:val="20"/>
          </w:rPr>
          <w:t>89/2015</w:t>
        </w:r>
      </w:hyperlink>
      <w:r w:rsidRPr="008F351C">
        <w:rPr>
          <w:rFonts w:ascii="Arial" w:hAnsi="Arial" w:cs="Arial"/>
          <w:sz w:val="20"/>
          <w:szCs w:val="20"/>
        </w:rPr>
        <w:t>: “Art. 2º Para os efeitos desta Lei, consideram-se: (...) IV – governança interfederativa: compartilhamento de responsabilidades e ações entre entes da Federação em termos de organização, planejamento e execução de funções públicas de interesse comum</w:t>
      </w:r>
      <w:r w:rsidR="000F3B4C">
        <w:rPr>
          <w:rFonts w:ascii="Arial" w:hAnsi="Arial" w:cs="Arial"/>
          <w:sz w:val="20"/>
          <w:szCs w:val="20"/>
        </w:rPr>
        <w:t>;</w:t>
      </w:r>
      <w:r w:rsidRPr="008F351C">
        <w:rPr>
          <w:rFonts w:ascii="Arial" w:hAnsi="Arial" w:cs="Arial"/>
          <w:sz w:val="20"/>
          <w:szCs w:val="20"/>
        </w:rPr>
        <w:t>”</w:t>
      </w:r>
    </w:p>
    <w:p w14:paraId="77BC62A8" w14:textId="715983B0" w:rsidR="00287AA4" w:rsidRPr="008F351C" w:rsidRDefault="00287AA4" w:rsidP="00287AA4">
      <w:pPr>
        <w:spacing w:after="120"/>
        <w:ind w:firstLine="709"/>
        <w:rPr>
          <w:rFonts w:ascii="Arial" w:hAnsi="Arial" w:cs="Arial"/>
          <w:sz w:val="20"/>
          <w:szCs w:val="20"/>
        </w:rPr>
      </w:pPr>
      <w:r w:rsidRPr="008F351C">
        <w:rPr>
          <w:rFonts w:ascii="Arial" w:hAnsi="Arial" w:cs="Arial"/>
          <w:sz w:val="20"/>
          <w:szCs w:val="20"/>
        </w:rPr>
        <w:t>(3)</w:t>
      </w:r>
      <w:r>
        <w:t xml:space="preserve"> </w:t>
      </w:r>
      <w:hyperlink r:id="rId50" w:history="1">
        <w:r w:rsidRPr="000F6662">
          <w:rPr>
            <w:rStyle w:val="Hyperlink"/>
            <w:rFonts w:ascii="Arial" w:hAnsi="Arial" w:cs="Arial"/>
            <w:sz w:val="20"/>
            <w:szCs w:val="20"/>
          </w:rPr>
          <w:t>Lei Complementar nº 176/2009 do Estado de Sergipe</w:t>
        </w:r>
      </w:hyperlink>
      <w:r w:rsidRPr="008F351C">
        <w:rPr>
          <w:rFonts w:ascii="Arial" w:hAnsi="Arial" w:cs="Arial"/>
          <w:sz w:val="20"/>
          <w:szCs w:val="20"/>
        </w:rPr>
        <w:t>: “Art. 9º O Colegiado Microrregional é instância máxima da MAES e deve deliberar somente com a presença de representantes do Estado de Sergipe e Municípios que, somados, detenham a maioria absoluta do número total de votos, sendo que: I - o Estado de Sergipe deve ter número de votos equivalente a 40% (quarenta por cento) do número total de votos; e II - cada Município deve ter, entre os 60% (sessenta por cento) de votos restantes, peso de votos proporcional à sua população, desprezando-se a fração, se igual ou inferior a meio, ou arredondando-se para um, se superior a meio. (...) Art. 16 O Governador do Estado, por meio de Decreto, deve editar o Regimento Interno provisório da Microrregião. Art. 17 Os planos editados pelos Municípios, referentes aos serviços públicos de abastecimento de água e de esgotamento sanitário antes da vigência desta Lei Complementar, permanecem em vigor nos termos da legislação aplicável, podendo ser substituídos, adequados ou consolidados em plano microrregional, mediante deliberação do Colegiado Microrregional. (...) Art. 19 Os serviços públicos de abastecimento de água e de esgotamento sanitário deixam de ser função pública de interesse comum das regiões metropolitanas, aglomerações urbanas e microrregiões antes existentes no Estado de Sergipe</w:t>
      </w:r>
      <w:r w:rsidR="000F3B4C">
        <w:rPr>
          <w:rFonts w:ascii="Arial" w:hAnsi="Arial" w:cs="Arial"/>
          <w:sz w:val="20"/>
          <w:szCs w:val="20"/>
        </w:rPr>
        <w:t>.</w:t>
      </w:r>
      <w:r w:rsidRPr="008F351C">
        <w:rPr>
          <w:rFonts w:ascii="Arial" w:hAnsi="Arial" w:cs="Arial"/>
          <w:sz w:val="20"/>
          <w:szCs w:val="20"/>
        </w:rPr>
        <w:t>”</w:t>
      </w:r>
    </w:p>
    <w:p w14:paraId="1121BF25" w14:textId="77777777" w:rsidR="00287AA4" w:rsidRPr="004625FD" w:rsidRDefault="00287AA4" w:rsidP="00287AA4">
      <w:pPr>
        <w:spacing w:line="360" w:lineRule="auto"/>
        <w:ind w:firstLine="708"/>
        <w:rPr>
          <w:sz w:val="24"/>
          <w:szCs w:val="24"/>
          <w:lang w:eastAsia="en-US"/>
        </w:rPr>
      </w:pPr>
    </w:p>
    <w:p w14:paraId="56AEA883" w14:textId="77777777" w:rsidR="00287AA4" w:rsidRPr="005E760A" w:rsidRDefault="00287AA4" w:rsidP="00287AA4">
      <w:pPr>
        <w:spacing w:line="360" w:lineRule="auto"/>
        <w:rPr>
          <w:rStyle w:val="Hyperlink"/>
          <w:sz w:val="24"/>
          <w:szCs w:val="24"/>
        </w:rPr>
      </w:pPr>
      <w:r w:rsidRPr="005E760A">
        <w:rPr>
          <w:rFonts w:eastAsiaTheme="majorEastAsia"/>
          <w:sz w:val="24"/>
          <w:szCs w:val="24"/>
          <w:lang w:eastAsia="en-US"/>
        </w:rPr>
        <w:fldChar w:fldCharType="begin"/>
      </w:r>
      <w:r w:rsidRPr="005E760A">
        <w:rPr>
          <w:rFonts w:eastAsiaTheme="majorEastAsia"/>
          <w:sz w:val="24"/>
          <w:szCs w:val="24"/>
          <w:lang w:eastAsia="en-US"/>
        </w:rPr>
        <w:instrText>HYPERLINK "https://portal.stf.jus.br/processos/detalhe.asp?incidente=7006750"</w:instrText>
      </w:r>
      <w:r w:rsidRPr="005E760A">
        <w:rPr>
          <w:rFonts w:eastAsiaTheme="majorEastAsia"/>
          <w:sz w:val="24"/>
          <w:szCs w:val="24"/>
          <w:lang w:eastAsia="en-US"/>
        </w:rPr>
      </w:r>
      <w:r w:rsidRPr="005E760A">
        <w:rPr>
          <w:rFonts w:eastAsiaTheme="majorEastAsia"/>
          <w:sz w:val="24"/>
          <w:szCs w:val="24"/>
          <w:lang w:eastAsia="en-US"/>
        </w:rPr>
        <w:fldChar w:fldCharType="separate"/>
      </w:r>
      <w:r w:rsidRPr="005E760A">
        <w:rPr>
          <w:rStyle w:val="Hyperlink"/>
          <w:rFonts w:eastAsiaTheme="majorEastAsia"/>
          <w:sz w:val="24"/>
          <w:szCs w:val="24"/>
          <w:lang w:eastAsia="en-US"/>
        </w:rPr>
        <w:t>ADI 7.705/SE, relator Ministro Cristiano Zanin, julgamento virtual finalizado em 29.05.2026 (sexta-feira)</w:t>
      </w:r>
      <w:r w:rsidRPr="005E760A">
        <w:rPr>
          <w:rStyle w:val="Hyperlink"/>
          <w:sz w:val="24"/>
          <w:szCs w:val="24"/>
        </w:rPr>
        <w:t>, às 23:59</w:t>
      </w:r>
    </w:p>
    <w:p w14:paraId="358D3D27" w14:textId="77777777" w:rsidR="00287AA4" w:rsidRDefault="00287AA4" w:rsidP="00287AA4">
      <w:pPr>
        <w:rPr>
          <w:sz w:val="24"/>
          <w:szCs w:val="24"/>
          <w:lang w:eastAsia="en-US"/>
        </w:rPr>
      </w:pPr>
      <w:r w:rsidRPr="005E760A">
        <w:rPr>
          <w:rFonts w:eastAsiaTheme="majorEastAsia"/>
          <w:sz w:val="24"/>
          <w:szCs w:val="24"/>
          <w:lang w:eastAsia="en-US"/>
        </w:rPr>
        <w:fldChar w:fldCharType="end"/>
      </w:r>
    </w:p>
    <w:p w14:paraId="066FE25B" w14:textId="77777777" w:rsidR="00287AA4" w:rsidRDefault="00287AA4" w:rsidP="00287AA4">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0D4B60BA" w14:textId="77777777" w:rsidR="00287AA4" w:rsidRDefault="00287AA4" w:rsidP="00287AA4">
      <w:pPr>
        <w:rPr>
          <w:sz w:val="24"/>
          <w:szCs w:val="24"/>
          <w:lang w:eastAsia="en-US"/>
        </w:rPr>
      </w:pPr>
    </w:p>
    <w:p w14:paraId="6B2EADC3" w14:textId="1FCA84BB" w:rsidR="00A06131" w:rsidRPr="00A06131" w:rsidRDefault="00A06131" w:rsidP="00A06131">
      <w:pPr>
        <w:rPr>
          <w:sz w:val="24"/>
          <w:szCs w:val="24"/>
          <w:lang w:eastAsia="en-US"/>
        </w:rPr>
      </w:pPr>
      <w:r w:rsidRPr="00A06131">
        <w:rPr>
          <w:sz w:val="24"/>
          <w:szCs w:val="24"/>
          <w:lang w:eastAsia="en-US"/>
        </w:rPr>
        <w:t>DIREITO CONSTITUCIONAL – ORDEM ECONÔMICA; SISTEMA FINANCEIRO NACIONAL; LIVRE INICIATIVA; LIVRE CONCORRÊNCIA; ISONOMIA</w:t>
      </w:r>
    </w:p>
    <w:p w14:paraId="78CCF917" w14:textId="77777777" w:rsidR="00A06131" w:rsidRPr="00A06131" w:rsidRDefault="00A06131" w:rsidP="00A06131">
      <w:pPr>
        <w:rPr>
          <w:sz w:val="24"/>
          <w:szCs w:val="24"/>
          <w:lang w:eastAsia="en-US"/>
        </w:rPr>
      </w:pPr>
      <w:r w:rsidRPr="00A06131">
        <w:rPr>
          <w:sz w:val="24"/>
          <w:szCs w:val="24"/>
          <w:lang w:eastAsia="en-US"/>
        </w:rPr>
        <w:t xml:space="preserve">DIREITO AMBIENTAL – MUDANÇAS CLIMÁTICAS; PRINCÍPIO DO POLUIDOR-PAGADOR; MERCADO DE CARBONO </w:t>
      </w:r>
    </w:p>
    <w:p w14:paraId="6A7CCCE2" w14:textId="77777777" w:rsidR="00A06131" w:rsidRPr="00A06131" w:rsidRDefault="00A06131" w:rsidP="00A06131">
      <w:pPr>
        <w:rPr>
          <w:b/>
          <w:bCs/>
          <w:i/>
          <w:iCs/>
          <w:sz w:val="24"/>
          <w:szCs w:val="24"/>
          <w:highlight w:val="yellow"/>
          <w:lang w:eastAsia="en-US"/>
        </w:rPr>
      </w:pPr>
    </w:p>
    <w:p w14:paraId="50CCD8BC" w14:textId="378E6D20" w:rsidR="00A06131" w:rsidRPr="00A06131" w:rsidRDefault="00A06131" w:rsidP="00A06131">
      <w:pPr>
        <w:autoSpaceDE w:val="0"/>
        <w:autoSpaceDN w:val="0"/>
        <w:adjustRightInd w:val="0"/>
        <w:rPr>
          <w:b/>
          <w:bCs/>
          <w:i/>
          <w:iCs/>
          <w:sz w:val="24"/>
          <w:szCs w:val="24"/>
          <w:lang w:eastAsia="en-US"/>
        </w:rPr>
      </w:pPr>
      <w:bookmarkStart w:id="9" w:name="carbono"/>
      <w:r w:rsidRPr="00A06131">
        <w:rPr>
          <w:b/>
          <w:bCs/>
          <w:i/>
          <w:iCs/>
          <w:sz w:val="24"/>
          <w:szCs w:val="24"/>
          <w:lang w:eastAsia="en-US"/>
        </w:rPr>
        <w:t xml:space="preserve">Obrigatoriedade de aquisição de créditos de carbono por seguradoras e entidades de previdência </w:t>
      </w:r>
      <w:bookmarkEnd w:id="9"/>
      <w:r w:rsidRPr="00A06131">
        <w:rPr>
          <w:sz w:val="24"/>
          <w:szCs w:val="24"/>
          <w:lang w:eastAsia="en-US"/>
        </w:rPr>
        <w:t xml:space="preserve">– </w:t>
      </w:r>
      <w:hyperlink r:id="rId51" w:history="1">
        <w:r w:rsidRPr="00A06131">
          <w:rPr>
            <w:sz w:val="24"/>
            <w:szCs w:val="24"/>
            <w:lang w:eastAsia="en-US"/>
          </w:rPr>
          <w:t>ADI 7.795/DF</w:t>
        </w:r>
      </w:hyperlink>
      <w:r w:rsidRPr="00A06131">
        <w:rPr>
          <w:sz w:val="24"/>
          <w:szCs w:val="24"/>
        </w:rPr>
        <w:t xml:space="preserve"> </w:t>
      </w:r>
      <w:r w:rsidRPr="00A06131">
        <w:rPr>
          <w:noProof/>
          <w:sz w:val="24"/>
          <w:szCs w:val="24"/>
        </w:rPr>
        <w:drawing>
          <wp:inline distT="0" distB="0" distL="0" distR="0" wp14:anchorId="39ED99B6" wp14:editId="5BA08154">
            <wp:extent cx="1196340" cy="182880"/>
            <wp:effectExtent l="0" t="0" r="3810" b="7620"/>
            <wp:docPr id="1647717266" name="Imagem 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52"/>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5DA38DF2" w14:textId="77777777" w:rsidR="00A06131" w:rsidRPr="00A06131" w:rsidRDefault="00A06131" w:rsidP="00A06131">
      <w:pPr>
        <w:autoSpaceDE w:val="0"/>
        <w:autoSpaceDN w:val="0"/>
        <w:adjustRightInd w:val="0"/>
        <w:rPr>
          <w:sz w:val="24"/>
          <w:szCs w:val="24"/>
        </w:rPr>
      </w:pPr>
    </w:p>
    <w:p w14:paraId="66895B19" w14:textId="77777777" w:rsidR="00A06131" w:rsidRDefault="00A06131" w:rsidP="00902023">
      <w:r w:rsidRPr="00A06131">
        <w:rPr>
          <w:b/>
          <w:bCs/>
          <w:sz w:val="24"/>
          <w:szCs w:val="24"/>
        </w:rPr>
        <w:t>ODS:</w:t>
      </w:r>
      <w:r w:rsidRPr="00A06131">
        <w:rPr>
          <w:sz w:val="24"/>
          <w:szCs w:val="24"/>
        </w:rPr>
        <w:t xml:space="preserve"> </w:t>
      </w:r>
      <w:hyperlink r:id="rId53" w:history="1">
        <w:r w:rsidRPr="00A06131">
          <w:rPr>
            <w:color w:val="0000FF"/>
            <w:sz w:val="24"/>
            <w:szCs w:val="24"/>
            <w:u w:val="single"/>
          </w:rPr>
          <w:t>11</w:t>
        </w:r>
      </w:hyperlink>
      <w:r w:rsidRPr="00A06131">
        <w:rPr>
          <w:sz w:val="24"/>
          <w:szCs w:val="24"/>
        </w:rPr>
        <w:t xml:space="preserve">, </w:t>
      </w:r>
      <w:hyperlink r:id="rId54" w:history="1">
        <w:r w:rsidRPr="00A06131">
          <w:rPr>
            <w:color w:val="0000FF"/>
            <w:sz w:val="24"/>
            <w:szCs w:val="24"/>
            <w:u w:val="single"/>
          </w:rPr>
          <w:t>12</w:t>
        </w:r>
      </w:hyperlink>
      <w:r w:rsidRPr="00A06131">
        <w:rPr>
          <w:sz w:val="24"/>
          <w:szCs w:val="24"/>
        </w:rPr>
        <w:t xml:space="preserve"> e </w:t>
      </w:r>
      <w:hyperlink r:id="rId55" w:history="1">
        <w:r w:rsidRPr="00A06131">
          <w:rPr>
            <w:color w:val="0000FF"/>
            <w:sz w:val="24"/>
            <w:szCs w:val="24"/>
            <w:u w:val="single"/>
          </w:rPr>
          <w:t>13</w:t>
        </w:r>
      </w:hyperlink>
    </w:p>
    <w:p w14:paraId="0CA3F78E" w14:textId="77777777" w:rsidR="00902023" w:rsidRPr="00A06131" w:rsidRDefault="00902023" w:rsidP="00902023">
      <w:pPr>
        <w:rPr>
          <w:sz w:val="24"/>
          <w:szCs w:val="24"/>
        </w:rPr>
      </w:pPr>
    </w:p>
    <w:p w14:paraId="37A92511" w14:textId="77777777" w:rsidR="00A06131" w:rsidRPr="00A06131" w:rsidRDefault="00A06131" w:rsidP="00A06131">
      <w:pPr>
        <w:spacing w:line="360" w:lineRule="auto"/>
        <w:rPr>
          <w:sz w:val="24"/>
          <w:szCs w:val="24"/>
          <w:lang w:eastAsia="en-US"/>
        </w:rPr>
      </w:pPr>
      <w:r w:rsidRPr="00A06131">
        <w:rPr>
          <w:sz w:val="24"/>
          <w:szCs w:val="24"/>
          <w:lang w:eastAsia="en-US"/>
        </w:rPr>
        <w:t>Resumo:</w:t>
      </w:r>
    </w:p>
    <w:p w14:paraId="6EFFE121" w14:textId="5A823143" w:rsidR="00A06131" w:rsidRPr="00A06131" w:rsidRDefault="00A06131" w:rsidP="00A06131">
      <w:pPr>
        <w:tabs>
          <w:tab w:val="left" w:pos="2132"/>
        </w:tabs>
        <w:spacing w:line="360" w:lineRule="auto"/>
        <w:ind w:firstLine="708"/>
        <w:rPr>
          <w:sz w:val="24"/>
          <w:szCs w:val="24"/>
          <w:lang w:eastAsia="en-US"/>
        </w:rPr>
      </w:pPr>
      <w:bookmarkStart w:id="10" w:name="_Hlk120041969"/>
      <w:r w:rsidRPr="00A06131">
        <w:rPr>
          <w:b/>
          <w:bCs/>
          <w:sz w:val="24"/>
          <w:szCs w:val="24"/>
          <w:lang w:eastAsia="en-US"/>
        </w:rPr>
        <w:t xml:space="preserve">São inconstitucionais </w:t>
      </w:r>
      <w:r w:rsidR="00902023" w:rsidRPr="00902023">
        <w:rPr>
          <w:b/>
          <w:bCs/>
          <w:sz w:val="24"/>
          <w:szCs w:val="24"/>
          <w:lang w:eastAsia="en-US"/>
        </w:rPr>
        <w:t>–</w:t>
      </w:r>
      <w:r w:rsidRPr="00902023">
        <w:rPr>
          <w:b/>
          <w:bCs/>
          <w:sz w:val="24"/>
          <w:szCs w:val="24"/>
          <w:lang w:eastAsia="en-US"/>
        </w:rPr>
        <w:t xml:space="preserve"> </w:t>
      </w:r>
      <w:r w:rsidRPr="00A06131">
        <w:rPr>
          <w:b/>
          <w:bCs/>
          <w:sz w:val="24"/>
          <w:szCs w:val="24"/>
          <w:lang w:eastAsia="en-US"/>
        </w:rPr>
        <w:t xml:space="preserve">por violarem os princípios da livre iniciativa (CF/1988, art. 170, </w:t>
      </w:r>
      <w:r w:rsidRPr="00A06131">
        <w:rPr>
          <w:b/>
          <w:bCs/>
          <w:i/>
          <w:iCs/>
          <w:sz w:val="24"/>
          <w:szCs w:val="24"/>
          <w:lang w:eastAsia="en-US"/>
        </w:rPr>
        <w:t>caput</w:t>
      </w:r>
      <w:r w:rsidRPr="00A06131">
        <w:rPr>
          <w:b/>
          <w:bCs/>
          <w:sz w:val="24"/>
          <w:szCs w:val="24"/>
          <w:lang w:eastAsia="en-US"/>
        </w:rPr>
        <w:t xml:space="preserve">), da livre concorrência (CF/1988, art. 170, IV), da isonomia (CF/1988, art. 5º, </w:t>
      </w:r>
      <w:r w:rsidRPr="00A06131">
        <w:rPr>
          <w:b/>
          <w:bCs/>
          <w:i/>
          <w:iCs/>
          <w:sz w:val="24"/>
          <w:szCs w:val="24"/>
          <w:lang w:eastAsia="en-US"/>
        </w:rPr>
        <w:t>caput</w:t>
      </w:r>
      <w:r w:rsidRPr="00A06131">
        <w:rPr>
          <w:b/>
          <w:bCs/>
          <w:sz w:val="24"/>
          <w:szCs w:val="24"/>
          <w:lang w:eastAsia="en-US"/>
        </w:rPr>
        <w:t xml:space="preserve">), do poluidor-pagador (CF/1988, art. 225, §§ 2º e 3º), da proporcionalidade e da segurança jurídica (CF/1988, art. 5º, XXXVI) </w:t>
      </w:r>
      <w:r w:rsidR="00902023" w:rsidRPr="00902023">
        <w:rPr>
          <w:b/>
          <w:bCs/>
          <w:sz w:val="24"/>
          <w:szCs w:val="24"/>
          <w:lang w:eastAsia="en-US"/>
        </w:rPr>
        <w:t>–</w:t>
      </w:r>
      <w:r w:rsidRPr="00A06131">
        <w:rPr>
          <w:b/>
          <w:bCs/>
          <w:sz w:val="24"/>
          <w:szCs w:val="24"/>
          <w:lang w:eastAsia="en-US"/>
        </w:rPr>
        <w:t xml:space="preserve"> normas que impõem a aquisição compulsória de créditos de carbono para a formação de reservas técnicas e provisões de sociedades seguradoras, entidades abertas de previdência complementar, sociedades de capitalização e resseguradores locais.</w:t>
      </w:r>
    </w:p>
    <w:p w14:paraId="696C94AA" w14:textId="77777777" w:rsidR="00A06131" w:rsidRPr="00A06131" w:rsidRDefault="00A06131" w:rsidP="00A06131">
      <w:pPr>
        <w:tabs>
          <w:tab w:val="left" w:pos="2132"/>
        </w:tabs>
        <w:spacing w:line="360" w:lineRule="auto"/>
        <w:ind w:firstLine="708"/>
        <w:rPr>
          <w:sz w:val="24"/>
          <w:szCs w:val="24"/>
          <w:lang w:eastAsia="en-US"/>
        </w:rPr>
      </w:pPr>
      <w:r w:rsidRPr="00A06131">
        <w:rPr>
          <w:sz w:val="24"/>
          <w:szCs w:val="24"/>
          <w:lang w:eastAsia="en-US"/>
        </w:rPr>
        <w:t>Embora a estratégia legislativa de estimular o mercado de carbono seja um objetivo legítimo, a escolha das entidades afetadas baseou-se apenas na sua elevada liquidez e vasta reserva financeira, e não na sua responsabilidade por danos ambientais. O critério de diferenciação não está diretamente vinculado ao propósito da norma, visto que tais instituições não são as principais emissoras de gases de efeito estufa, o que configura ofensa ao princípio da isonomia e ao princípio do poluidor-pagador (1).</w:t>
      </w:r>
    </w:p>
    <w:p w14:paraId="05902A55" w14:textId="294F928D" w:rsidR="00A06131" w:rsidRPr="00A06131" w:rsidRDefault="00A06131" w:rsidP="00A06131">
      <w:pPr>
        <w:tabs>
          <w:tab w:val="left" w:pos="2132"/>
        </w:tabs>
        <w:spacing w:line="360" w:lineRule="auto"/>
        <w:ind w:firstLine="708"/>
        <w:rPr>
          <w:sz w:val="24"/>
          <w:szCs w:val="24"/>
          <w:lang w:eastAsia="en-US"/>
        </w:rPr>
      </w:pPr>
      <w:r w:rsidRPr="00A06131">
        <w:rPr>
          <w:sz w:val="24"/>
          <w:szCs w:val="24"/>
          <w:lang w:eastAsia="en-US"/>
        </w:rPr>
        <w:t xml:space="preserve">A imposição de percentuais fixos de investimento nas reservas técnicas sem permitir que as entidades avaliem a segurança, liquidez e rentabilidade desses ativos </w:t>
      </w:r>
      <w:r w:rsidR="00902023">
        <w:rPr>
          <w:sz w:val="24"/>
          <w:szCs w:val="24"/>
          <w:lang w:eastAsia="en-US"/>
        </w:rPr>
        <w:t>–</w:t>
      </w:r>
      <w:r w:rsidRPr="00A06131">
        <w:rPr>
          <w:sz w:val="24"/>
          <w:szCs w:val="24"/>
          <w:lang w:eastAsia="en-US"/>
        </w:rPr>
        <w:t xml:space="preserve"> fundamentais para garantir o cumprimento de suas obrigações perante os segurados </w:t>
      </w:r>
      <w:r w:rsidR="00902023">
        <w:rPr>
          <w:sz w:val="24"/>
          <w:szCs w:val="24"/>
          <w:lang w:eastAsia="en-US"/>
        </w:rPr>
        <w:t>–</w:t>
      </w:r>
      <w:r w:rsidRPr="00A06131">
        <w:rPr>
          <w:sz w:val="24"/>
          <w:szCs w:val="24"/>
          <w:lang w:eastAsia="en-US"/>
        </w:rPr>
        <w:t xml:space="preserve"> configura interferência indevida na livre iniciativa e na livre concorrência (2). Além disso, a medida carece de proporcionalidade, pois os impactos negativos sobre a integridade do sistema atuarial superam eventuais ganhos ambientais, dada a baixa participação dos sujeitos atingidos no dano ambiental que se pretende combater.</w:t>
      </w:r>
    </w:p>
    <w:p w14:paraId="06B4B9ED" w14:textId="77777777" w:rsidR="00A06131" w:rsidRPr="00A06131" w:rsidRDefault="00A06131" w:rsidP="00A06131">
      <w:pPr>
        <w:tabs>
          <w:tab w:val="left" w:pos="2132"/>
        </w:tabs>
        <w:spacing w:line="360" w:lineRule="auto"/>
        <w:ind w:firstLine="708"/>
        <w:rPr>
          <w:sz w:val="24"/>
          <w:szCs w:val="24"/>
          <w:lang w:eastAsia="en-US"/>
        </w:rPr>
      </w:pPr>
      <w:r w:rsidRPr="00A06131">
        <w:rPr>
          <w:sz w:val="24"/>
          <w:szCs w:val="24"/>
          <w:lang w:eastAsia="en-US"/>
        </w:rPr>
        <w:lastRenderedPageBreak/>
        <w:t xml:space="preserve">Por fim, a ausência de </w:t>
      </w:r>
      <w:r w:rsidRPr="00A06131">
        <w:rPr>
          <w:i/>
          <w:iCs/>
          <w:sz w:val="24"/>
          <w:szCs w:val="24"/>
          <w:lang w:eastAsia="en-US"/>
        </w:rPr>
        <w:t>vacatio legis</w:t>
      </w:r>
      <w:r w:rsidRPr="00A06131">
        <w:rPr>
          <w:sz w:val="24"/>
          <w:szCs w:val="24"/>
          <w:lang w:eastAsia="en-US"/>
        </w:rPr>
        <w:t xml:space="preserve"> ou de um período razoável de adaptação para a nova regra de alocação de recursos, instituída de forma abrupta e em cenário de incerteza e volatilidade do mercado de carbono, viola o princípio da segurança jurídica e a proteção da confiança legítima.</w:t>
      </w:r>
    </w:p>
    <w:p w14:paraId="5E4D71AB" w14:textId="03DA3C14" w:rsidR="00A06131" w:rsidRPr="00A06131" w:rsidRDefault="00A06131" w:rsidP="00A06131">
      <w:pPr>
        <w:spacing w:line="360" w:lineRule="auto"/>
        <w:ind w:firstLine="708"/>
        <w:rPr>
          <w:sz w:val="24"/>
          <w:szCs w:val="24"/>
          <w:lang w:eastAsia="en-US"/>
        </w:rPr>
      </w:pPr>
      <w:r w:rsidRPr="00A06131">
        <w:rPr>
          <w:sz w:val="24"/>
          <w:szCs w:val="24"/>
          <w:lang w:eastAsia="en-US"/>
        </w:rPr>
        <w:t xml:space="preserve">Com base nesses e em outros entendimentos, o Plenário, </w:t>
      </w:r>
      <w:r w:rsidRPr="00A06131">
        <w:rPr>
          <w:bCs/>
          <w:sz w:val="24"/>
          <w:szCs w:val="24"/>
          <w:lang w:eastAsia="en-US"/>
        </w:rPr>
        <w:t xml:space="preserve">por unanimidade, julgou procedente a ação para declarar inconstitucional o </w:t>
      </w:r>
      <w:hyperlink r:id="rId56" w:anchor=":~:text=..............................................................................................................%E2%80%9D%20(NR)-,Art.%2056.,-Em%20atendimento%20ao" w:history="1">
        <w:r w:rsidRPr="00A06131">
          <w:rPr>
            <w:bCs/>
            <w:color w:val="0000FF"/>
            <w:sz w:val="24"/>
            <w:szCs w:val="24"/>
            <w:u w:val="single"/>
            <w:lang w:eastAsia="en-US"/>
          </w:rPr>
          <w:t xml:space="preserve">art. 56, </w:t>
        </w:r>
        <w:r w:rsidRPr="00A06131">
          <w:rPr>
            <w:bCs/>
            <w:i/>
            <w:iCs/>
            <w:color w:val="0000FF"/>
            <w:sz w:val="24"/>
            <w:szCs w:val="24"/>
            <w:u w:val="single"/>
            <w:lang w:eastAsia="en-US"/>
          </w:rPr>
          <w:t>caput</w:t>
        </w:r>
        <w:r w:rsidRPr="00A06131">
          <w:rPr>
            <w:bCs/>
            <w:color w:val="0000FF"/>
            <w:sz w:val="24"/>
            <w:szCs w:val="24"/>
            <w:u w:val="single"/>
            <w:lang w:eastAsia="en-US"/>
          </w:rPr>
          <w:t xml:space="preserve"> e</w:t>
        </w:r>
        <w:r w:rsidRPr="00A06131">
          <w:rPr>
            <w:bCs/>
            <w:color w:val="0000FF"/>
            <w:sz w:val="24"/>
            <w:szCs w:val="24"/>
            <w:u w:val="single"/>
            <w:lang w:eastAsia="en-US"/>
          </w:rPr>
          <w:t xml:space="preserve"> </w:t>
        </w:r>
        <w:r w:rsidRPr="00A06131">
          <w:rPr>
            <w:bCs/>
            <w:color w:val="0000FF"/>
            <w:sz w:val="24"/>
            <w:szCs w:val="24"/>
            <w:u w:val="single"/>
            <w:lang w:eastAsia="en-US"/>
          </w:rPr>
          <w:t>p</w:t>
        </w:r>
        <w:r w:rsidRPr="00A06131">
          <w:rPr>
            <w:bCs/>
            <w:color w:val="0000FF"/>
            <w:sz w:val="24"/>
            <w:szCs w:val="24"/>
            <w:u w:val="single"/>
            <w:lang w:eastAsia="en-US"/>
          </w:rPr>
          <w:t>arágrafo único, da Lei nº 15.042/2024</w:t>
        </w:r>
      </w:hyperlink>
      <w:r w:rsidRPr="00A06131">
        <w:rPr>
          <w:bCs/>
          <w:sz w:val="24"/>
          <w:szCs w:val="24"/>
          <w:lang w:eastAsia="en-US"/>
        </w:rPr>
        <w:t xml:space="preserve"> (3), tanto em sua redação original quanto na redação dada pela </w:t>
      </w:r>
      <w:hyperlink r:id="rId57" w:anchor="art1" w:history="1">
        <w:r w:rsidRPr="00A06131">
          <w:rPr>
            <w:bCs/>
            <w:color w:val="0000FF"/>
            <w:sz w:val="24"/>
            <w:szCs w:val="24"/>
            <w:u w:val="single"/>
            <w:lang w:eastAsia="en-US"/>
          </w:rPr>
          <w:t>Lei nº 15</w:t>
        </w:r>
        <w:r w:rsidRPr="00A06131">
          <w:rPr>
            <w:bCs/>
            <w:color w:val="0000FF"/>
            <w:sz w:val="24"/>
            <w:szCs w:val="24"/>
            <w:u w:val="single"/>
            <w:lang w:eastAsia="en-US"/>
          </w:rPr>
          <w:t>.</w:t>
        </w:r>
        <w:r w:rsidRPr="00A06131">
          <w:rPr>
            <w:bCs/>
            <w:color w:val="0000FF"/>
            <w:sz w:val="24"/>
            <w:szCs w:val="24"/>
            <w:u w:val="single"/>
            <w:lang w:eastAsia="en-US"/>
          </w:rPr>
          <w:t>0</w:t>
        </w:r>
        <w:r w:rsidRPr="00A06131">
          <w:rPr>
            <w:bCs/>
            <w:color w:val="0000FF"/>
            <w:sz w:val="24"/>
            <w:szCs w:val="24"/>
            <w:u w:val="single"/>
            <w:lang w:eastAsia="en-US"/>
          </w:rPr>
          <w:t>7</w:t>
        </w:r>
        <w:r w:rsidRPr="00A06131">
          <w:rPr>
            <w:bCs/>
            <w:color w:val="0000FF"/>
            <w:sz w:val="24"/>
            <w:szCs w:val="24"/>
            <w:u w:val="single"/>
            <w:lang w:eastAsia="en-US"/>
          </w:rPr>
          <w:t>6</w:t>
        </w:r>
        <w:r w:rsidRPr="00A06131">
          <w:rPr>
            <w:bCs/>
            <w:color w:val="0000FF"/>
            <w:sz w:val="24"/>
            <w:szCs w:val="24"/>
            <w:u w:val="single"/>
            <w:lang w:eastAsia="en-US"/>
          </w:rPr>
          <w:t>/</w:t>
        </w:r>
        <w:r w:rsidRPr="00A06131">
          <w:rPr>
            <w:bCs/>
            <w:color w:val="0000FF"/>
            <w:sz w:val="24"/>
            <w:szCs w:val="24"/>
            <w:u w:val="single"/>
            <w:lang w:eastAsia="en-US"/>
          </w:rPr>
          <w:t>2024</w:t>
        </w:r>
      </w:hyperlink>
      <w:r w:rsidRPr="00A06131">
        <w:rPr>
          <w:bCs/>
          <w:sz w:val="24"/>
          <w:szCs w:val="24"/>
          <w:lang w:eastAsia="en-US"/>
        </w:rPr>
        <w:t xml:space="preserve"> (4).</w:t>
      </w:r>
    </w:p>
    <w:p w14:paraId="5C0E8C47" w14:textId="77777777" w:rsidR="00A06131" w:rsidRPr="00A06131" w:rsidRDefault="00A06131" w:rsidP="00A06131">
      <w:pPr>
        <w:spacing w:line="360" w:lineRule="auto"/>
        <w:ind w:firstLine="708"/>
        <w:rPr>
          <w:sz w:val="24"/>
          <w:szCs w:val="24"/>
          <w:lang w:eastAsia="en-US"/>
        </w:rPr>
      </w:pPr>
    </w:p>
    <w:p w14:paraId="352873DC" w14:textId="77777777" w:rsidR="00A06131" w:rsidRPr="00A06131" w:rsidRDefault="00A06131" w:rsidP="00A06131">
      <w:pPr>
        <w:spacing w:after="120"/>
        <w:ind w:firstLine="709"/>
        <w:rPr>
          <w:rFonts w:ascii="Arial" w:hAnsi="Arial" w:cs="Arial"/>
          <w:sz w:val="20"/>
          <w:szCs w:val="20"/>
          <w:lang w:eastAsia="en-US"/>
        </w:rPr>
      </w:pPr>
      <w:r w:rsidRPr="00A06131">
        <w:rPr>
          <w:rFonts w:ascii="Arial" w:hAnsi="Arial" w:cs="Arial"/>
          <w:sz w:val="20"/>
          <w:szCs w:val="20"/>
        </w:rPr>
        <w:t xml:space="preserve">(1) Precedente citado: </w:t>
      </w:r>
      <w:hyperlink r:id="rId58" w:history="1">
        <w:r w:rsidRPr="00A06131">
          <w:rPr>
            <w:rFonts w:ascii="Arial" w:hAnsi="Arial" w:cs="Arial"/>
            <w:color w:val="0000FF"/>
            <w:sz w:val="20"/>
            <w:szCs w:val="20"/>
            <w:u w:val="single"/>
          </w:rPr>
          <w:t>ADI 7.596</w:t>
        </w:r>
      </w:hyperlink>
      <w:r w:rsidRPr="00A06131">
        <w:rPr>
          <w:rFonts w:ascii="Arial" w:hAnsi="Arial" w:cs="Arial"/>
          <w:sz w:val="20"/>
          <w:szCs w:val="20"/>
        </w:rPr>
        <w:t>.</w:t>
      </w:r>
    </w:p>
    <w:p w14:paraId="6BF18042" w14:textId="77777777" w:rsidR="00A06131" w:rsidRPr="00A06131" w:rsidRDefault="00A06131" w:rsidP="00A06131">
      <w:pPr>
        <w:spacing w:after="120"/>
        <w:ind w:firstLine="709"/>
        <w:rPr>
          <w:rFonts w:ascii="Arial" w:hAnsi="Arial" w:cs="Arial"/>
          <w:sz w:val="20"/>
          <w:szCs w:val="20"/>
          <w:lang w:eastAsia="en-US"/>
        </w:rPr>
      </w:pPr>
      <w:r w:rsidRPr="00A06131">
        <w:rPr>
          <w:rFonts w:ascii="Arial" w:hAnsi="Arial" w:cs="Arial"/>
          <w:sz w:val="20"/>
          <w:szCs w:val="20"/>
          <w:lang w:eastAsia="en-US"/>
        </w:rPr>
        <w:t xml:space="preserve">(2) Precedentes citados: </w:t>
      </w:r>
      <w:hyperlink r:id="rId59" w:history="1">
        <w:r w:rsidRPr="00A06131">
          <w:rPr>
            <w:rFonts w:ascii="Arial" w:hAnsi="Arial" w:cs="Arial"/>
            <w:color w:val="0000FF"/>
            <w:sz w:val="20"/>
            <w:szCs w:val="20"/>
            <w:u w:val="single"/>
            <w:lang w:eastAsia="en-US"/>
          </w:rPr>
          <w:t>RE 1.054.110</w:t>
        </w:r>
      </w:hyperlink>
      <w:r w:rsidRPr="00A06131">
        <w:rPr>
          <w:rFonts w:ascii="Arial" w:hAnsi="Arial" w:cs="Arial"/>
          <w:sz w:val="20"/>
          <w:szCs w:val="20"/>
          <w:lang w:eastAsia="en-US"/>
        </w:rPr>
        <w:t xml:space="preserve"> (</w:t>
      </w:r>
      <w:hyperlink r:id="rId60" w:history="1">
        <w:r w:rsidRPr="00A06131">
          <w:rPr>
            <w:rFonts w:ascii="Arial" w:hAnsi="Arial" w:cs="Arial"/>
            <w:color w:val="0000FF"/>
            <w:sz w:val="20"/>
            <w:szCs w:val="20"/>
            <w:u w:val="single"/>
            <w:lang w:eastAsia="en-US"/>
          </w:rPr>
          <w:t>Tema 967 RG</w:t>
        </w:r>
      </w:hyperlink>
      <w:r w:rsidRPr="00A06131">
        <w:rPr>
          <w:rFonts w:ascii="Arial" w:hAnsi="Arial" w:cs="Arial"/>
          <w:sz w:val="20"/>
          <w:szCs w:val="20"/>
          <w:lang w:eastAsia="en-US"/>
        </w:rPr>
        <w:t xml:space="preserve">) e </w:t>
      </w:r>
      <w:hyperlink r:id="rId61" w:history="1">
        <w:r w:rsidRPr="00A06131">
          <w:rPr>
            <w:rFonts w:ascii="Arial" w:hAnsi="Arial" w:cs="Arial"/>
            <w:color w:val="0000FF"/>
            <w:sz w:val="20"/>
            <w:szCs w:val="20"/>
            <w:u w:val="single"/>
            <w:lang w:eastAsia="en-US"/>
          </w:rPr>
          <w:t>RE 635.546</w:t>
        </w:r>
      </w:hyperlink>
      <w:r w:rsidRPr="00A06131">
        <w:rPr>
          <w:rFonts w:ascii="Arial" w:hAnsi="Arial" w:cs="Arial"/>
          <w:sz w:val="20"/>
          <w:szCs w:val="20"/>
          <w:lang w:eastAsia="en-US"/>
        </w:rPr>
        <w:t xml:space="preserve"> (</w:t>
      </w:r>
      <w:hyperlink r:id="rId62" w:history="1">
        <w:r w:rsidRPr="00A06131">
          <w:rPr>
            <w:rFonts w:ascii="Arial" w:hAnsi="Arial" w:cs="Arial"/>
            <w:color w:val="0000FF"/>
            <w:sz w:val="20"/>
            <w:szCs w:val="20"/>
            <w:u w:val="single"/>
            <w:lang w:eastAsia="en-US"/>
          </w:rPr>
          <w:t>Tema 383 RG</w:t>
        </w:r>
      </w:hyperlink>
      <w:r w:rsidRPr="00A06131">
        <w:rPr>
          <w:rFonts w:ascii="Arial" w:hAnsi="Arial" w:cs="Arial"/>
          <w:sz w:val="20"/>
          <w:szCs w:val="20"/>
          <w:lang w:eastAsia="en-US"/>
        </w:rPr>
        <w:t>).</w:t>
      </w:r>
    </w:p>
    <w:p w14:paraId="2AD24CCE" w14:textId="77777777" w:rsidR="00A06131" w:rsidRPr="00A06131" w:rsidRDefault="00A06131" w:rsidP="00A06131">
      <w:pPr>
        <w:spacing w:after="120"/>
        <w:ind w:firstLine="709"/>
        <w:rPr>
          <w:rFonts w:ascii="Arial" w:hAnsi="Arial" w:cs="Arial"/>
          <w:bCs/>
          <w:sz w:val="20"/>
          <w:szCs w:val="20"/>
          <w:lang w:eastAsia="en-US"/>
        </w:rPr>
      </w:pPr>
      <w:r w:rsidRPr="00A06131">
        <w:rPr>
          <w:rFonts w:ascii="Arial" w:hAnsi="Arial" w:cs="Arial"/>
          <w:sz w:val="20"/>
          <w:szCs w:val="20"/>
          <w:lang w:eastAsia="en-US"/>
        </w:rPr>
        <w:t xml:space="preserve">(3) </w:t>
      </w:r>
      <w:hyperlink r:id="rId63" w:anchor=":~:text=..............................................................................................................%E2%80%9D%20(NR)-,Art.%2056.,-Em%20atendimento%20ao" w:history="1">
        <w:r w:rsidRPr="00A06131">
          <w:rPr>
            <w:rFonts w:ascii="Arial" w:hAnsi="Arial" w:cs="Arial"/>
            <w:bCs/>
            <w:color w:val="0000FF"/>
            <w:sz w:val="20"/>
            <w:szCs w:val="20"/>
            <w:u w:val="single"/>
            <w:lang w:eastAsia="en-US"/>
          </w:rPr>
          <w:t>Lei nº 15</w:t>
        </w:r>
        <w:r w:rsidRPr="00A06131">
          <w:rPr>
            <w:rFonts w:ascii="Arial" w:hAnsi="Arial" w:cs="Arial"/>
            <w:bCs/>
            <w:color w:val="0000FF"/>
            <w:sz w:val="20"/>
            <w:szCs w:val="20"/>
            <w:u w:val="single"/>
            <w:lang w:eastAsia="en-US"/>
          </w:rPr>
          <w:t>.</w:t>
        </w:r>
        <w:r w:rsidRPr="00A06131">
          <w:rPr>
            <w:rFonts w:ascii="Arial" w:hAnsi="Arial" w:cs="Arial"/>
            <w:bCs/>
            <w:color w:val="0000FF"/>
            <w:sz w:val="20"/>
            <w:szCs w:val="20"/>
            <w:u w:val="single"/>
            <w:lang w:eastAsia="en-US"/>
          </w:rPr>
          <w:t>042/2024</w:t>
        </w:r>
      </w:hyperlink>
      <w:r w:rsidRPr="00A06131">
        <w:rPr>
          <w:rFonts w:ascii="Arial" w:hAnsi="Arial" w:cs="Arial"/>
          <w:bCs/>
          <w:sz w:val="20"/>
          <w:szCs w:val="20"/>
          <w:lang w:eastAsia="en-US"/>
        </w:rPr>
        <w:t>: “Art. 56. Em atendimento ao disposto no art. 84 do Decreto-Lei nº 73, de 21 de novembro de 1966, as sociedades seguradoras, entidades abertas de previdência complementar, sociedades de capitalização e resseguradores locais deverão, para cumprimento das diretrizes previstas no inciso V do </w:t>
      </w:r>
      <w:r w:rsidRPr="00A06131">
        <w:rPr>
          <w:rFonts w:ascii="Arial" w:hAnsi="Arial" w:cs="Arial"/>
          <w:bCs/>
          <w:i/>
          <w:iCs/>
          <w:sz w:val="20"/>
          <w:szCs w:val="20"/>
          <w:lang w:eastAsia="en-US"/>
        </w:rPr>
        <w:t>caput</w:t>
      </w:r>
      <w:r w:rsidRPr="00A06131">
        <w:rPr>
          <w:rFonts w:ascii="Arial" w:hAnsi="Arial" w:cs="Arial"/>
          <w:bCs/>
          <w:sz w:val="20"/>
          <w:szCs w:val="20"/>
          <w:lang w:eastAsia="en-US"/>
        </w:rPr>
        <w:t> do art. 2º do regulamento anexo à Resolução do Conselho Monetário Nacional nº 4.993, de 24 de março de 2022, e na modalidade referida no inciso V do </w:t>
      </w:r>
      <w:r w:rsidRPr="00A06131">
        <w:rPr>
          <w:rFonts w:ascii="Arial" w:hAnsi="Arial" w:cs="Arial"/>
          <w:bCs/>
          <w:i/>
          <w:iCs/>
          <w:sz w:val="20"/>
          <w:szCs w:val="20"/>
          <w:lang w:eastAsia="en-US"/>
        </w:rPr>
        <w:t>caput</w:t>
      </w:r>
      <w:r w:rsidRPr="00A06131">
        <w:rPr>
          <w:rFonts w:ascii="Arial" w:hAnsi="Arial" w:cs="Arial"/>
          <w:bCs/>
          <w:sz w:val="20"/>
          <w:szCs w:val="20"/>
          <w:lang w:eastAsia="en-US"/>
        </w:rPr>
        <w:t> do art. 7º do mesmo regulamento, adquirir, até o limite previsto na mencionada Resolução ou em norma que vier a substituí-la, mas observado o mínimo de 1% (um por cento) ao ano dos recursos de suas reservas técnicas e das provisões, os ativos ambientais previstos no inciso VII do </w:t>
      </w:r>
      <w:r w:rsidRPr="00A06131">
        <w:rPr>
          <w:rFonts w:ascii="Arial" w:hAnsi="Arial" w:cs="Arial"/>
          <w:bCs/>
          <w:i/>
          <w:iCs/>
          <w:sz w:val="20"/>
          <w:szCs w:val="20"/>
          <w:lang w:eastAsia="en-US"/>
        </w:rPr>
        <w:t>caput</w:t>
      </w:r>
      <w:r w:rsidRPr="00A06131">
        <w:rPr>
          <w:rFonts w:ascii="Arial" w:hAnsi="Arial" w:cs="Arial"/>
          <w:bCs/>
          <w:sz w:val="20"/>
          <w:szCs w:val="20"/>
          <w:lang w:eastAsia="en-US"/>
        </w:rPr>
        <w:t> do art. 2º desta Lei ou cotas de fundos de investimentos em ativos ambientais. Parágrafo único. As sociedades seguradoras e demais entidades a que se refere este artigo deverão cumprir todas as obrigações previstas no </w:t>
      </w:r>
      <w:r w:rsidRPr="00A06131">
        <w:rPr>
          <w:rFonts w:ascii="Arial" w:hAnsi="Arial" w:cs="Arial"/>
          <w:bCs/>
          <w:i/>
          <w:iCs/>
          <w:sz w:val="20"/>
          <w:szCs w:val="20"/>
          <w:lang w:eastAsia="en-US"/>
        </w:rPr>
        <w:t>caput</w:t>
      </w:r>
      <w:r w:rsidRPr="00A06131">
        <w:rPr>
          <w:rFonts w:ascii="Arial" w:hAnsi="Arial" w:cs="Arial"/>
          <w:bCs/>
          <w:sz w:val="20"/>
          <w:szCs w:val="20"/>
          <w:lang w:eastAsia="en-US"/>
        </w:rPr>
        <w:t> a partir do ano de entrada em vigor desta Lei.”</w:t>
      </w:r>
    </w:p>
    <w:p w14:paraId="60D932CE" w14:textId="3567B476" w:rsidR="00A06131" w:rsidRPr="00A06131" w:rsidRDefault="00A06131" w:rsidP="00E85113">
      <w:pPr>
        <w:ind w:firstLine="709"/>
        <w:rPr>
          <w:rFonts w:ascii="Arial" w:hAnsi="Arial" w:cs="Arial"/>
          <w:sz w:val="20"/>
          <w:szCs w:val="20"/>
          <w:lang w:eastAsia="en-US"/>
        </w:rPr>
      </w:pPr>
      <w:r w:rsidRPr="00A06131">
        <w:rPr>
          <w:rFonts w:ascii="Arial" w:hAnsi="Arial" w:cs="Arial"/>
          <w:bCs/>
          <w:sz w:val="20"/>
          <w:szCs w:val="20"/>
          <w:lang w:eastAsia="en-US"/>
        </w:rPr>
        <w:t xml:space="preserve">(4) </w:t>
      </w:r>
      <w:hyperlink r:id="rId64" w:anchor="art1" w:history="1">
        <w:r w:rsidRPr="00A06131">
          <w:rPr>
            <w:rFonts w:ascii="Arial" w:hAnsi="Arial" w:cs="Arial"/>
            <w:bCs/>
            <w:color w:val="0000FF"/>
            <w:sz w:val="20"/>
            <w:szCs w:val="20"/>
            <w:u w:val="single"/>
            <w:lang w:eastAsia="en-US"/>
          </w:rPr>
          <w:t>Lei nº 15.</w:t>
        </w:r>
        <w:r w:rsidRPr="00A06131">
          <w:rPr>
            <w:rFonts w:ascii="Arial" w:hAnsi="Arial" w:cs="Arial"/>
            <w:bCs/>
            <w:color w:val="0000FF"/>
            <w:sz w:val="20"/>
            <w:szCs w:val="20"/>
            <w:u w:val="single"/>
            <w:lang w:eastAsia="en-US"/>
          </w:rPr>
          <w:t>0</w:t>
        </w:r>
        <w:r w:rsidRPr="00A06131">
          <w:rPr>
            <w:rFonts w:ascii="Arial" w:hAnsi="Arial" w:cs="Arial"/>
            <w:bCs/>
            <w:color w:val="0000FF"/>
            <w:sz w:val="20"/>
            <w:szCs w:val="20"/>
            <w:u w:val="single"/>
            <w:lang w:eastAsia="en-US"/>
          </w:rPr>
          <w:t>7</w:t>
        </w:r>
        <w:r w:rsidRPr="00A06131">
          <w:rPr>
            <w:rFonts w:ascii="Arial" w:hAnsi="Arial" w:cs="Arial"/>
            <w:bCs/>
            <w:color w:val="0000FF"/>
            <w:sz w:val="20"/>
            <w:szCs w:val="20"/>
            <w:u w:val="single"/>
            <w:lang w:eastAsia="en-US"/>
          </w:rPr>
          <w:t>6</w:t>
        </w:r>
        <w:r w:rsidRPr="00A06131">
          <w:rPr>
            <w:rFonts w:ascii="Arial" w:hAnsi="Arial" w:cs="Arial"/>
            <w:bCs/>
            <w:color w:val="0000FF"/>
            <w:sz w:val="20"/>
            <w:szCs w:val="20"/>
            <w:u w:val="single"/>
            <w:lang w:eastAsia="en-US"/>
          </w:rPr>
          <w:t>/</w:t>
        </w:r>
        <w:r w:rsidRPr="00A06131">
          <w:rPr>
            <w:rFonts w:ascii="Arial" w:hAnsi="Arial" w:cs="Arial"/>
            <w:bCs/>
            <w:color w:val="0000FF"/>
            <w:sz w:val="20"/>
            <w:szCs w:val="20"/>
            <w:u w:val="single"/>
            <w:lang w:eastAsia="en-US"/>
          </w:rPr>
          <w:t>2024</w:t>
        </w:r>
      </w:hyperlink>
      <w:r w:rsidRPr="00A06131">
        <w:rPr>
          <w:rFonts w:ascii="Arial" w:hAnsi="Arial" w:cs="Arial"/>
          <w:bCs/>
          <w:sz w:val="20"/>
          <w:szCs w:val="20"/>
          <w:lang w:eastAsia="en-US"/>
        </w:rPr>
        <w:t>: “Art. 56. Em atendimento ao disposto no art. 84 do Decreto-Lei nº 73, de 21 de novembro de 1966, as sociedades seguradoras, as entidades abertas de previdência complementar, as sociedades de capitalização e os resseguradores locais deverão, para cumprimento das diretrizes previstas no inciso V do </w:t>
      </w:r>
      <w:r w:rsidRPr="00A06131">
        <w:rPr>
          <w:rFonts w:ascii="Arial" w:hAnsi="Arial" w:cs="Arial"/>
          <w:bCs/>
          <w:i/>
          <w:iCs/>
          <w:sz w:val="20"/>
          <w:szCs w:val="20"/>
          <w:lang w:eastAsia="en-US"/>
        </w:rPr>
        <w:t>caput</w:t>
      </w:r>
      <w:r w:rsidRPr="00A06131">
        <w:rPr>
          <w:rFonts w:ascii="Arial" w:hAnsi="Arial" w:cs="Arial"/>
          <w:bCs/>
          <w:sz w:val="20"/>
          <w:szCs w:val="20"/>
          <w:lang w:eastAsia="en-US"/>
        </w:rPr>
        <w:t> do art. 2º do regulamento anexo à Resolução do Conselho Monetário Nacional nº 4.993, de 24 de março de 2022, e na modalidade referida no inciso V do </w:t>
      </w:r>
      <w:r w:rsidRPr="00A06131">
        <w:rPr>
          <w:rFonts w:ascii="Arial" w:hAnsi="Arial" w:cs="Arial"/>
          <w:bCs/>
          <w:i/>
          <w:iCs/>
          <w:sz w:val="20"/>
          <w:szCs w:val="20"/>
          <w:lang w:eastAsia="en-US"/>
        </w:rPr>
        <w:t>caput</w:t>
      </w:r>
      <w:r w:rsidRPr="00A06131">
        <w:rPr>
          <w:rFonts w:ascii="Arial" w:hAnsi="Arial" w:cs="Arial"/>
          <w:bCs/>
          <w:sz w:val="20"/>
          <w:szCs w:val="20"/>
          <w:lang w:eastAsia="en-US"/>
        </w:rPr>
        <w:t> do art. 7º do mesmo regulamento, adquirir, até o limite previsto na mencionada Resolução ou em norma que vier a substituí-la, mas observado o mínimo de 0,5% (meio por cento) ao ano dos recursos de suas reservas técnicas e das provisões, os ativos ambientais previstos no inciso VII do </w:t>
      </w:r>
      <w:r w:rsidRPr="00A06131">
        <w:rPr>
          <w:rFonts w:ascii="Arial" w:hAnsi="Arial" w:cs="Arial"/>
          <w:bCs/>
          <w:i/>
          <w:iCs/>
          <w:sz w:val="20"/>
          <w:szCs w:val="20"/>
          <w:lang w:eastAsia="en-US"/>
        </w:rPr>
        <w:t>caput</w:t>
      </w:r>
      <w:r w:rsidRPr="00A06131">
        <w:rPr>
          <w:rFonts w:ascii="Arial" w:hAnsi="Arial" w:cs="Arial"/>
          <w:bCs/>
          <w:sz w:val="20"/>
          <w:szCs w:val="20"/>
          <w:lang w:eastAsia="en-US"/>
        </w:rPr>
        <w:t> do art. 2º desta Lei ou cotas de fundos de investimentos dos referidos ativos ambientais. (Redação dada pela Lei nº 15.076, de 2024)</w:t>
      </w:r>
      <w:bookmarkStart w:id="11" w:name="art56p"/>
      <w:bookmarkEnd w:id="11"/>
      <w:r w:rsidRPr="00A06131">
        <w:rPr>
          <w:rFonts w:ascii="Arial" w:hAnsi="Arial" w:cs="Arial"/>
          <w:bCs/>
          <w:sz w:val="20"/>
          <w:szCs w:val="20"/>
          <w:lang w:eastAsia="en-US"/>
        </w:rPr>
        <w:t xml:space="preserve"> Parágrafo único. As sociedades seguradoras e demais entidades a que se refere o </w:t>
      </w:r>
      <w:r w:rsidRPr="00A06131">
        <w:rPr>
          <w:rFonts w:ascii="Arial" w:hAnsi="Arial" w:cs="Arial"/>
          <w:bCs/>
          <w:i/>
          <w:iCs/>
          <w:sz w:val="20"/>
          <w:szCs w:val="20"/>
          <w:lang w:eastAsia="en-US"/>
        </w:rPr>
        <w:t>caput</w:t>
      </w:r>
      <w:r w:rsidRPr="00A06131">
        <w:rPr>
          <w:rFonts w:ascii="Arial" w:hAnsi="Arial" w:cs="Arial"/>
          <w:bCs/>
          <w:sz w:val="20"/>
          <w:szCs w:val="20"/>
          <w:lang w:eastAsia="en-US"/>
        </w:rPr>
        <w:t> deste artigo deverão cumprir todas as obrigações previstas em lei e nas demais normas aplicáveis. (Redação dada pela Lei nº 15.076, de 2024)”</w:t>
      </w:r>
    </w:p>
    <w:p w14:paraId="077EFCFB" w14:textId="77777777" w:rsidR="00A06131" w:rsidRPr="00A06131" w:rsidRDefault="00A06131" w:rsidP="00A06131">
      <w:pPr>
        <w:spacing w:after="120"/>
        <w:ind w:firstLine="708"/>
        <w:rPr>
          <w:rFonts w:ascii="Arial" w:hAnsi="Arial" w:cs="Arial"/>
          <w:sz w:val="20"/>
          <w:szCs w:val="20"/>
          <w:lang w:eastAsia="en-US"/>
        </w:rPr>
      </w:pPr>
    </w:p>
    <w:bookmarkEnd w:id="10"/>
    <w:p w14:paraId="2DBBCB21" w14:textId="7C534B9A" w:rsidR="00A06131" w:rsidRPr="00A06131" w:rsidRDefault="00A06131" w:rsidP="00A06131">
      <w:pPr>
        <w:spacing w:line="360" w:lineRule="auto"/>
        <w:rPr>
          <w:sz w:val="24"/>
          <w:szCs w:val="24"/>
          <w:lang w:eastAsia="en-US"/>
        </w:rPr>
      </w:pPr>
      <w:r w:rsidRPr="00A06131">
        <w:rPr>
          <w:sz w:val="24"/>
          <w:szCs w:val="24"/>
          <w:lang w:eastAsia="en-US"/>
        </w:rPr>
        <w:fldChar w:fldCharType="begin"/>
      </w:r>
      <w:r w:rsidRPr="00A06131">
        <w:rPr>
          <w:sz w:val="24"/>
          <w:szCs w:val="24"/>
          <w:lang w:eastAsia="en-US"/>
        </w:rPr>
        <w:instrText>HYPERLINK "https://portal.stf.jus.br/processos/detalhe.asp?incidente=7195552"</w:instrText>
      </w:r>
      <w:r w:rsidRPr="00A06131">
        <w:rPr>
          <w:sz w:val="24"/>
          <w:szCs w:val="24"/>
          <w:lang w:eastAsia="en-US"/>
        </w:rPr>
      </w:r>
      <w:r w:rsidRPr="00A06131">
        <w:rPr>
          <w:sz w:val="24"/>
          <w:szCs w:val="24"/>
          <w:lang w:eastAsia="en-US"/>
        </w:rPr>
        <w:fldChar w:fldCharType="separate"/>
      </w:r>
      <w:r w:rsidRPr="00A06131">
        <w:rPr>
          <w:color w:val="0000FF"/>
          <w:sz w:val="24"/>
          <w:szCs w:val="24"/>
          <w:u w:val="single"/>
          <w:lang w:eastAsia="en-US"/>
        </w:rPr>
        <w:t>ADI 7.795/DF, relator Ministro Flávio Dino, julgamento virtual finalizado em 29.</w:t>
      </w:r>
      <w:r w:rsidR="00726C32">
        <w:rPr>
          <w:color w:val="0000FF"/>
          <w:sz w:val="24"/>
          <w:szCs w:val="24"/>
          <w:u w:val="single"/>
          <w:lang w:eastAsia="en-US"/>
        </w:rPr>
        <w:t>0</w:t>
      </w:r>
      <w:r w:rsidRPr="00A06131">
        <w:rPr>
          <w:color w:val="0000FF"/>
          <w:sz w:val="24"/>
          <w:szCs w:val="24"/>
          <w:u w:val="single"/>
          <w:lang w:eastAsia="en-US"/>
        </w:rPr>
        <w:t>5.2026 (sexta-feira), às 23:59</w:t>
      </w:r>
      <w:r w:rsidRPr="00A06131">
        <w:rPr>
          <w:sz w:val="24"/>
          <w:szCs w:val="24"/>
          <w:lang w:eastAsia="en-US"/>
        </w:rPr>
        <w:fldChar w:fldCharType="end"/>
      </w:r>
    </w:p>
    <w:p w14:paraId="6689DD00" w14:textId="77777777" w:rsidR="00A06131" w:rsidRDefault="00A06131" w:rsidP="00D64CF8">
      <w:pPr>
        <w:rPr>
          <w:sz w:val="24"/>
          <w:szCs w:val="24"/>
          <w:lang w:eastAsia="en-US"/>
        </w:rPr>
      </w:pPr>
    </w:p>
    <w:p w14:paraId="50927309" w14:textId="77777777" w:rsidR="00A06131" w:rsidRDefault="00A06131" w:rsidP="00A06131">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B075345" w14:textId="77777777" w:rsidR="00A06131" w:rsidRDefault="00A06131" w:rsidP="00D64CF8">
      <w:pPr>
        <w:rPr>
          <w:sz w:val="24"/>
          <w:szCs w:val="24"/>
          <w:lang w:eastAsia="en-US"/>
        </w:rPr>
      </w:pPr>
    </w:p>
    <w:p w14:paraId="4B353322" w14:textId="419E9001" w:rsidR="00D64CF8" w:rsidRPr="00102510" w:rsidRDefault="00D64CF8" w:rsidP="00D64CF8">
      <w:pPr>
        <w:rPr>
          <w:sz w:val="24"/>
          <w:szCs w:val="24"/>
          <w:lang w:eastAsia="en-US"/>
        </w:rPr>
      </w:pPr>
      <w:r w:rsidRPr="00966E23">
        <w:rPr>
          <w:sz w:val="24"/>
          <w:szCs w:val="24"/>
          <w:lang w:eastAsia="en-US"/>
        </w:rPr>
        <w:t xml:space="preserve">DIREITO CONSTITUCIONAL </w:t>
      </w:r>
      <w:r>
        <w:rPr>
          <w:sz w:val="24"/>
          <w:szCs w:val="24"/>
          <w:lang w:eastAsia="en-US"/>
        </w:rPr>
        <w:t>–</w:t>
      </w:r>
      <w:r w:rsidRPr="00966E23">
        <w:rPr>
          <w:sz w:val="24"/>
          <w:szCs w:val="24"/>
          <w:lang w:eastAsia="en-US"/>
        </w:rPr>
        <w:t xml:space="preserve"> </w:t>
      </w:r>
      <w:r w:rsidRPr="00C17806">
        <w:rPr>
          <w:sz w:val="24"/>
          <w:szCs w:val="24"/>
          <w:lang w:eastAsia="en-US"/>
        </w:rPr>
        <w:t>PREVIDÊNCIA E ASSISTÊNCIA SOCIAL; MEDIDA PROTETIVA; AFASTAMENTO DO TRABALHO; VIOLÊNCIA DOMÉSTICA; PRESTAÇÃO PECUNIÁRIA; ÔNUS REMUNERATÓRIO</w:t>
      </w:r>
      <w:r>
        <w:rPr>
          <w:sz w:val="24"/>
          <w:szCs w:val="24"/>
          <w:lang w:eastAsia="en-US"/>
        </w:rPr>
        <w:t xml:space="preserve"> DE BENEFÍCIOS ASSISTENCIAIS EVENTUAIS; INCIDÊNCIA TRIBUTÁRIA</w:t>
      </w:r>
    </w:p>
    <w:p w14:paraId="52F78B06" w14:textId="77777777" w:rsidR="00D64CF8" w:rsidRPr="004443EC" w:rsidRDefault="00D64CF8" w:rsidP="00D64CF8">
      <w:pPr>
        <w:rPr>
          <w:b/>
          <w:bCs/>
          <w:sz w:val="24"/>
          <w:szCs w:val="24"/>
          <w:highlight w:val="yellow"/>
          <w:lang w:eastAsia="en-US"/>
        </w:rPr>
      </w:pPr>
    </w:p>
    <w:p w14:paraId="7D9D3FB1" w14:textId="2E0FC3F6" w:rsidR="00D64CF8" w:rsidRPr="00A03B39" w:rsidRDefault="00D64CF8" w:rsidP="00D64CF8">
      <w:pPr>
        <w:autoSpaceDE w:val="0"/>
        <w:autoSpaceDN w:val="0"/>
        <w:adjustRightInd w:val="0"/>
        <w:rPr>
          <w:sz w:val="24"/>
          <w:szCs w:val="24"/>
          <w:lang w:eastAsia="en-US"/>
        </w:rPr>
      </w:pPr>
      <w:bookmarkStart w:id="12" w:name="Restrição"/>
      <w:bookmarkEnd w:id="12"/>
      <w:r>
        <w:rPr>
          <w:b/>
          <w:bCs/>
          <w:i/>
          <w:iCs/>
          <w:sz w:val="24"/>
          <w:szCs w:val="24"/>
          <w:lang w:eastAsia="en-US"/>
        </w:rPr>
        <w:t xml:space="preserve">Esclarecimentos sobre o afastamento laboral remunerado de mulher vítima de violência </w:t>
      </w:r>
      <w:r w:rsidRPr="00095057">
        <w:rPr>
          <w:b/>
          <w:bCs/>
          <w:i/>
          <w:iCs/>
          <w:sz w:val="24"/>
          <w:szCs w:val="24"/>
          <w:lang w:eastAsia="en-US"/>
        </w:rPr>
        <w:t xml:space="preserve">doméstica </w:t>
      </w:r>
      <w:r w:rsidRPr="00902023">
        <w:rPr>
          <w:sz w:val="24"/>
          <w:szCs w:val="24"/>
          <w:lang w:eastAsia="en-US"/>
        </w:rPr>
        <w:t>–</w:t>
      </w:r>
      <w:r w:rsidRPr="00C15634">
        <w:rPr>
          <w:b/>
          <w:bCs/>
          <w:i/>
          <w:iCs/>
          <w:sz w:val="24"/>
          <w:szCs w:val="24"/>
          <w:lang w:eastAsia="en-US"/>
        </w:rPr>
        <w:t xml:space="preserve"> </w:t>
      </w:r>
      <w:hyperlink r:id="rId65" w:history="1">
        <w:r w:rsidRPr="00902023">
          <w:rPr>
            <w:rStyle w:val="Hyperlink"/>
            <w:color w:val="auto"/>
            <w:sz w:val="24"/>
            <w:szCs w:val="24"/>
            <w:u w:val="none"/>
            <w:lang w:eastAsia="en-US"/>
          </w:rPr>
          <w:t>RE 1.520.468 ED/PR</w:t>
        </w:r>
      </w:hyperlink>
      <w:r w:rsidRPr="00902023">
        <w:rPr>
          <w:sz w:val="24"/>
          <w:szCs w:val="24"/>
        </w:rPr>
        <w:t xml:space="preserve"> (</w:t>
      </w:r>
      <w:hyperlink r:id="rId66" w:history="1">
        <w:r w:rsidRPr="00902023">
          <w:rPr>
            <w:rStyle w:val="Hyperlink"/>
            <w:color w:val="auto"/>
            <w:sz w:val="24"/>
            <w:szCs w:val="24"/>
          </w:rPr>
          <w:t>Tema 1.370 RG</w:t>
        </w:r>
      </w:hyperlink>
      <w:r w:rsidRPr="00902023">
        <w:rPr>
          <w:sz w:val="24"/>
          <w:szCs w:val="24"/>
        </w:rPr>
        <w:t>)</w:t>
      </w:r>
      <w:r w:rsidR="00902023" w:rsidRPr="00902023">
        <w:rPr>
          <w:sz w:val="24"/>
          <w:szCs w:val="24"/>
        </w:rPr>
        <w:t xml:space="preserve"> </w:t>
      </w:r>
      <w:r w:rsidRPr="00A03B39">
        <w:rPr>
          <w:noProof/>
          <w:sz w:val="24"/>
          <w:szCs w:val="24"/>
        </w:rPr>
        <w:drawing>
          <wp:inline distT="0" distB="0" distL="0" distR="0" wp14:anchorId="27B462C0" wp14:editId="2D3C560C">
            <wp:extent cx="1195705" cy="180975"/>
            <wp:effectExtent l="0" t="0" r="4445" b="9525"/>
            <wp:docPr id="17331043" name="Imagem 4">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7"/>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4A15354" w14:textId="77777777" w:rsidR="00D64CF8" w:rsidRPr="00425CD1" w:rsidRDefault="00D64CF8" w:rsidP="00D64CF8">
      <w:pPr>
        <w:autoSpaceDE w:val="0"/>
        <w:autoSpaceDN w:val="0"/>
        <w:adjustRightInd w:val="0"/>
        <w:rPr>
          <w:sz w:val="24"/>
          <w:szCs w:val="24"/>
        </w:rPr>
      </w:pPr>
    </w:p>
    <w:p w14:paraId="0C0671E5" w14:textId="77777777" w:rsidR="00D64CF8" w:rsidRPr="00425CD1" w:rsidRDefault="00D64CF8" w:rsidP="00D64CF8">
      <w:pPr>
        <w:rPr>
          <w:sz w:val="24"/>
          <w:szCs w:val="24"/>
        </w:rPr>
      </w:pPr>
      <w:r w:rsidRPr="00425CD1">
        <w:rPr>
          <w:b/>
          <w:bCs/>
          <w:sz w:val="24"/>
          <w:szCs w:val="24"/>
        </w:rPr>
        <w:t xml:space="preserve">ODS: </w:t>
      </w:r>
      <w:hyperlink r:id="rId68" w:history="1">
        <w:r w:rsidRPr="00912A90">
          <w:rPr>
            <w:rStyle w:val="Hyperlink"/>
            <w:sz w:val="24"/>
            <w:szCs w:val="24"/>
          </w:rPr>
          <w:t>5</w:t>
        </w:r>
      </w:hyperlink>
      <w:r w:rsidRPr="00912A90">
        <w:rPr>
          <w:b/>
          <w:bCs/>
          <w:sz w:val="24"/>
          <w:szCs w:val="24"/>
        </w:rPr>
        <w:t xml:space="preserve"> </w:t>
      </w:r>
      <w:r w:rsidRPr="00912A90">
        <w:rPr>
          <w:sz w:val="24"/>
          <w:szCs w:val="24"/>
        </w:rPr>
        <w:t xml:space="preserve">e </w:t>
      </w:r>
      <w:hyperlink r:id="rId69" w:history="1">
        <w:r w:rsidRPr="00912A90">
          <w:rPr>
            <w:rStyle w:val="Hyperlink"/>
            <w:sz w:val="24"/>
            <w:szCs w:val="24"/>
          </w:rPr>
          <w:t>16</w:t>
        </w:r>
      </w:hyperlink>
    </w:p>
    <w:p w14:paraId="6E4C1064" w14:textId="77777777" w:rsidR="00D64CF8" w:rsidRDefault="00D64CF8" w:rsidP="00634D96">
      <w:pPr>
        <w:autoSpaceDE w:val="0"/>
        <w:autoSpaceDN w:val="0"/>
        <w:adjustRightInd w:val="0"/>
        <w:rPr>
          <w:sz w:val="24"/>
          <w:szCs w:val="24"/>
          <w:lang w:eastAsia="en-US"/>
        </w:rPr>
      </w:pPr>
    </w:p>
    <w:p w14:paraId="771DC0FD" w14:textId="77777777" w:rsidR="00D64CF8" w:rsidRPr="009632F3" w:rsidRDefault="00D64CF8" w:rsidP="00D64CF8">
      <w:pPr>
        <w:autoSpaceDE w:val="0"/>
        <w:autoSpaceDN w:val="0"/>
        <w:adjustRightInd w:val="0"/>
        <w:spacing w:line="360" w:lineRule="auto"/>
        <w:rPr>
          <w:sz w:val="24"/>
          <w:szCs w:val="24"/>
          <w:lang w:eastAsia="en-US"/>
        </w:rPr>
      </w:pPr>
      <w:r w:rsidRPr="009632F3">
        <w:rPr>
          <w:sz w:val="24"/>
          <w:szCs w:val="24"/>
          <w:lang w:eastAsia="en-US"/>
        </w:rPr>
        <w:t>Tese fixada:</w:t>
      </w:r>
    </w:p>
    <w:p w14:paraId="4B81A312" w14:textId="7D738358" w:rsidR="00D64CF8" w:rsidRPr="009632F3" w:rsidRDefault="00D64CF8" w:rsidP="00D64CF8">
      <w:pPr>
        <w:autoSpaceDE w:val="0"/>
        <w:autoSpaceDN w:val="0"/>
        <w:adjustRightInd w:val="0"/>
        <w:spacing w:line="360" w:lineRule="auto"/>
        <w:ind w:firstLine="708"/>
        <w:rPr>
          <w:b/>
          <w:sz w:val="24"/>
          <w:szCs w:val="24"/>
          <w:lang w:eastAsia="en-US"/>
        </w:rPr>
      </w:pPr>
      <w:r w:rsidRPr="00351BD7">
        <w:rPr>
          <w:bCs/>
          <w:sz w:val="24"/>
          <w:szCs w:val="24"/>
          <w:lang w:eastAsia="en-US"/>
        </w:rPr>
        <w:t>Conferida nova redação aos subitens “i” e “ii” do item 3 da tese do Tema 1.370, que passam a vigorar nos seguintes termos:</w:t>
      </w:r>
      <w:r w:rsidRPr="00AF052A">
        <w:rPr>
          <w:b/>
          <w:sz w:val="24"/>
          <w:szCs w:val="24"/>
          <w:lang w:eastAsia="en-US"/>
        </w:rPr>
        <w:t xml:space="preserve"> “3) [...] (i) previdenciária, quando a mulher for segurada do Regime Geral de Previdência Social, como empregada, contribuinte individual, facultativa ou segurada especial, hipótese em que a remuneração dos primeiros 15 dias será de responsabilidade do empregador (quando houver), e o período subsequente será custeado pelo INSS, independentemente de cumprimento de período de carência, não incidindo contribuição previdenciária sobre a referida prestação (art. 28, § 9º, </w:t>
      </w:r>
      <w:r>
        <w:rPr>
          <w:b/>
          <w:sz w:val="24"/>
          <w:szCs w:val="24"/>
          <w:lang w:eastAsia="en-US"/>
        </w:rPr>
        <w:t>‘</w:t>
      </w:r>
      <w:r w:rsidRPr="00AF052A">
        <w:rPr>
          <w:b/>
          <w:sz w:val="24"/>
          <w:szCs w:val="24"/>
          <w:lang w:eastAsia="en-US"/>
        </w:rPr>
        <w:t>a</w:t>
      </w:r>
      <w:r>
        <w:rPr>
          <w:b/>
          <w:sz w:val="24"/>
          <w:szCs w:val="24"/>
          <w:lang w:eastAsia="en-US"/>
        </w:rPr>
        <w:t>’</w:t>
      </w:r>
      <w:r w:rsidRPr="00AF052A">
        <w:rPr>
          <w:b/>
          <w:sz w:val="24"/>
          <w:szCs w:val="24"/>
          <w:lang w:eastAsia="en-US"/>
        </w:rPr>
        <w:t>, da Lei</w:t>
      </w:r>
      <w:r>
        <w:rPr>
          <w:b/>
          <w:sz w:val="24"/>
          <w:szCs w:val="24"/>
          <w:lang w:eastAsia="en-US"/>
        </w:rPr>
        <w:t xml:space="preserve"> nº</w:t>
      </w:r>
      <w:r w:rsidRPr="00AF052A">
        <w:rPr>
          <w:b/>
          <w:sz w:val="24"/>
          <w:szCs w:val="24"/>
          <w:lang w:eastAsia="en-US"/>
        </w:rPr>
        <w:t xml:space="preserve"> 8.212/91). No caso de inexistência de relação de emprego de segurada do Regime Geral de Previdência Social, o benefício será arcado integralmente pelo INSS; (ii) assistencial, quando a mulher não for segurada da previdência social, hipótese em que a prestação assume natureza de benefício eventual decorrente de vulnerabilidade temporária, cabendo aos Estados, ao Distrito Federal ou aos Municípios, na forma do art. 22 da Lei nº 8.742/1993 (LOAS), prover a assistência financeira necessária. Nesse caso, o juízo competente deverá definir o ente subnacional que fará o pagamento e atestar que a mulher destinatária da medida de afastamento do local de trabalho não possuirá, em razão de sua implementação, quaisquer meios de prover a própria manutenção</w:t>
      </w:r>
      <w:r w:rsidR="00634D96">
        <w:rPr>
          <w:b/>
          <w:sz w:val="24"/>
          <w:szCs w:val="24"/>
          <w:lang w:eastAsia="en-US"/>
        </w:rPr>
        <w:t>.</w:t>
      </w:r>
      <w:r w:rsidRPr="00AF052A">
        <w:rPr>
          <w:b/>
          <w:sz w:val="24"/>
          <w:szCs w:val="24"/>
          <w:lang w:eastAsia="en-US"/>
        </w:rPr>
        <w:t xml:space="preserve">” </w:t>
      </w:r>
    </w:p>
    <w:p w14:paraId="4759B870" w14:textId="77777777" w:rsidR="00D64CF8" w:rsidRPr="00425CD1" w:rsidRDefault="00D64CF8" w:rsidP="00D64CF8">
      <w:pPr>
        <w:autoSpaceDE w:val="0"/>
        <w:autoSpaceDN w:val="0"/>
        <w:adjustRightInd w:val="0"/>
        <w:spacing w:line="360" w:lineRule="auto"/>
        <w:rPr>
          <w:sz w:val="24"/>
          <w:szCs w:val="24"/>
          <w:lang w:eastAsia="en-US"/>
        </w:rPr>
      </w:pPr>
    </w:p>
    <w:p w14:paraId="580584CA" w14:textId="77777777" w:rsidR="00D64CF8" w:rsidRPr="00425CD1" w:rsidRDefault="00D64CF8" w:rsidP="00D64CF8">
      <w:pPr>
        <w:spacing w:line="360" w:lineRule="auto"/>
        <w:rPr>
          <w:sz w:val="24"/>
          <w:szCs w:val="24"/>
          <w:lang w:eastAsia="en-US"/>
        </w:rPr>
      </w:pPr>
      <w:r w:rsidRPr="00425CD1">
        <w:rPr>
          <w:sz w:val="24"/>
          <w:szCs w:val="24"/>
          <w:lang w:eastAsia="en-US"/>
        </w:rPr>
        <w:t>Resumo:</w:t>
      </w:r>
    </w:p>
    <w:p w14:paraId="66C42CFF" w14:textId="385AE2AC" w:rsidR="00D64CF8" w:rsidRPr="004837C9" w:rsidRDefault="00D64CF8" w:rsidP="00D64CF8">
      <w:pPr>
        <w:spacing w:line="360" w:lineRule="auto"/>
        <w:ind w:firstLine="708"/>
        <w:rPr>
          <w:b/>
          <w:bCs/>
          <w:sz w:val="24"/>
          <w:szCs w:val="24"/>
          <w:lang w:eastAsia="en-US"/>
        </w:rPr>
      </w:pPr>
      <w:r w:rsidRPr="00294F12">
        <w:rPr>
          <w:b/>
          <w:bCs/>
          <w:sz w:val="24"/>
          <w:szCs w:val="24"/>
          <w:lang w:eastAsia="en-US"/>
        </w:rPr>
        <w:t>Não incide contribuição previdenciária sobre a prestação paga pelo INSS em decorrência do afastamento laboral de mulher vítima de violência doméstica, haja vista sua natureza análoga à do auxílio por incapacidade temporária. Caso a vítima não seja segurada d</w:t>
      </w:r>
      <w:r>
        <w:rPr>
          <w:b/>
          <w:bCs/>
          <w:sz w:val="24"/>
          <w:szCs w:val="24"/>
          <w:lang w:eastAsia="en-US"/>
        </w:rPr>
        <w:t>a previdência social</w:t>
      </w:r>
      <w:r w:rsidRPr="00294F12">
        <w:rPr>
          <w:b/>
          <w:bCs/>
          <w:sz w:val="24"/>
          <w:szCs w:val="24"/>
          <w:lang w:eastAsia="en-US"/>
        </w:rPr>
        <w:t xml:space="preserve">, o pagamento da verba assistencial eventual compete aos </w:t>
      </w:r>
      <w:r w:rsidR="00634D96">
        <w:rPr>
          <w:b/>
          <w:bCs/>
          <w:sz w:val="24"/>
          <w:szCs w:val="24"/>
          <w:lang w:eastAsia="en-US"/>
        </w:rPr>
        <w:t>e</w:t>
      </w:r>
      <w:r w:rsidRPr="00294F12">
        <w:rPr>
          <w:b/>
          <w:bCs/>
          <w:sz w:val="24"/>
          <w:szCs w:val="24"/>
          <w:lang w:eastAsia="en-US"/>
        </w:rPr>
        <w:t xml:space="preserve">stados, ao Distrito Federal ou aos </w:t>
      </w:r>
      <w:r w:rsidR="00634D96">
        <w:rPr>
          <w:b/>
          <w:bCs/>
          <w:sz w:val="24"/>
          <w:szCs w:val="24"/>
          <w:lang w:eastAsia="en-US"/>
        </w:rPr>
        <w:t>m</w:t>
      </w:r>
      <w:r w:rsidRPr="00294F12">
        <w:rPr>
          <w:b/>
          <w:bCs/>
          <w:sz w:val="24"/>
          <w:szCs w:val="24"/>
          <w:lang w:eastAsia="en-US"/>
        </w:rPr>
        <w:t>unicípios.</w:t>
      </w:r>
    </w:p>
    <w:p w14:paraId="0EFF16E5" w14:textId="77777777" w:rsidR="00D64CF8" w:rsidRPr="004837C9" w:rsidRDefault="00D64CF8" w:rsidP="00D64CF8">
      <w:pPr>
        <w:spacing w:line="360" w:lineRule="auto"/>
        <w:ind w:firstLine="708"/>
        <w:rPr>
          <w:sz w:val="24"/>
          <w:szCs w:val="24"/>
          <w:lang w:eastAsia="en-US"/>
        </w:rPr>
      </w:pPr>
      <w:r>
        <w:rPr>
          <w:sz w:val="24"/>
          <w:szCs w:val="24"/>
          <w:lang w:eastAsia="en-US"/>
        </w:rPr>
        <w:t xml:space="preserve">O benefício pago pelo INSS à mulher vítima de violência doméstica, com base no </w:t>
      </w:r>
      <w:r w:rsidRPr="004837C9">
        <w:rPr>
          <w:sz w:val="24"/>
          <w:szCs w:val="24"/>
          <w:lang w:eastAsia="en-US"/>
        </w:rPr>
        <w:t xml:space="preserve">art. 9º, § 2º, II, da Lei Maria da Penha </w:t>
      </w:r>
      <w:r>
        <w:rPr>
          <w:sz w:val="24"/>
          <w:szCs w:val="24"/>
          <w:lang w:eastAsia="en-US"/>
        </w:rPr>
        <w:t>(1), ostenta natureza análoga à d</w:t>
      </w:r>
      <w:r w:rsidRPr="004837C9">
        <w:rPr>
          <w:sz w:val="24"/>
          <w:szCs w:val="24"/>
          <w:lang w:eastAsia="en-US"/>
        </w:rPr>
        <w:t>o auxílio por incapacidade temporária</w:t>
      </w:r>
      <w:r>
        <w:rPr>
          <w:sz w:val="24"/>
          <w:szCs w:val="24"/>
          <w:lang w:eastAsia="en-US"/>
        </w:rPr>
        <w:t>,</w:t>
      </w:r>
      <w:r w:rsidRPr="004837C9">
        <w:rPr>
          <w:sz w:val="24"/>
          <w:szCs w:val="24"/>
          <w:lang w:eastAsia="en-US"/>
        </w:rPr>
        <w:t xml:space="preserve"> atrai</w:t>
      </w:r>
      <w:r>
        <w:rPr>
          <w:sz w:val="24"/>
          <w:szCs w:val="24"/>
          <w:lang w:eastAsia="en-US"/>
        </w:rPr>
        <w:t>ndo</w:t>
      </w:r>
      <w:r w:rsidRPr="004837C9">
        <w:rPr>
          <w:sz w:val="24"/>
          <w:szCs w:val="24"/>
          <w:lang w:eastAsia="en-US"/>
        </w:rPr>
        <w:t xml:space="preserve"> </w:t>
      </w:r>
      <w:r>
        <w:rPr>
          <w:sz w:val="24"/>
          <w:szCs w:val="24"/>
          <w:lang w:eastAsia="en-US"/>
        </w:rPr>
        <w:t xml:space="preserve">o regime jurídico de </w:t>
      </w:r>
      <w:r w:rsidRPr="004837C9">
        <w:rPr>
          <w:sz w:val="24"/>
          <w:szCs w:val="24"/>
          <w:lang w:eastAsia="en-US"/>
        </w:rPr>
        <w:t xml:space="preserve">isenção. </w:t>
      </w:r>
      <w:r>
        <w:rPr>
          <w:sz w:val="24"/>
          <w:szCs w:val="24"/>
          <w:lang w:eastAsia="en-US"/>
        </w:rPr>
        <w:t>O</w:t>
      </w:r>
      <w:r w:rsidRPr="004837C9">
        <w:rPr>
          <w:sz w:val="24"/>
          <w:szCs w:val="24"/>
          <w:lang w:eastAsia="en-US"/>
        </w:rPr>
        <w:t>s benefícios previdenciários não integram o salário-de-contribuição</w:t>
      </w:r>
      <w:r>
        <w:rPr>
          <w:sz w:val="24"/>
          <w:szCs w:val="24"/>
          <w:lang w:eastAsia="en-US"/>
        </w:rPr>
        <w:t xml:space="preserve"> (2)</w:t>
      </w:r>
      <w:r w:rsidRPr="004837C9">
        <w:rPr>
          <w:sz w:val="24"/>
          <w:szCs w:val="24"/>
          <w:lang w:eastAsia="en-US"/>
        </w:rPr>
        <w:t xml:space="preserve">, o que afasta o desconto </w:t>
      </w:r>
      <w:r>
        <w:rPr>
          <w:sz w:val="24"/>
          <w:szCs w:val="24"/>
          <w:lang w:eastAsia="en-US"/>
        </w:rPr>
        <w:t xml:space="preserve">da contribuição previdenciária </w:t>
      </w:r>
      <w:r w:rsidRPr="004837C9">
        <w:rPr>
          <w:sz w:val="24"/>
          <w:szCs w:val="24"/>
          <w:lang w:eastAsia="en-US"/>
        </w:rPr>
        <w:t>e preserva a integralidade da recomposição da renda, mantendo-se a contagem do tempo para fins de aposentadoria</w:t>
      </w:r>
      <w:r>
        <w:rPr>
          <w:sz w:val="24"/>
          <w:szCs w:val="24"/>
          <w:lang w:eastAsia="en-US"/>
        </w:rPr>
        <w:t xml:space="preserve"> (3)</w:t>
      </w:r>
      <w:r w:rsidRPr="004837C9">
        <w:rPr>
          <w:sz w:val="24"/>
          <w:szCs w:val="24"/>
          <w:lang w:eastAsia="en-US"/>
        </w:rPr>
        <w:t xml:space="preserve">. </w:t>
      </w:r>
    </w:p>
    <w:p w14:paraId="6B1E0403" w14:textId="3E786D1F" w:rsidR="00D64CF8" w:rsidRPr="004837C9" w:rsidRDefault="00D64CF8" w:rsidP="00D64CF8">
      <w:pPr>
        <w:spacing w:line="360" w:lineRule="auto"/>
        <w:ind w:firstLine="708"/>
        <w:rPr>
          <w:sz w:val="24"/>
          <w:szCs w:val="24"/>
          <w:lang w:eastAsia="en-US"/>
        </w:rPr>
      </w:pPr>
      <w:r>
        <w:rPr>
          <w:sz w:val="24"/>
          <w:szCs w:val="24"/>
          <w:lang w:eastAsia="en-US"/>
        </w:rPr>
        <w:lastRenderedPageBreak/>
        <w:t xml:space="preserve">Além disso, não sendo a vítima segurada da previdência social, a prestação assume natureza de </w:t>
      </w:r>
      <w:r w:rsidRPr="004837C9">
        <w:rPr>
          <w:sz w:val="24"/>
          <w:szCs w:val="24"/>
          <w:lang w:eastAsia="en-US"/>
        </w:rPr>
        <w:t>benefício eventua</w:t>
      </w:r>
      <w:r>
        <w:rPr>
          <w:sz w:val="24"/>
          <w:szCs w:val="24"/>
          <w:lang w:eastAsia="en-US"/>
        </w:rPr>
        <w:t>l</w:t>
      </w:r>
      <w:r w:rsidRPr="004837C9">
        <w:rPr>
          <w:sz w:val="24"/>
          <w:szCs w:val="24"/>
          <w:lang w:eastAsia="en-US"/>
        </w:rPr>
        <w:t xml:space="preserve"> decorrente de vulnerabilidade temporária</w:t>
      </w:r>
      <w:r>
        <w:rPr>
          <w:sz w:val="24"/>
          <w:szCs w:val="24"/>
          <w:lang w:eastAsia="en-US"/>
        </w:rPr>
        <w:t>, cabendo</w:t>
      </w:r>
      <w:r w:rsidRPr="004837C9">
        <w:rPr>
          <w:sz w:val="24"/>
          <w:szCs w:val="24"/>
          <w:lang w:eastAsia="en-US"/>
        </w:rPr>
        <w:t xml:space="preserve"> aos </w:t>
      </w:r>
      <w:r w:rsidR="00726C32">
        <w:rPr>
          <w:sz w:val="24"/>
          <w:szCs w:val="24"/>
          <w:lang w:eastAsia="en-US"/>
        </w:rPr>
        <w:t>e</w:t>
      </w:r>
      <w:r w:rsidRPr="004837C9">
        <w:rPr>
          <w:sz w:val="24"/>
          <w:szCs w:val="24"/>
          <w:lang w:eastAsia="en-US"/>
        </w:rPr>
        <w:t xml:space="preserve">stados, </w:t>
      </w:r>
      <w:r>
        <w:rPr>
          <w:sz w:val="24"/>
          <w:szCs w:val="24"/>
          <w:lang w:eastAsia="en-US"/>
        </w:rPr>
        <w:t xml:space="preserve">ao </w:t>
      </w:r>
      <w:r w:rsidRPr="004837C9">
        <w:rPr>
          <w:sz w:val="24"/>
          <w:szCs w:val="24"/>
          <w:lang w:eastAsia="en-US"/>
        </w:rPr>
        <w:t xml:space="preserve">Distrito Federal </w:t>
      </w:r>
      <w:r>
        <w:rPr>
          <w:sz w:val="24"/>
          <w:szCs w:val="24"/>
          <w:lang w:eastAsia="en-US"/>
        </w:rPr>
        <w:t>ou</w:t>
      </w:r>
      <w:r w:rsidRPr="004837C9">
        <w:rPr>
          <w:sz w:val="24"/>
          <w:szCs w:val="24"/>
          <w:lang w:eastAsia="en-US"/>
        </w:rPr>
        <w:t xml:space="preserve"> </w:t>
      </w:r>
      <w:r>
        <w:rPr>
          <w:sz w:val="24"/>
          <w:szCs w:val="24"/>
          <w:lang w:eastAsia="en-US"/>
        </w:rPr>
        <w:t xml:space="preserve">aos </w:t>
      </w:r>
      <w:r w:rsidR="00726C32">
        <w:rPr>
          <w:sz w:val="24"/>
          <w:szCs w:val="24"/>
          <w:lang w:eastAsia="en-US"/>
        </w:rPr>
        <w:t>m</w:t>
      </w:r>
      <w:r w:rsidRPr="004837C9">
        <w:rPr>
          <w:sz w:val="24"/>
          <w:szCs w:val="24"/>
          <w:lang w:eastAsia="en-US"/>
        </w:rPr>
        <w:t>unicípios</w:t>
      </w:r>
      <w:r>
        <w:rPr>
          <w:sz w:val="24"/>
          <w:szCs w:val="24"/>
          <w:lang w:eastAsia="en-US"/>
        </w:rPr>
        <w:t xml:space="preserve"> – e não ao INSS – prover a assistência (4).</w:t>
      </w:r>
    </w:p>
    <w:p w14:paraId="798CE976" w14:textId="7FFA2C56" w:rsidR="00D64CF8" w:rsidRDefault="00D64CF8" w:rsidP="00D64CF8">
      <w:pPr>
        <w:spacing w:line="360" w:lineRule="auto"/>
        <w:ind w:firstLine="708"/>
        <w:rPr>
          <w:sz w:val="24"/>
          <w:szCs w:val="24"/>
          <w:lang w:eastAsia="en-US"/>
        </w:rPr>
      </w:pPr>
      <w:r w:rsidRPr="004837C9">
        <w:rPr>
          <w:sz w:val="24"/>
          <w:szCs w:val="24"/>
          <w:lang w:eastAsia="en-US"/>
        </w:rPr>
        <w:t xml:space="preserve">Com base nesses e em outros entendimentos, o </w:t>
      </w:r>
      <w:r w:rsidR="00634D96">
        <w:rPr>
          <w:sz w:val="24"/>
          <w:szCs w:val="24"/>
          <w:lang w:eastAsia="en-US"/>
        </w:rPr>
        <w:t>Plenário</w:t>
      </w:r>
      <w:r w:rsidRPr="004837C9">
        <w:rPr>
          <w:sz w:val="24"/>
          <w:szCs w:val="24"/>
          <w:lang w:eastAsia="en-US"/>
        </w:rPr>
        <w:t xml:space="preserve"> acolheu os embargos de declaração, sem efeitos infringentes, </w:t>
      </w:r>
      <w:r>
        <w:rPr>
          <w:sz w:val="24"/>
          <w:szCs w:val="24"/>
          <w:lang w:eastAsia="en-US"/>
        </w:rPr>
        <w:t xml:space="preserve">para </w:t>
      </w:r>
      <w:r w:rsidRPr="004837C9">
        <w:rPr>
          <w:sz w:val="24"/>
          <w:szCs w:val="24"/>
          <w:lang w:eastAsia="en-US"/>
        </w:rPr>
        <w:t xml:space="preserve">conferir nova redação aos subitens </w:t>
      </w:r>
      <w:r>
        <w:rPr>
          <w:sz w:val="24"/>
          <w:szCs w:val="24"/>
          <w:lang w:eastAsia="en-US"/>
        </w:rPr>
        <w:t>“</w:t>
      </w:r>
      <w:r w:rsidRPr="004837C9">
        <w:rPr>
          <w:sz w:val="24"/>
          <w:szCs w:val="24"/>
          <w:lang w:eastAsia="en-US"/>
        </w:rPr>
        <w:t>i</w:t>
      </w:r>
      <w:r>
        <w:rPr>
          <w:sz w:val="24"/>
          <w:szCs w:val="24"/>
          <w:lang w:eastAsia="en-US"/>
        </w:rPr>
        <w:t>”</w:t>
      </w:r>
      <w:r w:rsidRPr="004837C9">
        <w:rPr>
          <w:sz w:val="24"/>
          <w:szCs w:val="24"/>
          <w:lang w:eastAsia="en-US"/>
        </w:rPr>
        <w:t xml:space="preserve"> e </w:t>
      </w:r>
      <w:r>
        <w:rPr>
          <w:sz w:val="24"/>
          <w:szCs w:val="24"/>
          <w:lang w:eastAsia="en-US"/>
        </w:rPr>
        <w:t>“</w:t>
      </w:r>
      <w:r w:rsidRPr="004837C9">
        <w:rPr>
          <w:sz w:val="24"/>
          <w:szCs w:val="24"/>
          <w:lang w:eastAsia="en-US"/>
        </w:rPr>
        <w:t>ii</w:t>
      </w:r>
      <w:r>
        <w:rPr>
          <w:sz w:val="24"/>
          <w:szCs w:val="24"/>
          <w:lang w:eastAsia="en-US"/>
        </w:rPr>
        <w:t>”</w:t>
      </w:r>
      <w:r w:rsidRPr="004837C9">
        <w:rPr>
          <w:sz w:val="24"/>
          <w:szCs w:val="24"/>
          <w:lang w:eastAsia="en-US"/>
        </w:rPr>
        <w:t xml:space="preserve"> do item 3 da tese do Tema 1.370,</w:t>
      </w:r>
      <w:r>
        <w:rPr>
          <w:sz w:val="24"/>
          <w:szCs w:val="24"/>
          <w:lang w:eastAsia="en-US"/>
        </w:rPr>
        <w:t xml:space="preserve"> nos termos anteriormente citados</w:t>
      </w:r>
      <w:r w:rsidRPr="004837C9">
        <w:rPr>
          <w:sz w:val="24"/>
          <w:szCs w:val="24"/>
          <w:lang w:eastAsia="en-US"/>
        </w:rPr>
        <w:t xml:space="preserve">. </w:t>
      </w:r>
    </w:p>
    <w:p w14:paraId="2DE5562B" w14:textId="77777777" w:rsidR="00D64CF8" w:rsidRPr="004837C9" w:rsidRDefault="00D64CF8" w:rsidP="00D64CF8">
      <w:pPr>
        <w:spacing w:line="360" w:lineRule="auto"/>
        <w:ind w:firstLine="708"/>
        <w:rPr>
          <w:sz w:val="24"/>
          <w:szCs w:val="24"/>
          <w:lang w:eastAsia="en-US"/>
        </w:rPr>
      </w:pPr>
    </w:p>
    <w:p w14:paraId="522784AA" w14:textId="4BD558F5" w:rsidR="00D64CF8" w:rsidRDefault="00D64CF8" w:rsidP="00D64CF8">
      <w:pPr>
        <w:spacing w:after="120"/>
        <w:ind w:firstLine="708"/>
        <w:rPr>
          <w:rFonts w:ascii="Arial" w:hAnsi="Arial" w:cs="Arial"/>
          <w:sz w:val="20"/>
          <w:szCs w:val="20"/>
        </w:rPr>
      </w:pPr>
      <w:r w:rsidRPr="004837C9">
        <w:rPr>
          <w:rFonts w:ascii="Arial" w:hAnsi="Arial" w:cs="Arial"/>
          <w:sz w:val="20"/>
          <w:szCs w:val="20"/>
        </w:rPr>
        <w:t xml:space="preserve">(1) </w:t>
      </w:r>
      <w:hyperlink r:id="rId70" w:history="1">
        <w:r w:rsidRPr="000616DA">
          <w:rPr>
            <w:rStyle w:val="Hyperlink"/>
            <w:rFonts w:ascii="Arial" w:hAnsi="Arial" w:cs="Arial"/>
            <w:sz w:val="20"/>
            <w:szCs w:val="20"/>
          </w:rPr>
          <w:t>Lei nº 11.340/2006</w:t>
        </w:r>
      </w:hyperlink>
      <w:r>
        <w:rPr>
          <w:rFonts w:ascii="Arial" w:hAnsi="Arial" w:cs="Arial"/>
          <w:sz w:val="20"/>
          <w:szCs w:val="20"/>
        </w:rPr>
        <w:t>: “</w:t>
      </w:r>
      <w:r w:rsidRPr="001B6FCA">
        <w:rPr>
          <w:rFonts w:ascii="Arial" w:hAnsi="Arial" w:cs="Arial"/>
          <w:sz w:val="20"/>
          <w:szCs w:val="20"/>
        </w:rPr>
        <w:t xml:space="preserve">Art. 9º </w:t>
      </w:r>
      <w:r>
        <w:rPr>
          <w:rFonts w:ascii="Arial" w:hAnsi="Arial" w:cs="Arial"/>
          <w:sz w:val="20"/>
          <w:szCs w:val="20"/>
        </w:rPr>
        <w:t xml:space="preserve">(...) </w:t>
      </w:r>
      <w:r w:rsidRPr="001B6FCA">
        <w:rPr>
          <w:rFonts w:ascii="Arial" w:hAnsi="Arial" w:cs="Arial"/>
          <w:sz w:val="20"/>
          <w:szCs w:val="20"/>
        </w:rPr>
        <w:t>§ 2º O juiz assegurará à mulher em situação de violência doméstica e familiar, para preservar sua integridade física e psicológica:</w:t>
      </w:r>
      <w:r>
        <w:rPr>
          <w:rFonts w:ascii="Arial" w:hAnsi="Arial" w:cs="Arial"/>
          <w:sz w:val="20"/>
          <w:szCs w:val="20"/>
        </w:rPr>
        <w:t xml:space="preserve"> (...) </w:t>
      </w:r>
      <w:r w:rsidRPr="001B6FCA">
        <w:rPr>
          <w:rFonts w:ascii="Arial" w:hAnsi="Arial" w:cs="Arial"/>
          <w:sz w:val="20"/>
          <w:szCs w:val="20"/>
        </w:rPr>
        <w:t>II - manutenção do vínculo trabalhista, quando necessário o afastamento do local de trabalho, por até seis meses</w:t>
      </w:r>
      <w:r w:rsidR="00634D96">
        <w:rPr>
          <w:rFonts w:ascii="Arial" w:hAnsi="Arial" w:cs="Arial"/>
          <w:sz w:val="20"/>
          <w:szCs w:val="20"/>
        </w:rPr>
        <w:t>.</w:t>
      </w:r>
      <w:r>
        <w:rPr>
          <w:rFonts w:ascii="Arial" w:hAnsi="Arial" w:cs="Arial"/>
          <w:sz w:val="20"/>
          <w:szCs w:val="20"/>
        </w:rPr>
        <w:t>”</w:t>
      </w:r>
    </w:p>
    <w:p w14:paraId="51194DD1" w14:textId="0DFFA183" w:rsidR="00D64CF8" w:rsidRDefault="00D64CF8" w:rsidP="00D64CF8">
      <w:pPr>
        <w:spacing w:after="120"/>
        <w:ind w:firstLine="708"/>
        <w:rPr>
          <w:rFonts w:ascii="Arial" w:hAnsi="Arial" w:cs="Arial"/>
          <w:sz w:val="20"/>
          <w:szCs w:val="20"/>
        </w:rPr>
      </w:pPr>
      <w:r w:rsidRPr="004837C9">
        <w:rPr>
          <w:rFonts w:ascii="Arial" w:hAnsi="Arial" w:cs="Arial"/>
          <w:sz w:val="20"/>
          <w:szCs w:val="20"/>
        </w:rPr>
        <w:t xml:space="preserve">(2) </w:t>
      </w:r>
      <w:hyperlink r:id="rId71" w:history="1">
        <w:r w:rsidRPr="000616DA">
          <w:rPr>
            <w:rStyle w:val="Hyperlink"/>
            <w:rFonts w:ascii="Arial" w:hAnsi="Arial" w:cs="Arial"/>
            <w:sz w:val="20"/>
            <w:szCs w:val="20"/>
          </w:rPr>
          <w:t>Lei nº 8.212/1991</w:t>
        </w:r>
      </w:hyperlink>
      <w:r w:rsidRPr="004837C9">
        <w:rPr>
          <w:rFonts w:ascii="Arial" w:hAnsi="Arial" w:cs="Arial"/>
          <w:sz w:val="20"/>
          <w:szCs w:val="20"/>
        </w:rPr>
        <w:t xml:space="preserve">: </w:t>
      </w:r>
      <w:r>
        <w:rPr>
          <w:rFonts w:ascii="Arial" w:hAnsi="Arial" w:cs="Arial"/>
          <w:sz w:val="20"/>
          <w:szCs w:val="20"/>
        </w:rPr>
        <w:t>“</w:t>
      </w:r>
      <w:r w:rsidRPr="004837C9">
        <w:rPr>
          <w:rFonts w:ascii="Arial" w:hAnsi="Arial" w:cs="Arial"/>
          <w:sz w:val="20"/>
          <w:szCs w:val="20"/>
        </w:rPr>
        <w:t xml:space="preserve">Art. 28. </w:t>
      </w:r>
      <w:r>
        <w:rPr>
          <w:rFonts w:ascii="Arial" w:hAnsi="Arial" w:cs="Arial"/>
          <w:sz w:val="20"/>
          <w:szCs w:val="20"/>
        </w:rPr>
        <w:t>(</w:t>
      </w:r>
      <w:r w:rsidRPr="004837C9">
        <w:rPr>
          <w:rFonts w:ascii="Arial" w:hAnsi="Arial" w:cs="Arial"/>
          <w:sz w:val="20"/>
          <w:szCs w:val="20"/>
        </w:rPr>
        <w:t>...</w:t>
      </w:r>
      <w:r>
        <w:rPr>
          <w:rFonts w:ascii="Arial" w:hAnsi="Arial" w:cs="Arial"/>
          <w:sz w:val="20"/>
          <w:szCs w:val="20"/>
        </w:rPr>
        <w:t>)</w:t>
      </w:r>
      <w:r w:rsidRPr="004837C9">
        <w:rPr>
          <w:rFonts w:ascii="Arial" w:hAnsi="Arial" w:cs="Arial"/>
          <w:sz w:val="20"/>
          <w:szCs w:val="20"/>
        </w:rPr>
        <w:t xml:space="preserve"> § 9º Não integram o salário-de-contribuição para os fins desta Lei, exclusivamente: a) os benefícios da previdência social, nos termos e limites legais, salvo o salário-maternidade</w:t>
      </w:r>
      <w:r w:rsidR="00634D96">
        <w:rPr>
          <w:rFonts w:ascii="Arial" w:hAnsi="Arial" w:cs="Arial"/>
          <w:sz w:val="20"/>
          <w:szCs w:val="20"/>
        </w:rPr>
        <w:t>;</w:t>
      </w:r>
      <w:r>
        <w:rPr>
          <w:rFonts w:ascii="Arial" w:hAnsi="Arial" w:cs="Arial"/>
          <w:sz w:val="20"/>
          <w:szCs w:val="20"/>
        </w:rPr>
        <w:t>”</w:t>
      </w:r>
      <w:r w:rsidRPr="004837C9">
        <w:rPr>
          <w:rFonts w:ascii="Arial" w:hAnsi="Arial" w:cs="Arial"/>
          <w:sz w:val="20"/>
          <w:szCs w:val="20"/>
        </w:rPr>
        <w:t xml:space="preserve"> </w:t>
      </w:r>
    </w:p>
    <w:p w14:paraId="52CB1F85" w14:textId="1A157B4E" w:rsidR="00D64CF8" w:rsidRDefault="00D64CF8" w:rsidP="00D64CF8">
      <w:pPr>
        <w:spacing w:after="120"/>
        <w:ind w:firstLine="708"/>
        <w:rPr>
          <w:rFonts w:ascii="Arial" w:hAnsi="Arial" w:cs="Arial"/>
          <w:sz w:val="20"/>
          <w:szCs w:val="20"/>
        </w:rPr>
      </w:pPr>
      <w:r w:rsidRPr="004837C9">
        <w:rPr>
          <w:rFonts w:ascii="Arial" w:hAnsi="Arial" w:cs="Arial"/>
          <w:sz w:val="20"/>
          <w:szCs w:val="20"/>
        </w:rPr>
        <w:t xml:space="preserve">(3) </w:t>
      </w:r>
      <w:hyperlink r:id="rId72" w:history="1">
        <w:r w:rsidRPr="000616DA">
          <w:rPr>
            <w:rStyle w:val="Hyperlink"/>
            <w:rFonts w:ascii="Arial" w:hAnsi="Arial" w:cs="Arial"/>
            <w:sz w:val="20"/>
            <w:szCs w:val="20"/>
          </w:rPr>
          <w:t>Lei nº 8.213/1991</w:t>
        </w:r>
      </w:hyperlink>
      <w:r>
        <w:rPr>
          <w:rFonts w:ascii="Arial" w:hAnsi="Arial" w:cs="Arial"/>
          <w:sz w:val="20"/>
          <w:szCs w:val="20"/>
        </w:rPr>
        <w:t>: “</w:t>
      </w:r>
      <w:r w:rsidRPr="001B6FCA">
        <w:rPr>
          <w:rFonts w:ascii="Arial" w:hAnsi="Arial" w:cs="Arial"/>
          <w:sz w:val="20"/>
          <w:szCs w:val="20"/>
        </w:rPr>
        <w:t>Art. 55. O tempo de serviço será comprovado na forma estabelecida no Regulamento, compreendendo, além do correspondente às atividades de qualquer das categorias de segurados de que trata o art. 11 desta Lei, mesmo que anterior à perda da qualidade de segurado:</w:t>
      </w:r>
      <w:r>
        <w:rPr>
          <w:rFonts w:ascii="Arial" w:hAnsi="Arial" w:cs="Arial"/>
          <w:sz w:val="20"/>
          <w:szCs w:val="20"/>
        </w:rPr>
        <w:t xml:space="preserve"> (...) </w:t>
      </w:r>
      <w:r w:rsidRPr="001B6FCA">
        <w:rPr>
          <w:rFonts w:ascii="Arial" w:hAnsi="Arial" w:cs="Arial"/>
          <w:sz w:val="20"/>
          <w:szCs w:val="20"/>
        </w:rPr>
        <w:t>II - o tempo intercalado em que esteve em gozo de auxílio-doença ou aposentadoria por invalidez</w:t>
      </w:r>
      <w:r w:rsidR="00634D96">
        <w:rPr>
          <w:rFonts w:ascii="Arial" w:hAnsi="Arial" w:cs="Arial"/>
          <w:sz w:val="20"/>
          <w:szCs w:val="20"/>
        </w:rPr>
        <w:t>;</w:t>
      </w:r>
      <w:r>
        <w:rPr>
          <w:rFonts w:ascii="Arial" w:hAnsi="Arial" w:cs="Arial"/>
          <w:sz w:val="20"/>
          <w:szCs w:val="20"/>
        </w:rPr>
        <w:t>”</w:t>
      </w:r>
    </w:p>
    <w:p w14:paraId="55850DED" w14:textId="30AB019A" w:rsidR="00D64CF8" w:rsidRDefault="00D64CF8" w:rsidP="00D64CF8">
      <w:pPr>
        <w:spacing w:after="120"/>
        <w:ind w:firstLine="708"/>
        <w:rPr>
          <w:rFonts w:ascii="Arial" w:hAnsi="Arial" w:cs="Arial"/>
          <w:sz w:val="20"/>
          <w:szCs w:val="20"/>
        </w:rPr>
      </w:pPr>
      <w:r w:rsidRPr="004837C9">
        <w:rPr>
          <w:rFonts w:ascii="Arial" w:hAnsi="Arial" w:cs="Arial"/>
          <w:sz w:val="20"/>
          <w:szCs w:val="20"/>
        </w:rPr>
        <w:t xml:space="preserve">(4) </w:t>
      </w:r>
      <w:hyperlink r:id="rId73" w:history="1">
        <w:r w:rsidRPr="000616DA">
          <w:rPr>
            <w:rStyle w:val="Hyperlink"/>
            <w:rFonts w:ascii="Arial" w:hAnsi="Arial" w:cs="Arial"/>
            <w:sz w:val="20"/>
            <w:szCs w:val="20"/>
          </w:rPr>
          <w:t>Lei nº 8.742/1993</w:t>
        </w:r>
      </w:hyperlink>
      <w:r w:rsidRPr="004837C9">
        <w:rPr>
          <w:rFonts w:ascii="Arial" w:hAnsi="Arial" w:cs="Arial"/>
          <w:sz w:val="20"/>
          <w:szCs w:val="20"/>
        </w:rPr>
        <w:t xml:space="preserve">: </w:t>
      </w:r>
      <w:r>
        <w:rPr>
          <w:rFonts w:ascii="Arial" w:hAnsi="Arial" w:cs="Arial"/>
          <w:sz w:val="20"/>
          <w:szCs w:val="20"/>
        </w:rPr>
        <w:t>“</w:t>
      </w:r>
      <w:r w:rsidRPr="004837C9">
        <w:rPr>
          <w:rFonts w:ascii="Arial" w:hAnsi="Arial" w:cs="Arial"/>
          <w:sz w:val="20"/>
          <w:szCs w:val="20"/>
        </w:rPr>
        <w:t>Art. 22. Entendem-se por benefícios eventuais as provisões suplementares e provisórias que integram organicamente as garantias do S</w:t>
      </w:r>
      <w:r>
        <w:rPr>
          <w:rFonts w:ascii="Arial" w:hAnsi="Arial" w:cs="Arial"/>
          <w:sz w:val="20"/>
          <w:szCs w:val="20"/>
        </w:rPr>
        <w:t>UAS</w:t>
      </w:r>
      <w:r w:rsidRPr="004837C9">
        <w:rPr>
          <w:rFonts w:ascii="Arial" w:hAnsi="Arial" w:cs="Arial"/>
          <w:sz w:val="20"/>
          <w:szCs w:val="20"/>
        </w:rPr>
        <w:t xml:space="preserve"> e são prestadas aos cidadãos e às famílias em virtude de nascimento, morte, situações de vulnerabilidade temporária e de calamidade pública. § 1º A concessão e o valor dos benefícios de que trata este artigo serão definidos pelos Estados, Distrito Federal e Municípios e previstos nas respectivas leis orçamentárias anuais, com base em critérios e prazos definidos pelos respectivos Conselhos de Assistência Social</w:t>
      </w:r>
      <w:r w:rsidR="00634D96">
        <w:rPr>
          <w:rFonts w:ascii="Arial" w:hAnsi="Arial" w:cs="Arial"/>
          <w:sz w:val="20"/>
          <w:szCs w:val="20"/>
        </w:rPr>
        <w:t>.</w:t>
      </w:r>
      <w:r>
        <w:rPr>
          <w:rFonts w:ascii="Arial" w:hAnsi="Arial" w:cs="Arial"/>
          <w:sz w:val="20"/>
          <w:szCs w:val="20"/>
        </w:rPr>
        <w:t>”</w:t>
      </w:r>
      <w:r w:rsidRPr="004837C9">
        <w:rPr>
          <w:rFonts w:ascii="Arial" w:hAnsi="Arial" w:cs="Arial"/>
          <w:sz w:val="20"/>
          <w:szCs w:val="20"/>
        </w:rPr>
        <w:t xml:space="preserve"> </w:t>
      </w:r>
    </w:p>
    <w:p w14:paraId="36556B0B" w14:textId="77777777" w:rsidR="005666A4" w:rsidRPr="005666A4" w:rsidRDefault="005666A4" w:rsidP="005666A4">
      <w:pPr>
        <w:spacing w:after="120"/>
        <w:rPr>
          <w:sz w:val="24"/>
          <w:szCs w:val="24"/>
        </w:rPr>
      </w:pPr>
    </w:p>
    <w:p w14:paraId="3F8C253C" w14:textId="6E5ADFB6" w:rsidR="00D64CF8" w:rsidRPr="00912A90" w:rsidRDefault="00D64CF8" w:rsidP="00D64CF8">
      <w:pPr>
        <w:spacing w:line="360" w:lineRule="auto"/>
        <w:rPr>
          <w:rStyle w:val="Hyperlink"/>
          <w:sz w:val="24"/>
          <w:szCs w:val="24"/>
        </w:rPr>
      </w:pPr>
      <w:r w:rsidRPr="00912A90">
        <w:rPr>
          <w:rFonts w:eastAsiaTheme="majorEastAsia"/>
          <w:sz w:val="24"/>
          <w:szCs w:val="24"/>
          <w:lang w:eastAsia="en-US"/>
        </w:rPr>
        <w:fldChar w:fldCharType="begin"/>
      </w:r>
      <w:r w:rsidR="005666A4" w:rsidRPr="00912A90">
        <w:rPr>
          <w:rFonts w:eastAsiaTheme="majorEastAsia"/>
          <w:sz w:val="24"/>
          <w:szCs w:val="24"/>
          <w:lang w:eastAsia="en-US"/>
        </w:rPr>
        <w:instrText>HYPERLINK "https://portal.stf.jus.br/processos/detalhe.asp?incidente=7064773"</w:instrText>
      </w:r>
      <w:r w:rsidRPr="00912A90">
        <w:rPr>
          <w:rFonts w:eastAsiaTheme="majorEastAsia"/>
          <w:sz w:val="24"/>
          <w:szCs w:val="24"/>
          <w:lang w:eastAsia="en-US"/>
        </w:rPr>
      </w:r>
      <w:r w:rsidRPr="00912A90">
        <w:rPr>
          <w:rFonts w:eastAsiaTheme="majorEastAsia"/>
          <w:sz w:val="24"/>
          <w:szCs w:val="24"/>
          <w:lang w:eastAsia="en-US"/>
        </w:rPr>
        <w:fldChar w:fldCharType="separate"/>
      </w:r>
      <w:r w:rsidRPr="00912A90">
        <w:rPr>
          <w:rStyle w:val="Hyperlink"/>
          <w:rFonts w:eastAsiaTheme="majorEastAsia"/>
          <w:sz w:val="24"/>
          <w:szCs w:val="24"/>
          <w:lang w:eastAsia="en-US"/>
        </w:rPr>
        <w:t>RE 1.520.468 ED/PR, relator Ministro Flávio Dino, julgamento virtual finalizado em 29.05.2026 (sexta-feira)</w:t>
      </w:r>
      <w:r w:rsidRPr="00912A90">
        <w:rPr>
          <w:rStyle w:val="Hyperlink"/>
          <w:sz w:val="24"/>
          <w:szCs w:val="24"/>
        </w:rPr>
        <w:t>, às 23:59</w:t>
      </w:r>
    </w:p>
    <w:p w14:paraId="0C604B7A" w14:textId="77777777" w:rsidR="005666A4" w:rsidRPr="005666A4" w:rsidRDefault="00D64CF8" w:rsidP="005666A4">
      <w:pPr>
        <w:rPr>
          <w:rFonts w:eastAsiaTheme="majorEastAsia"/>
          <w:sz w:val="24"/>
          <w:szCs w:val="24"/>
          <w:lang w:eastAsia="en-US"/>
        </w:rPr>
      </w:pPr>
      <w:r w:rsidRPr="00912A90">
        <w:rPr>
          <w:rFonts w:eastAsiaTheme="majorEastAsia"/>
          <w:sz w:val="24"/>
          <w:szCs w:val="24"/>
          <w:lang w:eastAsia="en-US"/>
        </w:rPr>
        <w:fldChar w:fldCharType="end"/>
      </w:r>
    </w:p>
    <w:p w14:paraId="4161FAC3" w14:textId="2F453072" w:rsidR="008B7877" w:rsidRDefault="008B7877" w:rsidP="008B787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36BB1002" w14:textId="77777777" w:rsidR="008B7877" w:rsidRDefault="008B7877" w:rsidP="00D64CF8">
      <w:pPr>
        <w:rPr>
          <w:rFonts w:eastAsiaTheme="majorEastAsia"/>
          <w:lang w:eastAsia="en-US"/>
        </w:rPr>
      </w:pPr>
    </w:p>
    <w:p w14:paraId="136D5C5A" w14:textId="77777777" w:rsidR="008B7877" w:rsidRPr="008B7877" w:rsidRDefault="008B7877" w:rsidP="008B7877">
      <w:pPr>
        <w:rPr>
          <w:b/>
          <w:bCs/>
          <w:sz w:val="24"/>
          <w:szCs w:val="24"/>
        </w:rPr>
      </w:pPr>
      <w:r w:rsidRPr="008B7877">
        <w:rPr>
          <w:sz w:val="24"/>
          <w:szCs w:val="24"/>
          <w:lang w:eastAsia="en-US"/>
        </w:rPr>
        <w:t xml:space="preserve">DIREITO CONSTITUCIONAL – </w:t>
      </w:r>
      <w:r w:rsidRPr="008B7877">
        <w:rPr>
          <w:sz w:val="24"/>
          <w:szCs w:val="24"/>
        </w:rPr>
        <w:t>REPARTIÇÃO DE COMPETÊNCIAS; TELECOMUNICAÇÕES E RADIODIFUSÃO</w:t>
      </w:r>
    </w:p>
    <w:p w14:paraId="657C9A25" w14:textId="77777777" w:rsidR="008B7877" w:rsidRPr="008B7877" w:rsidRDefault="008B7877" w:rsidP="008B7877">
      <w:pPr>
        <w:rPr>
          <w:b/>
          <w:bCs/>
          <w:sz w:val="24"/>
          <w:szCs w:val="24"/>
        </w:rPr>
      </w:pPr>
      <w:r w:rsidRPr="008B7877">
        <w:rPr>
          <w:sz w:val="24"/>
          <w:szCs w:val="24"/>
          <w:lang w:eastAsia="en-US"/>
        </w:rPr>
        <w:t xml:space="preserve">DIREITO </w:t>
      </w:r>
      <w:r w:rsidRPr="008B7877">
        <w:rPr>
          <w:sz w:val="24"/>
          <w:szCs w:val="24"/>
        </w:rPr>
        <w:t xml:space="preserve">AMBIENTAL </w:t>
      </w:r>
      <w:r w:rsidRPr="008B7877">
        <w:rPr>
          <w:sz w:val="24"/>
          <w:szCs w:val="24"/>
          <w:lang w:eastAsia="en-US"/>
        </w:rPr>
        <w:t xml:space="preserve">– </w:t>
      </w:r>
      <w:r w:rsidRPr="008B7877">
        <w:rPr>
          <w:sz w:val="24"/>
          <w:szCs w:val="24"/>
        </w:rPr>
        <w:t>LICENÇA E AUTORIZAÇÃO; SERVIÇOS DE TELECOMUNICAÇÕES; INSTALAÇÃO DE INFRAESTRUTURAS</w:t>
      </w:r>
    </w:p>
    <w:p w14:paraId="78327925" w14:textId="77777777" w:rsidR="008B7877" w:rsidRPr="008B7877" w:rsidRDefault="008B7877" w:rsidP="008B7877">
      <w:pPr>
        <w:rPr>
          <w:sz w:val="24"/>
          <w:szCs w:val="24"/>
          <w:lang w:eastAsia="en-US"/>
        </w:rPr>
      </w:pPr>
    </w:p>
    <w:p w14:paraId="435E7C5F" w14:textId="77777777" w:rsidR="008B7877" w:rsidRPr="008B7877" w:rsidRDefault="008B7877" w:rsidP="008B7877">
      <w:pPr>
        <w:autoSpaceDE w:val="0"/>
        <w:autoSpaceDN w:val="0"/>
        <w:adjustRightInd w:val="0"/>
        <w:rPr>
          <w:sz w:val="24"/>
          <w:szCs w:val="24"/>
        </w:rPr>
      </w:pPr>
      <w:r w:rsidRPr="008B7877">
        <w:rPr>
          <w:b/>
          <w:bCs/>
          <w:i/>
          <w:iCs/>
          <w:sz w:val="24"/>
          <w:szCs w:val="24"/>
          <w:lang w:eastAsia="en-US"/>
        </w:rPr>
        <w:t xml:space="preserve">Meio ambiente: licenciamento ambiental como condição para instalação, funcionamento e operação de estações de Rádio-Base (ERBs) </w:t>
      </w:r>
      <w:r w:rsidRPr="008B7877">
        <w:rPr>
          <w:sz w:val="24"/>
          <w:szCs w:val="24"/>
          <w:lang w:eastAsia="en-US"/>
        </w:rPr>
        <w:t xml:space="preserve">– </w:t>
      </w:r>
      <w:hyperlink r:id="rId74" w:history="1">
        <w:r w:rsidRPr="008B7877">
          <w:t>ADI 7.888/GO</w:t>
        </w:r>
      </w:hyperlink>
    </w:p>
    <w:p w14:paraId="1AD63323" w14:textId="77777777" w:rsidR="008B7877" w:rsidRPr="008B7877" w:rsidRDefault="008B7877" w:rsidP="008B7877">
      <w:pPr>
        <w:autoSpaceDE w:val="0"/>
        <w:autoSpaceDN w:val="0"/>
        <w:adjustRightInd w:val="0"/>
        <w:rPr>
          <w:color w:val="000000"/>
          <w:sz w:val="24"/>
          <w:szCs w:val="24"/>
        </w:rPr>
      </w:pPr>
      <w:r w:rsidRPr="008B7877">
        <w:rPr>
          <w:noProof/>
          <w:sz w:val="24"/>
          <w:szCs w:val="24"/>
        </w:rPr>
        <w:drawing>
          <wp:inline distT="0" distB="0" distL="0" distR="0" wp14:anchorId="4BB34096" wp14:editId="15F152E9">
            <wp:extent cx="1200150" cy="180975"/>
            <wp:effectExtent l="0" t="0" r="0" b="9525"/>
            <wp:docPr id="4" name="Imagem 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a:hlinkClick r:id="rId75"/>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26748B66" w14:textId="77777777" w:rsidR="008B7877" w:rsidRPr="008B7877" w:rsidRDefault="008B7877" w:rsidP="008B7877">
      <w:pPr>
        <w:spacing w:line="276" w:lineRule="auto"/>
        <w:rPr>
          <w:sz w:val="24"/>
          <w:szCs w:val="24"/>
          <w:lang w:eastAsia="en-US"/>
        </w:rPr>
      </w:pPr>
    </w:p>
    <w:p w14:paraId="60149F0B" w14:textId="77777777" w:rsidR="008B7877" w:rsidRPr="008B7877" w:rsidRDefault="008B7877" w:rsidP="008B7877">
      <w:pPr>
        <w:rPr>
          <w:sz w:val="24"/>
          <w:szCs w:val="24"/>
          <w:lang w:eastAsia="en-US"/>
        </w:rPr>
      </w:pPr>
      <w:r w:rsidRPr="008B7877">
        <w:rPr>
          <w:b/>
          <w:bCs/>
          <w:sz w:val="24"/>
          <w:szCs w:val="24"/>
          <w:lang w:eastAsia="en-US"/>
        </w:rPr>
        <w:t>ODS</w:t>
      </w:r>
      <w:r w:rsidRPr="008B7877">
        <w:rPr>
          <w:sz w:val="24"/>
          <w:szCs w:val="24"/>
          <w:lang w:eastAsia="en-US"/>
        </w:rPr>
        <w:t xml:space="preserve">: </w:t>
      </w:r>
      <w:hyperlink r:id="rId76" w:history="1">
        <w:r w:rsidRPr="008B7877">
          <w:rPr>
            <w:color w:val="0000FF"/>
            <w:sz w:val="24"/>
            <w:szCs w:val="24"/>
            <w:u w:val="single"/>
            <w:lang w:eastAsia="en-US"/>
          </w:rPr>
          <w:t>9</w:t>
        </w:r>
      </w:hyperlink>
      <w:r w:rsidRPr="008B7877">
        <w:rPr>
          <w:sz w:val="24"/>
          <w:szCs w:val="24"/>
          <w:lang w:eastAsia="en-US"/>
        </w:rPr>
        <w:t xml:space="preserve"> e </w:t>
      </w:r>
      <w:hyperlink r:id="rId77" w:history="1">
        <w:r w:rsidRPr="008B7877">
          <w:rPr>
            <w:color w:val="0000FF"/>
            <w:sz w:val="24"/>
            <w:szCs w:val="24"/>
            <w:u w:val="single"/>
            <w:lang w:eastAsia="en-US"/>
          </w:rPr>
          <w:t>16</w:t>
        </w:r>
      </w:hyperlink>
    </w:p>
    <w:p w14:paraId="122664C8" w14:textId="77777777" w:rsidR="008B7877" w:rsidRPr="008B7877" w:rsidRDefault="008B7877" w:rsidP="008B7877">
      <w:pPr>
        <w:spacing w:line="276" w:lineRule="auto"/>
        <w:rPr>
          <w:sz w:val="24"/>
          <w:szCs w:val="24"/>
          <w:lang w:eastAsia="en-US"/>
        </w:rPr>
      </w:pPr>
    </w:p>
    <w:p w14:paraId="65F502D4" w14:textId="77777777" w:rsidR="008B7877" w:rsidRPr="008B7877" w:rsidRDefault="008B7877" w:rsidP="008B7877">
      <w:pPr>
        <w:spacing w:line="360" w:lineRule="auto"/>
        <w:rPr>
          <w:sz w:val="24"/>
          <w:szCs w:val="24"/>
          <w:lang w:eastAsia="en-US"/>
        </w:rPr>
      </w:pPr>
      <w:r w:rsidRPr="008B7877">
        <w:rPr>
          <w:sz w:val="24"/>
          <w:szCs w:val="24"/>
          <w:lang w:eastAsia="en-US"/>
        </w:rPr>
        <w:t>Resumo:</w:t>
      </w:r>
    </w:p>
    <w:p w14:paraId="037A655F" w14:textId="6283E843" w:rsidR="008B7877" w:rsidRPr="008B7877" w:rsidRDefault="008B7877" w:rsidP="008B7877">
      <w:pPr>
        <w:spacing w:line="360" w:lineRule="auto"/>
        <w:rPr>
          <w:b/>
          <w:bCs/>
          <w:sz w:val="24"/>
          <w:szCs w:val="24"/>
          <w:lang w:eastAsia="en-US"/>
        </w:rPr>
      </w:pPr>
      <w:r w:rsidRPr="008B7877">
        <w:rPr>
          <w:sz w:val="24"/>
          <w:szCs w:val="24"/>
          <w:lang w:eastAsia="en-US"/>
        </w:rPr>
        <w:tab/>
      </w:r>
      <w:r w:rsidRPr="008B7877">
        <w:rPr>
          <w:b/>
          <w:bCs/>
          <w:sz w:val="24"/>
          <w:szCs w:val="24"/>
          <w:lang w:eastAsia="en-US"/>
        </w:rPr>
        <w:t xml:space="preserve">É inconstitucional </w:t>
      </w:r>
      <w:r w:rsidR="00006BC3" w:rsidRPr="008B7877">
        <w:rPr>
          <w:sz w:val="24"/>
          <w:szCs w:val="24"/>
          <w:lang w:eastAsia="en-US"/>
        </w:rPr>
        <w:t>–</w:t>
      </w:r>
      <w:r w:rsidRPr="008B7877">
        <w:rPr>
          <w:b/>
          <w:bCs/>
          <w:sz w:val="24"/>
          <w:szCs w:val="24"/>
          <w:lang w:eastAsia="en-US"/>
        </w:rPr>
        <w:t xml:space="preserve"> por violar a competência privativa da União para legislar sobre telecomunicações (CF/1988, art. 22, IV) e exclusiva para explorar esses serviços (CF/1988, art. 21, XI) </w:t>
      </w:r>
      <w:r w:rsidR="00006BC3" w:rsidRPr="008B7877">
        <w:rPr>
          <w:sz w:val="24"/>
          <w:szCs w:val="24"/>
          <w:lang w:eastAsia="en-US"/>
        </w:rPr>
        <w:t>–</w:t>
      </w:r>
      <w:r w:rsidRPr="008B7877">
        <w:rPr>
          <w:b/>
          <w:bCs/>
          <w:sz w:val="24"/>
          <w:szCs w:val="24"/>
          <w:lang w:eastAsia="en-US"/>
        </w:rPr>
        <w:t xml:space="preserve"> norma estadual que instituiu a exigência de licenciamento </w:t>
      </w:r>
      <w:r w:rsidRPr="008B7877">
        <w:rPr>
          <w:b/>
          <w:bCs/>
          <w:sz w:val="24"/>
          <w:szCs w:val="24"/>
          <w:lang w:eastAsia="en-US"/>
        </w:rPr>
        <w:lastRenderedPageBreak/>
        <w:t>ambiental estadual como condição para a instalação e operação de estações de transmissão de radiação eletromagnética não ionizante, as quais abrangem as Estações Rádio-Base (ERBs).</w:t>
      </w:r>
    </w:p>
    <w:p w14:paraId="098FA5A3" w14:textId="356098BF" w:rsidR="008B7877" w:rsidRPr="008B7877" w:rsidRDefault="008B7877" w:rsidP="008B7877">
      <w:pPr>
        <w:spacing w:line="360" w:lineRule="auto"/>
        <w:rPr>
          <w:sz w:val="24"/>
          <w:szCs w:val="24"/>
          <w:lang w:eastAsia="en-US"/>
        </w:rPr>
      </w:pPr>
      <w:r w:rsidRPr="008B7877">
        <w:rPr>
          <w:sz w:val="24"/>
          <w:szCs w:val="24"/>
          <w:lang w:eastAsia="en-US"/>
        </w:rPr>
        <w:tab/>
        <w:t xml:space="preserve">Os serviços de telecomunicações têm alcance nacional e transcendem as fronteiras do </w:t>
      </w:r>
      <w:r w:rsidR="00300190">
        <w:rPr>
          <w:sz w:val="24"/>
          <w:szCs w:val="24"/>
          <w:lang w:eastAsia="en-US"/>
        </w:rPr>
        <w:t>e</w:t>
      </w:r>
      <w:r w:rsidRPr="008B7877">
        <w:rPr>
          <w:sz w:val="24"/>
          <w:szCs w:val="24"/>
          <w:lang w:eastAsia="en-US"/>
        </w:rPr>
        <w:t>stado-membro. Assim, a definição de frequências, de padrões técnicos e de requisitos de instalação de infraestrutura deve ser uniforme em todo o território nacional para que o serviço funcione de forma integrada e eficiente. O fracionamento dessa regulação por unidade federativa cria obstáculos à implantação de redes e, em última análise, prejudica os próprios usuários.</w:t>
      </w:r>
    </w:p>
    <w:p w14:paraId="66D21390" w14:textId="77777777" w:rsidR="008B7877" w:rsidRPr="008B7877" w:rsidRDefault="008B7877" w:rsidP="008B7877">
      <w:pPr>
        <w:spacing w:line="360" w:lineRule="auto"/>
        <w:rPr>
          <w:sz w:val="24"/>
          <w:szCs w:val="24"/>
          <w:lang w:eastAsia="en-US"/>
        </w:rPr>
      </w:pPr>
      <w:r w:rsidRPr="008B7877">
        <w:rPr>
          <w:sz w:val="24"/>
          <w:szCs w:val="24"/>
          <w:lang w:eastAsia="en-US"/>
        </w:rPr>
        <w:tab/>
        <w:t>Nesse contexto, a União editou diversas normas (1) (2) (3) que regem a competência normativa sobre esse domínio (4) e vedou expressamente a imposição de condicionamentos pelos entes subnacionais (5).</w:t>
      </w:r>
    </w:p>
    <w:p w14:paraId="244561BE" w14:textId="39E4A24D" w:rsidR="008B7877" w:rsidRPr="008B7877" w:rsidRDefault="008B7877" w:rsidP="008B7877">
      <w:pPr>
        <w:spacing w:line="360" w:lineRule="auto"/>
        <w:rPr>
          <w:sz w:val="24"/>
          <w:szCs w:val="24"/>
          <w:lang w:eastAsia="en-US"/>
        </w:rPr>
      </w:pPr>
      <w:r w:rsidRPr="008B7877">
        <w:rPr>
          <w:sz w:val="24"/>
          <w:szCs w:val="24"/>
          <w:lang w:eastAsia="en-US"/>
        </w:rPr>
        <w:tab/>
        <w:t xml:space="preserve">Com base nesses e em outros entendimentos, o Plenário, por unanimidade, julgou procedente a ação direta para: (i) declarar a inconstitucionalidade do art. 22, XI, da </w:t>
      </w:r>
      <w:hyperlink r:id="rId78" w:anchor=":~:text=1o%20Esta%20Lei%20estabelece%20normas,31%20de%20agosto%20de%201981." w:history="1">
        <w:r w:rsidRPr="008B7877">
          <w:rPr>
            <w:color w:val="0000FF"/>
            <w:sz w:val="24"/>
            <w:szCs w:val="24"/>
            <w:u w:val="single"/>
            <w:lang w:eastAsia="en-US"/>
          </w:rPr>
          <w:t>Lei nº 20.694/2019</w:t>
        </w:r>
      </w:hyperlink>
      <w:r w:rsidRPr="008B7877">
        <w:rPr>
          <w:sz w:val="24"/>
          <w:szCs w:val="24"/>
          <w:lang w:eastAsia="en-US"/>
        </w:rPr>
        <w:t xml:space="preserve">, da linha “E2.13” do Anexo Único do </w:t>
      </w:r>
      <w:hyperlink r:id="rId79" w:history="1">
        <w:r w:rsidRPr="008B7877">
          <w:rPr>
            <w:color w:val="0000FF"/>
            <w:sz w:val="24"/>
            <w:szCs w:val="24"/>
            <w:u w:val="single"/>
            <w:lang w:eastAsia="en-US"/>
          </w:rPr>
          <w:t>Decreto nº 9.710/2020</w:t>
        </w:r>
      </w:hyperlink>
      <w:r w:rsidRPr="008B7877">
        <w:rPr>
          <w:sz w:val="24"/>
          <w:szCs w:val="24"/>
          <w:lang w:eastAsia="en-US"/>
        </w:rPr>
        <w:t xml:space="preserve"> e da linha “E2.13” do Anexo Único da </w:t>
      </w:r>
      <w:hyperlink r:id="rId80" w:history="1">
        <w:r w:rsidRPr="008B7877">
          <w:rPr>
            <w:color w:val="0000FF"/>
            <w:sz w:val="24"/>
            <w:szCs w:val="24"/>
            <w:u w:val="single"/>
            <w:lang w:eastAsia="en-US"/>
          </w:rPr>
          <w:t>Resolução CEMAM nº 259/2024</w:t>
        </w:r>
      </w:hyperlink>
      <w:r w:rsidRPr="008B7877">
        <w:rPr>
          <w:sz w:val="24"/>
          <w:szCs w:val="24"/>
          <w:lang w:eastAsia="en-US"/>
        </w:rPr>
        <w:t xml:space="preserve">, todos do Estado de Goiás, na parte em que exigem licenciamento ou registro ambiental estadual para a instalação e operação de Estações Rádio Base (ERBs) e demais infraestruturas de telecomunicações; e (ii) dar interpretação conforme à Constituição Federal aos arts. 4º; 6º parágrafo único; 8º; 9º; 10, I a III; 11 §§ 1º a 3º; 13 a 20; 23 a 35; 36 § 3º e 43 a 45 da </w:t>
      </w:r>
      <w:hyperlink r:id="rId81" w:anchor=":~:text=1o%20Esta%20Lei%20estabelece%20normas,31%20de%20agosto%20de%201981." w:history="1">
        <w:r w:rsidRPr="008B7877">
          <w:rPr>
            <w:color w:val="0000FF"/>
            <w:sz w:val="24"/>
            <w:szCs w:val="24"/>
            <w:u w:val="single"/>
            <w:lang w:eastAsia="en-US"/>
          </w:rPr>
          <w:t>Lei nº 20.694/2019</w:t>
        </w:r>
      </w:hyperlink>
      <w:r w:rsidRPr="008B7877">
        <w:rPr>
          <w:sz w:val="24"/>
          <w:szCs w:val="24"/>
          <w:lang w:eastAsia="en-US"/>
        </w:rPr>
        <w:t xml:space="preserve">, bem como aos dispositivos do </w:t>
      </w:r>
      <w:hyperlink r:id="rId82" w:history="1">
        <w:r w:rsidRPr="008B7877">
          <w:rPr>
            <w:color w:val="0000FF"/>
            <w:sz w:val="24"/>
            <w:szCs w:val="24"/>
            <w:u w:val="single"/>
            <w:lang w:eastAsia="en-US"/>
          </w:rPr>
          <w:t>Decreto nº 9.710/2020</w:t>
        </w:r>
      </w:hyperlink>
      <w:r w:rsidRPr="008B7877">
        <w:rPr>
          <w:sz w:val="24"/>
          <w:szCs w:val="24"/>
          <w:lang w:eastAsia="en-US"/>
        </w:rPr>
        <w:t xml:space="preserve"> e da </w:t>
      </w:r>
      <w:hyperlink r:id="rId83" w:history="1">
        <w:r w:rsidRPr="008B7877">
          <w:rPr>
            <w:color w:val="0000FF"/>
            <w:sz w:val="24"/>
            <w:szCs w:val="24"/>
            <w:u w:val="single"/>
            <w:lang w:eastAsia="en-US"/>
          </w:rPr>
          <w:t>Resolução CEMAM nº 259/2024</w:t>
        </w:r>
      </w:hyperlink>
      <w:r w:rsidRPr="008B7877">
        <w:rPr>
          <w:sz w:val="24"/>
          <w:szCs w:val="24"/>
          <w:lang w:eastAsia="en-US"/>
        </w:rPr>
        <w:t xml:space="preserve">, todos do mencionado </w:t>
      </w:r>
      <w:r w:rsidR="00B34524">
        <w:rPr>
          <w:sz w:val="24"/>
          <w:szCs w:val="24"/>
          <w:lang w:eastAsia="en-US"/>
        </w:rPr>
        <w:t>e</w:t>
      </w:r>
      <w:r w:rsidRPr="008B7877">
        <w:rPr>
          <w:sz w:val="24"/>
          <w:szCs w:val="24"/>
          <w:lang w:eastAsia="en-US"/>
        </w:rPr>
        <w:t>stado-membro, para excluir do seu âmbito de incidência as atividades relacionadas à instalação e operação das ERBs e demais infraestruturas de telecomunicações, as quais devem observar exclusivamente a legislação federal e a regulamentação expedida pela Agência Nacional de Telecomunicações (Anatel), nos termos dos arts. 21, XI, e 22, IV, da Constituição Federal.</w:t>
      </w:r>
    </w:p>
    <w:p w14:paraId="14C3751E" w14:textId="77777777" w:rsidR="008B7877" w:rsidRPr="008B7877" w:rsidRDefault="008B7877" w:rsidP="008B7877">
      <w:pPr>
        <w:spacing w:afterLines="120" w:after="288"/>
        <w:rPr>
          <w:sz w:val="24"/>
          <w:szCs w:val="24"/>
          <w:lang w:eastAsia="en-US"/>
        </w:rPr>
      </w:pPr>
    </w:p>
    <w:p w14:paraId="2970B121" w14:textId="77777777" w:rsidR="008B7877" w:rsidRPr="008B7877" w:rsidRDefault="008B7877" w:rsidP="008B7877">
      <w:pPr>
        <w:spacing w:after="120"/>
        <w:ind w:firstLine="709"/>
        <w:contextualSpacing/>
        <w:rPr>
          <w:rFonts w:ascii="Arial" w:eastAsia="Aptos" w:hAnsi="Arial" w:cs="Arial"/>
          <w:kern w:val="2"/>
          <w:sz w:val="20"/>
          <w:szCs w:val="20"/>
          <w:lang w:eastAsia="en-US"/>
          <w14:ligatures w14:val="standardContextual"/>
        </w:rPr>
      </w:pPr>
      <w:r w:rsidRPr="008B7877">
        <w:rPr>
          <w:rFonts w:ascii="Aptos" w:eastAsia="Aptos" w:hAnsi="Aptos"/>
          <w:kern w:val="2"/>
          <w:sz w:val="22"/>
          <w:szCs w:val="22"/>
          <w:lang w:eastAsia="en-US"/>
          <w14:ligatures w14:val="standardContextual"/>
        </w:rPr>
        <w:t xml:space="preserve">(1) </w:t>
      </w:r>
      <w:hyperlink r:id="rId84" w:history="1">
        <w:r w:rsidRPr="008B7877">
          <w:rPr>
            <w:rFonts w:ascii="Arial" w:eastAsia="Aptos" w:hAnsi="Arial" w:cs="Arial"/>
            <w:color w:val="0000FF"/>
            <w:kern w:val="2"/>
            <w:sz w:val="20"/>
            <w:szCs w:val="20"/>
            <w:u w:val="single"/>
            <w:lang w:eastAsia="en-US"/>
            <w14:ligatures w14:val="standardContextual"/>
          </w:rPr>
          <w:t>Lei nº 9.472/1997</w:t>
        </w:r>
      </w:hyperlink>
      <w:r w:rsidRPr="008B7877">
        <w:rPr>
          <w:rFonts w:ascii="Arial" w:eastAsia="Aptos" w:hAnsi="Arial" w:cs="Arial"/>
          <w:kern w:val="2"/>
          <w:sz w:val="20"/>
          <w:szCs w:val="20"/>
          <w:lang w:eastAsia="en-US"/>
          <w14:ligatures w14:val="standardContextual"/>
        </w:rPr>
        <w:t>: “Dispõe sobre a organização dos serviços de telecomunicações, a criação e funcionamento de um órgão regulador e outros aspectos institucionais, nos termos da Emenda Constitucional nº 8, de 1995.”</w:t>
      </w:r>
    </w:p>
    <w:p w14:paraId="6347FF6D" w14:textId="77777777" w:rsidR="008B7877" w:rsidRPr="008B7877" w:rsidRDefault="008B7877" w:rsidP="008B7877">
      <w:pPr>
        <w:spacing w:after="120"/>
        <w:ind w:firstLine="709"/>
        <w:contextualSpacing/>
        <w:rPr>
          <w:rFonts w:ascii="Arial" w:eastAsia="Aptos" w:hAnsi="Arial" w:cs="Arial"/>
          <w:kern w:val="2"/>
          <w:sz w:val="20"/>
          <w:szCs w:val="20"/>
          <w:lang w:eastAsia="en-US"/>
          <w14:ligatures w14:val="standardContextual"/>
        </w:rPr>
      </w:pPr>
      <w:r w:rsidRPr="008B7877">
        <w:rPr>
          <w:rFonts w:ascii="Aptos" w:eastAsia="Aptos" w:hAnsi="Aptos"/>
          <w:kern w:val="2"/>
          <w:sz w:val="22"/>
          <w:szCs w:val="22"/>
          <w:lang w:eastAsia="en-US"/>
          <w14:ligatures w14:val="standardContextual"/>
        </w:rPr>
        <w:t xml:space="preserve">(2) </w:t>
      </w:r>
      <w:hyperlink r:id="rId85" w:history="1">
        <w:r w:rsidRPr="008B7877">
          <w:rPr>
            <w:rFonts w:ascii="Arial" w:eastAsia="Aptos" w:hAnsi="Arial" w:cs="Arial"/>
            <w:color w:val="0000FF"/>
            <w:kern w:val="2"/>
            <w:sz w:val="20"/>
            <w:szCs w:val="20"/>
            <w:u w:val="single"/>
            <w:lang w:eastAsia="en-US"/>
            <w14:ligatures w14:val="standardContextual"/>
          </w:rPr>
          <w:t>Lei nº 11.934/2009</w:t>
        </w:r>
      </w:hyperlink>
      <w:r w:rsidRPr="008B7877">
        <w:rPr>
          <w:rFonts w:ascii="Arial" w:eastAsia="Aptos" w:hAnsi="Arial" w:cs="Arial"/>
          <w:kern w:val="2"/>
          <w:sz w:val="20"/>
          <w:szCs w:val="20"/>
          <w:lang w:eastAsia="en-US"/>
          <w14:ligatures w14:val="standardContextual"/>
        </w:rPr>
        <w:t>: “Dispõe sobre limites à exposição humana a campos elétricos, magnéticos e eletromagnéticos; altera a Lei n</w:t>
      </w:r>
      <w:r w:rsidRPr="008B7877">
        <w:rPr>
          <w:rFonts w:ascii="Arial" w:eastAsia="Aptos" w:hAnsi="Arial" w:cs="Arial"/>
          <w:kern w:val="2"/>
          <w:sz w:val="20"/>
          <w:szCs w:val="20"/>
          <w:u w:val="single"/>
          <w:vertAlign w:val="superscript"/>
          <w:lang w:eastAsia="en-US"/>
          <w14:ligatures w14:val="standardContextual"/>
        </w:rPr>
        <w:t>o</w:t>
      </w:r>
      <w:r w:rsidRPr="008B7877">
        <w:rPr>
          <w:rFonts w:ascii="Arial" w:eastAsia="Aptos" w:hAnsi="Arial" w:cs="Arial"/>
          <w:kern w:val="2"/>
          <w:sz w:val="20"/>
          <w:szCs w:val="20"/>
          <w:lang w:eastAsia="en-US"/>
          <w14:ligatures w14:val="standardContextual"/>
        </w:rPr>
        <w:t> 4.771, de 15 de setembro de 1965; e dá outras providências.”</w:t>
      </w:r>
    </w:p>
    <w:p w14:paraId="5C1EDA87" w14:textId="77777777" w:rsidR="008B7877" w:rsidRPr="008B7877" w:rsidRDefault="008B7877" w:rsidP="008B7877">
      <w:pPr>
        <w:spacing w:after="120"/>
        <w:ind w:firstLine="709"/>
        <w:rPr>
          <w:rFonts w:ascii="Arial" w:hAnsi="Arial" w:cs="Arial"/>
          <w:sz w:val="20"/>
          <w:szCs w:val="20"/>
        </w:rPr>
      </w:pPr>
      <w:r w:rsidRPr="008B7877">
        <w:rPr>
          <w:rFonts w:ascii="Arial" w:hAnsi="Arial" w:cs="Arial"/>
          <w:sz w:val="20"/>
          <w:szCs w:val="20"/>
        </w:rPr>
        <w:t>(3)</w:t>
      </w:r>
      <w:r w:rsidRPr="008B7877">
        <w:t xml:space="preserve"> </w:t>
      </w:r>
      <w:hyperlink r:id="rId86" w:history="1">
        <w:r w:rsidRPr="008B7877">
          <w:rPr>
            <w:rFonts w:ascii="Arial" w:hAnsi="Arial" w:cs="Arial"/>
            <w:color w:val="0000FF"/>
            <w:sz w:val="20"/>
            <w:szCs w:val="20"/>
            <w:u w:val="single"/>
          </w:rPr>
          <w:t>Lei nº 13.116/2015</w:t>
        </w:r>
      </w:hyperlink>
      <w:r w:rsidRPr="008B7877">
        <w:rPr>
          <w:rFonts w:ascii="Arial" w:hAnsi="Arial" w:cs="Arial"/>
          <w:sz w:val="20"/>
          <w:szCs w:val="20"/>
        </w:rPr>
        <w:t>: “Estabelece normas gerais para implantação e compartilhamento da infraestrutura de telecomunicações e altera as Leis n  9.472, de 16 de julho de 1997, 11.934, de 5 de maio de 2009, e 10.257, de 10 de julho de 2001.”</w:t>
      </w:r>
    </w:p>
    <w:p w14:paraId="26B25665" w14:textId="77777777" w:rsidR="008B7877" w:rsidRPr="008B7877" w:rsidRDefault="008B7877" w:rsidP="008B7877">
      <w:pPr>
        <w:spacing w:after="120"/>
        <w:ind w:firstLine="709"/>
        <w:rPr>
          <w:rFonts w:ascii="Arial" w:hAnsi="Arial" w:cs="Arial"/>
          <w:sz w:val="20"/>
          <w:szCs w:val="20"/>
        </w:rPr>
      </w:pPr>
      <w:r w:rsidRPr="008B7877">
        <w:rPr>
          <w:rFonts w:ascii="Arial" w:hAnsi="Arial" w:cs="Arial"/>
          <w:sz w:val="20"/>
          <w:szCs w:val="20"/>
        </w:rPr>
        <w:lastRenderedPageBreak/>
        <w:t xml:space="preserve">(4) Precedentes citados: </w:t>
      </w:r>
      <w:hyperlink r:id="rId87" w:history="1">
        <w:r w:rsidRPr="008B7877">
          <w:rPr>
            <w:rFonts w:ascii="Arial" w:hAnsi="Arial" w:cs="Arial"/>
            <w:color w:val="0000FF"/>
            <w:sz w:val="20"/>
            <w:szCs w:val="20"/>
            <w:u w:val="single"/>
          </w:rPr>
          <w:t>ADI 3.110</w:t>
        </w:r>
      </w:hyperlink>
      <w:r w:rsidRPr="008B7877">
        <w:rPr>
          <w:rFonts w:ascii="Arial" w:hAnsi="Arial" w:cs="Arial"/>
          <w:sz w:val="20"/>
          <w:szCs w:val="20"/>
        </w:rPr>
        <w:t xml:space="preserve">, </w:t>
      </w:r>
      <w:hyperlink r:id="rId88" w:history="1">
        <w:r w:rsidRPr="008B7877">
          <w:rPr>
            <w:rFonts w:ascii="Arial" w:hAnsi="Arial" w:cs="Arial"/>
            <w:color w:val="0000FF"/>
            <w:sz w:val="20"/>
            <w:szCs w:val="20"/>
            <w:u w:val="single"/>
          </w:rPr>
          <w:t>ARE 1.370.232 RG</w:t>
        </w:r>
      </w:hyperlink>
      <w:r w:rsidRPr="008B7877">
        <w:rPr>
          <w:rFonts w:ascii="Arial" w:hAnsi="Arial" w:cs="Arial"/>
          <w:sz w:val="20"/>
          <w:szCs w:val="20"/>
        </w:rPr>
        <w:t xml:space="preserve">, </w:t>
      </w:r>
      <w:hyperlink r:id="rId89" w:history="1">
        <w:r w:rsidRPr="008B7877">
          <w:rPr>
            <w:rFonts w:ascii="Arial" w:hAnsi="Arial" w:cs="Arial"/>
            <w:color w:val="0000FF"/>
            <w:sz w:val="20"/>
            <w:szCs w:val="20"/>
            <w:u w:val="single"/>
          </w:rPr>
          <w:t>RE 776.594</w:t>
        </w:r>
      </w:hyperlink>
      <w:r w:rsidRPr="008B7877">
        <w:rPr>
          <w:rFonts w:ascii="Arial" w:hAnsi="Arial" w:cs="Arial"/>
          <w:sz w:val="20"/>
          <w:szCs w:val="20"/>
        </w:rPr>
        <w:t xml:space="preserve">, </w:t>
      </w:r>
      <w:hyperlink r:id="rId90" w:history="1">
        <w:r w:rsidRPr="008B7877">
          <w:rPr>
            <w:rFonts w:ascii="Arial" w:hAnsi="Arial" w:cs="Arial"/>
            <w:color w:val="0000FF"/>
            <w:sz w:val="20"/>
            <w:szCs w:val="20"/>
            <w:u w:val="single"/>
          </w:rPr>
          <w:t>ADI 7.321</w:t>
        </w:r>
      </w:hyperlink>
      <w:r w:rsidRPr="008B7877">
        <w:rPr>
          <w:rFonts w:ascii="Arial" w:hAnsi="Arial" w:cs="Arial"/>
          <w:sz w:val="20"/>
          <w:szCs w:val="20"/>
        </w:rPr>
        <w:t xml:space="preserve">, </w:t>
      </w:r>
      <w:hyperlink r:id="rId91" w:history="1">
        <w:r w:rsidRPr="008B7877">
          <w:rPr>
            <w:rFonts w:ascii="Arial" w:hAnsi="Arial" w:cs="Arial"/>
            <w:color w:val="0000FF"/>
            <w:sz w:val="20"/>
            <w:szCs w:val="20"/>
            <w:u w:val="single"/>
          </w:rPr>
          <w:t>ADI 7.413</w:t>
        </w:r>
      </w:hyperlink>
      <w:r w:rsidRPr="008B7877">
        <w:rPr>
          <w:rFonts w:ascii="Arial" w:hAnsi="Arial" w:cs="Arial"/>
          <w:sz w:val="20"/>
          <w:szCs w:val="20"/>
        </w:rPr>
        <w:t xml:space="preserve">, </w:t>
      </w:r>
      <w:hyperlink r:id="rId92" w:history="1">
        <w:r w:rsidRPr="008B7877">
          <w:rPr>
            <w:rFonts w:ascii="Arial" w:hAnsi="Arial" w:cs="Arial"/>
            <w:color w:val="0000FF"/>
            <w:sz w:val="20"/>
            <w:szCs w:val="20"/>
            <w:u w:val="single"/>
          </w:rPr>
          <w:t>ADI 7.509</w:t>
        </w:r>
      </w:hyperlink>
      <w:r w:rsidRPr="008B7877">
        <w:rPr>
          <w:rFonts w:ascii="Arial" w:hAnsi="Arial" w:cs="Arial"/>
          <w:sz w:val="20"/>
          <w:szCs w:val="20"/>
        </w:rPr>
        <w:t xml:space="preserve">, </w:t>
      </w:r>
      <w:hyperlink r:id="rId93" w:history="1">
        <w:r w:rsidRPr="008B7877">
          <w:rPr>
            <w:rFonts w:ascii="Arial" w:hAnsi="Arial" w:cs="Arial"/>
            <w:color w:val="0000FF"/>
            <w:sz w:val="20"/>
            <w:szCs w:val="20"/>
            <w:u w:val="single"/>
          </w:rPr>
          <w:t>ADI 7.621</w:t>
        </w:r>
      </w:hyperlink>
      <w:r w:rsidRPr="008B7877">
        <w:rPr>
          <w:rFonts w:ascii="Arial" w:hAnsi="Arial" w:cs="Arial"/>
          <w:sz w:val="20"/>
          <w:szCs w:val="20"/>
        </w:rPr>
        <w:t xml:space="preserve"> e </w:t>
      </w:r>
      <w:hyperlink r:id="rId94" w:history="1">
        <w:r w:rsidRPr="008B7877">
          <w:rPr>
            <w:rFonts w:ascii="Arial" w:hAnsi="Arial" w:cs="Arial"/>
            <w:color w:val="0000FF"/>
            <w:sz w:val="20"/>
            <w:szCs w:val="20"/>
            <w:u w:val="single"/>
          </w:rPr>
          <w:t>ADI 7.840</w:t>
        </w:r>
      </w:hyperlink>
      <w:r w:rsidRPr="008B7877">
        <w:rPr>
          <w:rFonts w:ascii="Arial" w:hAnsi="Arial" w:cs="Arial"/>
          <w:sz w:val="20"/>
          <w:szCs w:val="20"/>
        </w:rPr>
        <w:t>.</w:t>
      </w:r>
    </w:p>
    <w:p w14:paraId="22A92301" w14:textId="77777777" w:rsidR="008B7877" w:rsidRPr="008B7877" w:rsidRDefault="008B7877" w:rsidP="008B7877">
      <w:pPr>
        <w:spacing w:after="120"/>
        <w:ind w:firstLine="709"/>
        <w:rPr>
          <w:rFonts w:ascii="Arial" w:hAnsi="Arial" w:cs="Arial"/>
          <w:sz w:val="24"/>
          <w:szCs w:val="24"/>
        </w:rPr>
      </w:pPr>
      <w:r w:rsidRPr="008B7877">
        <w:rPr>
          <w:rFonts w:ascii="Arial" w:hAnsi="Arial" w:cs="Arial"/>
          <w:sz w:val="20"/>
          <w:szCs w:val="20"/>
        </w:rPr>
        <w:t>(5)</w:t>
      </w:r>
      <w:r w:rsidRPr="008B7877">
        <w:t xml:space="preserve"> </w:t>
      </w:r>
      <w:hyperlink r:id="rId95" w:history="1">
        <w:r w:rsidRPr="008B7877">
          <w:rPr>
            <w:rFonts w:ascii="Arial" w:hAnsi="Arial" w:cs="Arial"/>
            <w:color w:val="0000FF"/>
            <w:sz w:val="20"/>
            <w:szCs w:val="20"/>
            <w:u w:val="single"/>
          </w:rPr>
          <w:t>Lei nº 13.116/2015</w:t>
        </w:r>
      </w:hyperlink>
      <w:r w:rsidRPr="008B7877">
        <w:rPr>
          <w:rFonts w:ascii="Arial" w:hAnsi="Arial" w:cs="Arial"/>
          <w:sz w:val="20"/>
          <w:szCs w:val="20"/>
        </w:rPr>
        <w:t>: “Art. 4º A aplicação das disposições desta Lei rege-se pelos seguintes pressupostos: (...) II - a regulamentação e a fiscalização de aspectos técnicos das redes e dos serviços de telecomunicações é competência exclusiva da União, sendo vedado aos Estados, aos Municípios e ao Distrito Federal impor condicionamentos que possam afetar a seleção de tecnologia, a topologia das redes e a qualidade dos serviços prestados;”</w:t>
      </w:r>
    </w:p>
    <w:p w14:paraId="4DB0ADB0" w14:textId="77777777" w:rsidR="008B7877" w:rsidRPr="008B7877" w:rsidRDefault="008B7877" w:rsidP="008B7877">
      <w:pPr>
        <w:spacing w:line="360" w:lineRule="auto"/>
        <w:rPr>
          <w:sz w:val="24"/>
          <w:szCs w:val="24"/>
          <w:lang w:eastAsia="en-US"/>
        </w:rPr>
      </w:pPr>
    </w:p>
    <w:p w14:paraId="0E0407FD" w14:textId="77777777" w:rsidR="008B7877" w:rsidRPr="008B7877" w:rsidRDefault="008B7877" w:rsidP="008B7877">
      <w:pPr>
        <w:spacing w:line="360" w:lineRule="auto"/>
        <w:rPr>
          <w:sz w:val="24"/>
          <w:szCs w:val="24"/>
        </w:rPr>
      </w:pPr>
      <w:hyperlink r:id="rId96" w:history="1">
        <w:r w:rsidRPr="008B7877">
          <w:rPr>
            <w:color w:val="0000FF"/>
            <w:sz w:val="24"/>
            <w:szCs w:val="24"/>
            <w:u w:val="single"/>
          </w:rPr>
          <w:t>ADI 7.888/GO, relator Ministro Cristiano Zanin, julgamento virtual finalizado em 29.05.2026 (sexta-feira), às 23:59</w:t>
        </w:r>
      </w:hyperlink>
    </w:p>
    <w:p w14:paraId="61904A9B" w14:textId="77777777" w:rsidR="008B7877" w:rsidRDefault="008B7877" w:rsidP="00D64CF8"/>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270BFCBB" w14:textId="77777777" w:rsidR="00B65577" w:rsidRDefault="00B65577" w:rsidP="00B65577">
      <w:pPr>
        <w:autoSpaceDE w:val="0"/>
        <w:autoSpaceDN w:val="0"/>
        <w:adjustRightInd w:val="0"/>
      </w:pPr>
    </w:p>
    <w:p w14:paraId="72D3B25C" w14:textId="77777777" w:rsidR="00B65577" w:rsidRPr="00B65577" w:rsidRDefault="00B65577" w:rsidP="00B65577">
      <w:pPr>
        <w:rPr>
          <w:sz w:val="24"/>
          <w:szCs w:val="24"/>
          <w:lang w:eastAsia="en-US"/>
        </w:rPr>
      </w:pPr>
      <w:r w:rsidRPr="00B65577">
        <w:rPr>
          <w:sz w:val="24"/>
          <w:szCs w:val="24"/>
          <w:lang w:eastAsia="en-US"/>
        </w:rPr>
        <w:t>DIREITO PREVIDENCIÁRIO – REFORMA DA PREVIDÊNCIA; REGIME GERAL DA PREVIDÊNCIA SOCIAL; APOSENTADORIA ESPECIAL; IDADE MÍNIMA</w:t>
      </w:r>
    </w:p>
    <w:p w14:paraId="3E6E6CA8" w14:textId="77777777" w:rsidR="00B65577" w:rsidRPr="00B65577" w:rsidRDefault="00B65577" w:rsidP="00B65577">
      <w:pPr>
        <w:rPr>
          <w:sz w:val="24"/>
          <w:szCs w:val="24"/>
          <w:lang w:eastAsia="en-US"/>
        </w:rPr>
      </w:pPr>
    </w:p>
    <w:p w14:paraId="2D4B3EFA" w14:textId="77777777" w:rsidR="00B65577" w:rsidRPr="00B65577" w:rsidRDefault="00B65577" w:rsidP="00B65577">
      <w:pPr>
        <w:keepNext/>
        <w:keepLines/>
        <w:outlineLvl w:val="0"/>
        <w:rPr>
          <w:b/>
          <w:bCs/>
          <w:i/>
          <w:iCs/>
          <w:color w:val="0F4761"/>
          <w:sz w:val="24"/>
          <w:szCs w:val="24"/>
          <w:lang w:eastAsia="en-US"/>
        </w:rPr>
      </w:pPr>
      <w:bookmarkStart w:id="13" w:name="Aposentadoria"/>
      <w:r w:rsidRPr="00B65577">
        <w:rPr>
          <w:b/>
          <w:bCs/>
          <w:i/>
          <w:iCs/>
          <w:sz w:val="24"/>
          <w:szCs w:val="24"/>
          <w:lang w:eastAsia="en-US"/>
        </w:rPr>
        <w:t>Aposentadoria</w:t>
      </w:r>
      <w:bookmarkEnd w:id="13"/>
      <w:r w:rsidRPr="00B65577">
        <w:rPr>
          <w:b/>
          <w:bCs/>
          <w:i/>
          <w:iCs/>
          <w:sz w:val="24"/>
          <w:szCs w:val="24"/>
          <w:lang w:eastAsia="en-US"/>
        </w:rPr>
        <w:t xml:space="preserve"> especial: idade mínima para trabalhadores expostos a agentes nocivos </w:t>
      </w:r>
      <w:r w:rsidRPr="00B65577">
        <w:rPr>
          <w:sz w:val="24"/>
          <w:szCs w:val="24"/>
          <w:lang w:eastAsia="en-US"/>
        </w:rPr>
        <w:t xml:space="preserve">– </w:t>
      </w:r>
      <w:hyperlink r:id="rId97" w:history="1">
        <w:r w:rsidRPr="00B65577">
          <w:rPr>
            <w:rFonts w:eastAsia="Aptos"/>
            <w:kern w:val="2"/>
            <w:sz w:val="24"/>
            <w:szCs w:val="24"/>
            <w:lang w:eastAsia="en-US"/>
            <w14:ligatures w14:val="standardContextual"/>
          </w:rPr>
          <w:t xml:space="preserve">ADI 6.309/DF </w:t>
        </w:r>
      </w:hyperlink>
      <w:r w:rsidRPr="00B65577">
        <w:rPr>
          <w:rFonts w:ascii="Aptos" w:eastAsia="Aptos" w:hAnsi="Aptos"/>
          <w:color w:val="0000FF"/>
          <w:kern w:val="2"/>
          <w:sz w:val="22"/>
          <w:szCs w:val="22"/>
          <w:lang w:eastAsia="en-US"/>
          <w14:ligatures w14:val="standardContextual"/>
        </w:rPr>
        <w:t xml:space="preserve"> </w:t>
      </w:r>
      <w:r w:rsidRPr="00B65577">
        <w:rPr>
          <w:rFonts w:ascii="Aptos Display" w:hAnsi="Aptos Display"/>
          <w:noProof/>
          <w:color w:val="0F4761"/>
          <w:kern w:val="2"/>
          <w:sz w:val="24"/>
          <w:szCs w:val="24"/>
          <w:lang w:eastAsia="en-US"/>
          <w14:ligatures w14:val="standardContextual"/>
        </w:rPr>
        <w:drawing>
          <wp:inline distT="0" distB="0" distL="0" distR="0" wp14:anchorId="63D6BB97" wp14:editId="0530FC1E">
            <wp:extent cx="1195705" cy="180975"/>
            <wp:effectExtent l="0" t="0" r="4445" b="9525"/>
            <wp:docPr id="931672149" name="Imagem 4">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72149" name="Imagem 4">
                      <a:hlinkClick r:id="rId9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ABBBD69" w14:textId="77777777" w:rsidR="00B65577" w:rsidRDefault="00B65577" w:rsidP="00B65577">
      <w:pPr>
        <w:autoSpaceDE w:val="0"/>
        <w:autoSpaceDN w:val="0"/>
        <w:adjustRightInd w:val="0"/>
        <w:rPr>
          <w:sz w:val="24"/>
          <w:szCs w:val="24"/>
        </w:rPr>
      </w:pPr>
    </w:p>
    <w:p w14:paraId="66675862" w14:textId="16D01920" w:rsidR="00C62A33" w:rsidRPr="0022057C" w:rsidRDefault="00C62A33" w:rsidP="00B65577">
      <w:pPr>
        <w:autoSpaceDE w:val="0"/>
        <w:autoSpaceDN w:val="0"/>
        <w:adjustRightInd w:val="0"/>
      </w:pPr>
      <w:r w:rsidRPr="00C62A33">
        <w:rPr>
          <w:b/>
          <w:bCs/>
          <w:sz w:val="24"/>
          <w:szCs w:val="24"/>
          <w:lang w:eastAsia="en-US"/>
        </w:rPr>
        <w:t>ODS</w:t>
      </w:r>
      <w:r w:rsidRPr="0022057C">
        <w:rPr>
          <w:sz w:val="24"/>
          <w:szCs w:val="24"/>
          <w:lang w:eastAsia="en-US"/>
        </w:rPr>
        <w:t xml:space="preserve">: </w:t>
      </w:r>
      <w:hyperlink r:id="rId99" w:history="1">
        <w:r w:rsidRPr="0022057C">
          <w:rPr>
            <w:rStyle w:val="Hyperlink"/>
            <w:sz w:val="24"/>
            <w:szCs w:val="24"/>
            <w:lang w:eastAsia="en-US"/>
          </w:rPr>
          <w:t>1</w:t>
        </w:r>
      </w:hyperlink>
      <w:r w:rsidRPr="0022057C">
        <w:rPr>
          <w:sz w:val="24"/>
          <w:szCs w:val="24"/>
          <w:lang w:eastAsia="en-US"/>
        </w:rPr>
        <w:t xml:space="preserve">, </w:t>
      </w:r>
      <w:hyperlink r:id="rId100" w:history="1">
        <w:r w:rsidRPr="0022057C">
          <w:rPr>
            <w:rStyle w:val="Hyperlink"/>
            <w:sz w:val="24"/>
            <w:szCs w:val="24"/>
            <w:lang w:eastAsia="en-US"/>
          </w:rPr>
          <w:t>3</w:t>
        </w:r>
      </w:hyperlink>
      <w:r w:rsidRPr="0022057C">
        <w:rPr>
          <w:sz w:val="24"/>
          <w:szCs w:val="24"/>
          <w:lang w:eastAsia="en-US"/>
        </w:rPr>
        <w:t xml:space="preserve">, </w:t>
      </w:r>
      <w:hyperlink r:id="rId101" w:history="1">
        <w:r w:rsidRPr="0022057C">
          <w:rPr>
            <w:rStyle w:val="Hyperlink"/>
            <w:sz w:val="24"/>
            <w:szCs w:val="24"/>
            <w:lang w:eastAsia="en-US"/>
          </w:rPr>
          <w:t>8</w:t>
        </w:r>
      </w:hyperlink>
      <w:r w:rsidRPr="0022057C">
        <w:rPr>
          <w:sz w:val="24"/>
          <w:szCs w:val="24"/>
          <w:lang w:eastAsia="en-US"/>
        </w:rPr>
        <w:t xml:space="preserve">, </w:t>
      </w:r>
      <w:hyperlink r:id="rId102" w:history="1">
        <w:r w:rsidRPr="0022057C">
          <w:rPr>
            <w:rStyle w:val="Hyperlink"/>
            <w:sz w:val="24"/>
            <w:szCs w:val="24"/>
            <w:lang w:eastAsia="en-US"/>
          </w:rPr>
          <w:t>10</w:t>
        </w:r>
      </w:hyperlink>
      <w:r w:rsidRPr="0022057C">
        <w:rPr>
          <w:sz w:val="24"/>
          <w:szCs w:val="24"/>
          <w:lang w:eastAsia="en-US"/>
        </w:rPr>
        <w:t xml:space="preserve"> e </w:t>
      </w:r>
      <w:hyperlink r:id="rId103" w:history="1">
        <w:r w:rsidRPr="0022057C">
          <w:rPr>
            <w:rStyle w:val="Hyperlink"/>
            <w:sz w:val="24"/>
            <w:szCs w:val="24"/>
            <w:lang w:eastAsia="en-US"/>
          </w:rPr>
          <w:t>16</w:t>
        </w:r>
      </w:hyperlink>
    </w:p>
    <w:p w14:paraId="6970E6E5" w14:textId="77777777" w:rsidR="00C62A33" w:rsidRPr="00B65577" w:rsidRDefault="00C62A33" w:rsidP="00B65577">
      <w:pPr>
        <w:autoSpaceDE w:val="0"/>
        <w:autoSpaceDN w:val="0"/>
        <w:adjustRightInd w:val="0"/>
        <w:rPr>
          <w:sz w:val="24"/>
          <w:szCs w:val="24"/>
        </w:rPr>
      </w:pPr>
    </w:p>
    <w:p w14:paraId="316F30B9" w14:textId="77777777" w:rsidR="00B65577" w:rsidRPr="009D187B" w:rsidRDefault="00B65577" w:rsidP="00B65577">
      <w:pPr>
        <w:spacing w:line="360" w:lineRule="auto"/>
        <w:rPr>
          <w:sz w:val="24"/>
          <w:szCs w:val="24"/>
          <w:lang w:eastAsia="en-US"/>
        </w:rPr>
      </w:pPr>
      <w:r w:rsidRPr="009D187B">
        <w:rPr>
          <w:sz w:val="24"/>
          <w:szCs w:val="24"/>
          <w:lang w:eastAsia="en-US"/>
        </w:rPr>
        <w:t>Resumo:</w:t>
      </w:r>
    </w:p>
    <w:p w14:paraId="6B307769" w14:textId="3FF4E7D8" w:rsidR="00B65577" w:rsidRPr="00B65577" w:rsidRDefault="00B65577" w:rsidP="00B65577">
      <w:pPr>
        <w:spacing w:line="360" w:lineRule="auto"/>
        <w:rPr>
          <w:b/>
          <w:bCs/>
          <w:sz w:val="24"/>
          <w:szCs w:val="24"/>
          <w:lang w:eastAsia="en-US"/>
        </w:rPr>
      </w:pPr>
      <w:r w:rsidRPr="00B65577">
        <w:rPr>
          <w:sz w:val="24"/>
          <w:szCs w:val="24"/>
          <w:lang w:eastAsia="en-US"/>
        </w:rPr>
        <w:tab/>
      </w:r>
      <w:r w:rsidRPr="00B65577">
        <w:rPr>
          <w:b/>
          <w:bCs/>
          <w:sz w:val="24"/>
          <w:szCs w:val="24"/>
          <w:lang w:eastAsia="en-US"/>
        </w:rPr>
        <w:t>É inconstitucional a exigência de idade mínima para a concessão da aposentadoria especial prevista na Emenda Constitucional nº 103/2019, por ser incompatível com a finalidade protetiva do benefício.</w:t>
      </w:r>
    </w:p>
    <w:p w14:paraId="3D61E092" w14:textId="77777777" w:rsidR="00B65577" w:rsidRPr="00B65577" w:rsidRDefault="00B65577" w:rsidP="00B65577">
      <w:pPr>
        <w:spacing w:line="360" w:lineRule="auto"/>
        <w:ind w:firstLine="708"/>
        <w:rPr>
          <w:sz w:val="24"/>
          <w:szCs w:val="24"/>
          <w:lang w:eastAsia="en-US"/>
        </w:rPr>
      </w:pPr>
      <w:r w:rsidRPr="00B65577">
        <w:rPr>
          <w:sz w:val="24"/>
          <w:szCs w:val="24"/>
          <w:lang w:eastAsia="en-US"/>
        </w:rPr>
        <w:t xml:space="preserve">A aposentadoria especial possui natureza eminentemente preventiva e visa a proteção da saúde e da integridade física do trabalhador, tendo por finalidade afastá-lo do ambiente nocivo após o período máximo de exposição legalmente admitido. </w:t>
      </w:r>
    </w:p>
    <w:p w14:paraId="6EF10A64" w14:textId="77777777" w:rsidR="00B65577" w:rsidRPr="00B65577" w:rsidRDefault="00B65577" w:rsidP="00B65577">
      <w:pPr>
        <w:spacing w:line="360" w:lineRule="auto"/>
        <w:ind w:firstLine="708"/>
        <w:rPr>
          <w:sz w:val="24"/>
          <w:szCs w:val="24"/>
          <w:lang w:eastAsia="en-US"/>
        </w:rPr>
      </w:pPr>
      <w:r w:rsidRPr="00B65577">
        <w:rPr>
          <w:sz w:val="24"/>
          <w:szCs w:val="24"/>
          <w:lang w:eastAsia="en-US"/>
        </w:rPr>
        <w:t xml:space="preserve">Nesse contexto, a imposição de idade mínima para a concessão do benefício, mesmo após o cumprimento do tempo de atividade especial exigido, desvirtua sua finalidade protetiva ao compelir o segurado a permanecer exposto aos agentes nocivos por período superior ao considerado tolerável pelo ordenamento jurídico. Tal exigência, além de comprometer a efetividade da tutela constitucional conferida à saúde do trabalhador, esvazia a própria razão de ser da aposentadoria especial. </w:t>
      </w:r>
    </w:p>
    <w:p w14:paraId="302897DD" w14:textId="77777777" w:rsidR="00B65577" w:rsidRPr="00B65577" w:rsidRDefault="00B65577" w:rsidP="00B65577">
      <w:pPr>
        <w:spacing w:line="360" w:lineRule="auto"/>
        <w:ind w:firstLine="708"/>
        <w:rPr>
          <w:sz w:val="24"/>
          <w:szCs w:val="24"/>
          <w:lang w:eastAsia="en-US"/>
        </w:rPr>
      </w:pPr>
      <w:r w:rsidRPr="00B65577">
        <w:rPr>
          <w:sz w:val="24"/>
          <w:szCs w:val="24"/>
          <w:lang w:eastAsia="en-US"/>
        </w:rPr>
        <w:t xml:space="preserve">No caso, foram impugnados dispositivos da Emenda Constitucional nº 103/2019 (Reforma da Previdência) que alteraram os requisitos de concessão, a forma de cálculo dos benefícios e as regras de conversão do tempo de serviço aplicáveis à aposentadoria especial dos trabalhadores expostos a agentes nocivos. </w:t>
      </w:r>
    </w:p>
    <w:p w14:paraId="2056C4BD" w14:textId="77777777" w:rsidR="00B65577" w:rsidRPr="00B65577" w:rsidRDefault="00B65577" w:rsidP="00B65577">
      <w:pPr>
        <w:spacing w:line="360" w:lineRule="auto"/>
        <w:ind w:firstLine="708"/>
        <w:rPr>
          <w:sz w:val="24"/>
          <w:szCs w:val="24"/>
          <w:lang w:eastAsia="en-US"/>
        </w:rPr>
      </w:pPr>
      <w:r w:rsidRPr="00B65577">
        <w:rPr>
          <w:sz w:val="24"/>
          <w:szCs w:val="24"/>
          <w:lang w:eastAsia="en-US"/>
        </w:rPr>
        <w:t xml:space="preserve">Embora a busca pelo equilíbrio financeiro e atuarial do sistema previdenciário constitua finalidade legítima, a imposição de idade mínima para a aposentadoria especial revela-se </w:t>
      </w:r>
      <w:r w:rsidRPr="00B65577">
        <w:rPr>
          <w:sz w:val="24"/>
          <w:szCs w:val="24"/>
          <w:lang w:eastAsia="en-US"/>
        </w:rPr>
        <w:lastRenderedPageBreak/>
        <w:t>desproporcional, sobretudo porque esse objetivo já é contemplado por outras medidas introduzidas pela reforma.</w:t>
      </w:r>
    </w:p>
    <w:p w14:paraId="3BC65D21" w14:textId="77777777" w:rsidR="00B65577" w:rsidRPr="00B65577" w:rsidRDefault="00B65577" w:rsidP="00B65577">
      <w:pPr>
        <w:spacing w:line="360" w:lineRule="auto"/>
        <w:ind w:firstLine="708"/>
        <w:rPr>
          <w:sz w:val="24"/>
          <w:szCs w:val="24"/>
          <w:lang w:eastAsia="en-US"/>
        </w:rPr>
      </w:pPr>
      <w:r w:rsidRPr="00B65577">
        <w:rPr>
          <w:sz w:val="24"/>
          <w:szCs w:val="24"/>
          <w:lang w:eastAsia="en-US"/>
        </w:rPr>
        <w:t>Com base nesses e em outros entendimentos, o Plenário, por maioria,</w:t>
      </w:r>
      <w:r w:rsidRPr="00B65577">
        <w:rPr>
          <w:rFonts w:eastAsia="Aptos"/>
          <w:kern w:val="2"/>
          <w:sz w:val="24"/>
          <w:szCs w:val="24"/>
          <w:lang w:eastAsia="en-US"/>
          <w14:ligatures w14:val="standardContextual"/>
        </w:rPr>
        <w:t xml:space="preserve"> julgou parcialmente procedente a ação direta para declarar a inconstitucionalidade do art. 19, § 1º, I, alíneas </w:t>
      </w:r>
      <w:r w:rsidRPr="00B65577">
        <w:rPr>
          <w:rFonts w:eastAsia="Aptos"/>
          <w:i/>
          <w:kern w:val="2"/>
          <w:sz w:val="24"/>
          <w:szCs w:val="24"/>
          <w:lang w:eastAsia="en-US"/>
          <w14:ligatures w14:val="standardContextual"/>
        </w:rPr>
        <w:t>a</w:t>
      </w:r>
      <w:r w:rsidRPr="00B65577">
        <w:rPr>
          <w:rFonts w:eastAsia="Aptos"/>
          <w:kern w:val="2"/>
          <w:sz w:val="24"/>
          <w:szCs w:val="24"/>
          <w:lang w:eastAsia="en-US"/>
          <w14:ligatures w14:val="standardContextual"/>
        </w:rPr>
        <w:t xml:space="preserve">, </w:t>
      </w:r>
      <w:r w:rsidRPr="00B65577">
        <w:rPr>
          <w:rFonts w:eastAsia="Aptos"/>
          <w:i/>
          <w:kern w:val="2"/>
          <w:sz w:val="24"/>
          <w:szCs w:val="24"/>
          <w:lang w:eastAsia="en-US"/>
          <w14:ligatures w14:val="standardContextual"/>
        </w:rPr>
        <w:t>b</w:t>
      </w:r>
      <w:r w:rsidRPr="00B65577">
        <w:rPr>
          <w:rFonts w:eastAsia="Aptos"/>
          <w:kern w:val="2"/>
          <w:sz w:val="24"/>
          <w:szCs w:val="24"/>
          <w:lang w:eastAsia="en-US"/>
          <w14:ligatures w14:val="standardContextual"/>
        </w:rPr>
        <w:t xml:space="preserve"> e </w:t>
      </w:r>
      <w:r w:rsidRPr="00B65577">
        <w:rPr>
          <w:rFonts w:eastAsia="Aptos"/>
          <w:i/>
          <w:kern w:val="2"/>
          <w:sz w:val="24"/>
          <w:szCs w:val="24"/>
          <w:lang w:eastAsia="en-US"/>
          <w14:ligatures w14:val="standardContextual"/>
        </w:rPr>
        <w:t>c</w:t>
      </w:r>
      <w:r w:rsidRPr="00B65577">
        <w:rPr>
          <w:rFonts w:eastAsia="Aptos"/>
          <w:kern w:val="2"/>
          <w:sz w:val="24"/>
          <w:szCs w:val="24"/>
          <w:lang w:eastAsia="en-US"/>
          <w14:ligatures w14:val="standardContextual"/>
        </w:rPr>
        <w:t xml:space="preserve">, da </w:t>
      </w:r>
      <w:hyperlink r:id="rId104" w:history="1">
        <w:r w:rsidRPr="00B65577">
          <w:rPr>
            <w:rFonts w:eastAsia="Aptos"/>
            <w:color w:val="0000FF"/>
            <w:kern w:val="2"/>
            <w:sz w:val="24"/>
            <w:szCs w:val="24"/>
            <w:u w:val="single"/>
            <w:lang w:eastAsia="en-US"/>
            <w14:ligatures w14:val="standardContextual"/>
          </w:rPr>
          <w:t>EC nº 103/2019</w:t>
        </w:r>
      </w:hyperlink>
      <w:r w:rsidRPr="00B65577">
        <w:rPr>
          <w:rFonts w:eastAsia="Aptos"/>
          <w:kern w:val="2"/>
          <w:sz w:val="24"/>
          <w:szCs w:val="24"/>
          <w:lang w:eastAsia="en-US"/>
          <w14:ligatures w14:val="standardContextual"/>
        </w:rPr>
        <w:t>, mantendo a validade dos demais dispositivos impugnados.</w:t>
      </w:r>
    </w:p>
    <w:p w14:paraId="43EF85FE" w14:textId="77777777" w:rsidR="00B65577" w:rsidRPr="00B65577" w:rsidRDefault="00B65577" w:rsidP="00B65577">
      <w:pPr>
        <w:spacing w:line="360" w:lineRule="auto"/>
        <w:rPr>
          <w:sz w:val="24"/>
          <w:szCs w:val="24"/>
          <w:lang w:eastAsia="en-US"/>
        </w:rPr>
      </w:pPr>
    </w:p>
    <w:p w14:paraId="56F4344B" w14:textId="77777777" w:rsidR="00B65577" w:rsidRPr="00B65577" w:rsidRDefault="00B65577" w:rsidP="00B65577">
      <w:pPr>
        <w:spacing w:line="360" w:lineRule="auto"/>
        <w:rPr>
          <w:color w:val="0000FF"/>
          <w:sz w:val="24"/>
          <w:szCs w:val="24"/>
          <w:u w:val="single"/>
          <w:lang w:eastAsia="en-US"/>
        </w:rPr>
      </w:pPr>
      <w:hyperlink r:id="rId105" w:history="1">
        <w:r w:rsidRPr="00B65577">
          <w:rPr>
            <w:color w:val="0000FF"/>
            <w:sz w:val="24"/>
            <w:szCs w:val="24"/>
            <w:u w:val="single"/>
            <w:lang w:eastAsia="en-US"/>
          </w:rPr>
          <w:t>ADI 6.309/DF, relator Ministro Luís Roberto Barroso, redator do acórdão Ministro André Mendonça, julgamento finalizado em 03.06.2026 (quarta-feira)</w:t>
        </w:r>
      </w:hyperlink>
    </w:p>
    <w:p w14:paraId="0C73CA05" w14:textId="63E06E3D" w:rsidR="00B65577" w:rsidRDefault="00B65577" w:rsidP="00B65577">
      <w:pPr>
        <w:spacing w:after="160"/>
      </w:pPr>
      <w:r w:rsidRPr="00B65577">
        <w:rPr>
          <w:noProof/>
          <w:sz w:val="22"/>
          <w:szCs w:val="22"/>
        </w:rPr>
        <w:drawing>
          <wp:inline distT="0" distB="0" distL="0" distR="0" wp14:anchorId="307A6D8A" wp14:editId="63C90625">
            <wp:extent cx="1188720" cy="121920"/>
            <wp:effectExtent l="0" t="0" r="0" b="0"/>
            <wp:docPr id="653183894" name="Imagem 1">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67BF286A" w14:textId="77777777" w:rsidR="00B65577" w:rsidRDefault="00B65577" w:rsidP="00082497">
      <w:pPr>
        <w:pStyle w:val="PargrafodaLista"/>
        <w:autoSpaceDE w:val="0"/>
        <w:autoSpaceDN w:val="0"/>
        <w:adjustRightInd w:val="0"/>
        <w:ind w:left="360"/>
        <w:jc w:val="right"/>
      </w:pPr>
    </w:p>
    <w:p w14:paraId="1A1DC965" w14:textId="77777777" w:rsidR="00B65577" w:rsidRDefault="00B65577" w:rsidP="00B6557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6137A2FA" w14:textId="77777777" w:rsidR="00B65577" w:rsidRDefault="00B65577" w:rsidP="00082497">
      <w:pPr>
        <w:pStyle w:val="PargrafodaLista"/>
        <w:autoSpaceDE w:val="0"/>
        <w:autoSpaceDN w:val="0"/>
        <w:adjustRightInd w:val="0"/>
        <w:ind w:left="360"/>
        <w:jc w:val="right"/>
      </w:pPr>
    </w:p>
    <w:bookmarkEnd w:id="3"/>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14" w:name="TURMAS"/>
      <w:r w:rsidR="00BA2E84">
        <w:rPr>
          <w:b/>
          <w:bCs/>
          <w:iCs/>
          <w:smallCaps/>
          <w:sz w:val="22"/>
          <w:szCs w:val="22"/>
        </w:rPr>
        <w:t>TURMAS</w:t>
      </w:r>
      <w:bookmarkEnd w:id="14"/>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7CEF9D6E" w14:textId="4CD3961E" w:rsidR="00A17DB3" w:rsidRPr="00A17DB3" w:rsidRDefault="00EF3ACC" w:rsidP="00A17DB3">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5" w:name="INOVAÇÕES"/>
      <w:r w:rsidRPr="003172B4">
        <w:rPr>
          <w:b/>
          <w:bCs/>
          <w:iCs/>
          <w:smallCaps/>
          <w:sz w:val="22"/>
          <w:szCs w:val="22"/>
        </w:rPr>
        <w:t xml:space="preserve">INOVAÇÕES </w:t>
      </w:r>
      <w:bookmarkEnd w:id="15"/>
      <w:r w:rsidRPr="003172B4">
        <w:rPr>
          <w:b/>
          <w:bCs/>
          <w:iCs/>
          <w:smallCaps/>
          <w:sz w:val="22"/>
          <w:szCs w:val="22"/>
        </w:rPr>
        <w:t>NORMATIVAS STF</w:t>
      </w:r>
    </w:p>
    <w:p w14:paraId="7608DBC4" w14:textId="08F3F8E5" w:rsidR="00A17DB3" w:rsidRPr="00A17DB3" w:rsidRDefault="00A17DB3" w:rsidP="00A17DB3">
      <w:pPr>
        <w:spacing w:after="120"/>
        <w:rPr>
          <w:color w:val="2E2E2E"/>
          <w:sz w:val="24"/>
          <w:szCs w:val="24"/>
        </w:rPr>
      </w:pPr>
      <w:hyperlink r:id="rId108" w:history="1">
        <w:r w:rsidRPr="00A17DB3">
          <w:rPr>
            <w:rStyle w:val="Hyperlink"/>
            <w:sz w:val="24"/>
            <w:szCs w:val="24"/>
          </w:rPr>
          <w:t>Resolução nº 910, de 11.06.2026</w:t>
        </w:r>
      </w:hyperlink>
      <w:r>
        <w:rPr>
          <w:color w:val="2E2E2E"/>
          <w:sz w:val="24"/>
          <w:szCs w:val="24"/>
        </w:rPr>
        <w:t xml:space="preserve"> </w:t>
      </w:r>
      <w:r w:rsidRPr="0022057C">
        <w:rPr>
          <w:sz w:val="24"/>
          <w:szCs w:val="24"/>
        </w:rPr>
        <w:t>- Torna públicas as tabelas de cargos em comissão e de funções comissionadas do quadro de pessoal do Supremo Tribunal Federal</w:t>
      </w:r>
      <w:r w:rsidRPr="00A17DB3">
        <w:rPr>
          <w:color w:val="2E2E2E"/>
          <w:sz w:val="24"/>
          <w:szCs w:val="24"/>
        </w:rPr>
        <w:t>.</w:t>
      </w:r>
    </w:p>
    <w:p w14:paraId="1769974D" w14:textId="017C9026" w:rsidR="00146C1B" w:rsidRPr="0022057C" w:rsidRDefault="00E30B2C" w:rsidP="00E30B2C">
      <w:pPr>
        <w:spacing w:after="120"/>
        <w:rPr>
          <w:sz w:val="24"/>
          <w:szCs w:val="24"/>
        </w:rPr>
      </w:pPr>
      <w:hyperlink r:id="rId109" w:history="1">
        <w:r w:rsidRPr="00E30B2C">
          <w:rPr>
            <w:rStyle w:val="Hyperlink"/>
            <w:sz w:val="24"/>
            <w:szCs w:val="24"/>
          </w:rPr>
          <w:t>Instrução Normativa nº 335, de 10.06.2026</w:t>
        </w:r>
      </w:hyperlink>
      <w:r>
        <w:rPr>
          <w:color w:val="2E2E2E"/>
          <w:sz w:val="24"/>
          <w:szCs w:val="24"/>
        </w:rPr>
        <w:t xml:space="preserve"> </w:t>
      </w:r>
      <w:r w:rsidRPr="0022057C">
        <w:rPr>
          <w:sz w:val="24"/>
          <w:szCs w:val="24"/>
        </w:rPr>
        <w:t xml:space="preserve">- Altera dispositivos da </w:t>
      </w:r>
      <w:hyperlink r:id="rId110" w:history="1">
        <w:r w:rsidRPr="00A16747">
          <w:rPr>
            <w:rStyle w:val="Hyperlink"/>
            <w:sz w:val="24"/>
            <w:szCs w:val="24"/>
          </w:rPr>
          <w:t>Instrução Normativa nº 296, de 3 de maio de 2024</w:t>
        </w:r>
      </w:hyperlink>
      <w:r w:rsidRPr="0022057C">
        <w:rPr>
          <w:sz w:val="24"/>
          <w:szCs w:val="24"/>
        </w:rPr>
        <w:t>, que regulamenta o estágio de estudantes no Supremo Tribunal Federal.</w:t>
      </w:r>
    </w:p>
    <w:p w14:paraId="199EF46F" w14:textId="71AC0072" w:rsidR="00E30B2C" w:rsidRPr="0022057C" w:rsidRDefault="00E30B2C" w:rsidP="00E30B2C">
      <w:pPr>
        <w:spacing w:after="120"/>
        <w:rPr>
          <w:sz w:val="24"/>
          <w:szCs w:val="24"/>
        </w:rPr>
      </w:pPr>
      <w:hyperlink r:id="rId111" w:history="1">
        <w:r w:rsidRPr="00E30B2C">
          <w:rPr>
            <w:rStyle w:val="Hyperlink"/>
            <w:sz w:val="24"/>
            <w:szCs w:val="24"/>
          </w:rPr>
          <w:t>Portaria GDG nº 120, de 08.06.2026</w:t>
        </w:r>
      </w:hyperlink>
      <w:r>
        <w:rPr>
          <w:color w:val="2E2E2E"/>
          <w:sz w:val="24"/>
          <w:szCs w:val="24"/>
        </w:rPr>
        <w:t xml:space="preserve"> - </w:t>
      </w:r>
      <w:r w:rsidRPr="0022057C">
        <w:rPr>
          <w:sz w:val="24"/>
          <w:szCs w:val="24"/>
        </w:rPr>
        <w:t>Dispõe sobre a atualização dos valores de venda das publicações editadas pelo Supremo Tribunal Federal e dos suvenires (Ementa elaborada pela Biblioteca).</w:t>
      </w:r>
    </w:p>
    <w:p w14:paraId="32711B3B" w14:textId="4DEE693D" w:rsidR="00137FFC" w:rsidRPr="00137FFC" w:rsidRDefault="00137FFC" w:rsidP="00137FFC">
      <w:pPr>
        <w:spacing w:after="120"/>
        <w:rPr>
          <w:color w:val="2E2E2E"/>
          <w:sz w:val="24"/>
          <w:szCs w:val="24"/>
        </w:rPr>
      </w:pPr>
      <w:hyperlink r:id="rId112" w:history="1">
        <w:r w:rsidRPr="00137FFC">
          <w:rPr>
            <w:rStyle w:val="Hyperlink"/>
            <w:sz w:val="24"/>
            <w:szCs w:val="24"/>
          </w:rPr>
          <w:t>Portaria GDG nº 124, de 08.06.2026</w:t>
        </w:r>
      </w:hyperlink>
      <w:r>
        <w:rPr>
          <w:color w:val="2E2E2E"/>
          <w:sz w:val="24"/>
          <w:szCs w:val="24"/>
        </w:rPr>
        <w:t xml:space="preserve"> </w:t>
      </w:r>
      <w:r w:rsidRPr="0022057C">
        <w:rPr>
          <w:sz w:val="24"/>
          <w:szCs w:val="24"/>
        </w:rPr>
        <w:t>- Suspende os prazos processuais no período de 2 a 31 de julho de 2026 (Ementa elaborada pela Biblioteca).</w:t>
      </w:r>
    </w:p>
    <w:p w14:paraId="382E86B8" w14:textId="77777777" w:rsidR="00137FFC" w:rsidRPr="00137FFC" w:rsidRDefault="00137FFC" w:rsidP="00137FFC">
      <w:pPr>
        <w:spacing w:after="120"/>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113"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lastRenderedPageBreak/>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116"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117"/>
      <w:footerReference w:type="even" r:id="rId118"/>
      <w:footerReference w:type="default" r:id="rId119"/>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BC3"/>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3E36"/>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57"/>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38C"/>
    <w:rsid w:val="000B58B5"/>
    <w:rsid w:val="000B5CD5"/>
    <w:rsid w:val="000B6675"/>
    <w:rsid w:val="000B6A08"/>
    <w:rsid w:val="000B6C14"/>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850"/>
    <w:rsid w:val="000F0C36"/>
    <w:rsid w:val="000F0E11"/>
    <w:rsid w:val="000F0FE2"/>
    <w:rsid w:val="000F1321"/>
    <w:rsid w:val="000F2270"/>
    <w:rsid w:val="000F3458"/>
    <w:rsid w:val="000F362F"/>
    <w:rsid w:val="000F3B4C"/>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37FFC"/>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3E67"/>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8B2"/>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37F"/>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83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1597"/>
    <w:rsid w:val="00212483"/>
    <w:rsid w:val="00212727"/>
    <w:rsid w:val="00213B2C"/>
    <w:rsid w:val="00213F43"/>
    <w:rsid w:val="00216343"/>
    <w:rsid w:val="0021690C"/>
    <w:rsid w:val="0022057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81D"/>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AA4"/>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01"/>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190"/>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56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240"/>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8FE"/>
    <w:rsid w:val="00415D85"/>
    <w:rsid w:val="004165DC"/>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323"/>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BDA"/>
    <w:rsid w:val="00454C13"/>
    <w:rsid w:val="00454F1B"/>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6A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60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96"/>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1C04"/>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1E0D"/>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2DB9"/>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6C32"/>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2D6"/>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2A9"/>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0B4"/>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0807"/>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11D"/>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877"/>
    <w:rsid w:val="008B7EDE"/>
    <w:rsid w:val="008B7F15"/>
    <w:rsid w:val="008C00AB"/>
    <w:rsid w:val="008C031E"/>
    <w:rsid w:val="008C06C6"/>
    <w:rsid w:val="008C071B"/>
    <w:rsid w:val="008C089D"/>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023"/>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2A90"/>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66A"/>
    <w:rsid w:val="009649BC"/>
    <w:rsid w:val="00964F6B"/>
    <w:rsid w:val="009650CB"/>
    <w:rsid w:val="009656AC"/>
    <w:rsid w:val="00965B57"/>
    <w:rsid w:val="0096604B"/>
    <w:rsid w:val="00966AB4"/>
    <w:rsid w:val="00967782"/>
    <w:rsid w:val="00970723"/>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87B"/>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131"/>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6747"/>
    <w:rsid w:val="00A171F0"/>
    <w:rsid w:val="00A175CF"/>
    <w:rsid w:val="00A17979"/>
    <w:rsid w:val="00A17B2D"/>
    <w:rsid w:val="00A17DB3"/>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1B6"/>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C8D"/>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35F"/>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524"/>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577"/>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624"/>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2A33"/>
    <w:rsid w:val="00C63446"/>
    <w:rsid w:val="00C63502"/>
    <w:rsid w:val="00C6399D"/>
    <w:rsid w:val="00C63CF6"/>
    <w:rsid w:val="00C64464"/>
    <w:rsid w:val="00C648E9"/>
    <w:rsid w:val="00C64AFF"/>
    <w:rsid w:val="00C6538B"/>
    <w:rsid w:val="00C66332"/>
    <w:rsid w:val="00C66682"/>
    <w:rsid w:val="00C66BDF"/>
    <w:rsid w:val="00C676EC"/>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1B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3F"/>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3C22"/>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0A5"/>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CF8"/>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B92"/>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4E"/>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0B2C"/>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586"/>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113"/>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352"/>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C7DBB"/>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3E56"/>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809"/>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portal.stf.jus.br/processos/detalhe.asp?incidente=6201103" TargetMode="External"/><Relationship Id="rId117" Type="http://schemas.openxmlformats.org/officeDocument/2006/relationships/header" Target="header1.xml"/><Relationship Id="rId21" Type="http://schemas.openxmlformats.org/officeDocument/2006/relationships/hyperlink" Target="http://portal.stf.jus.br/hotsites/agenda-2030/index.html" TargetMode="External"/><Relationship Id="rId42" Type="http://schemas.openxmlformats.org/officeDocument/2006/relationships/hyperlink" Target="http://portal.stf.jus.br/hotsites/agenda-2030/index.html" TargetMode="External"/><Relationship Id="rId47" Type="http://schemas.openxmlformats.org/officeDocument/2006/relationships/hyperlink" Target="https://redir.stf.jus.br/paginadorpub/paginador.jsp?docTP=TP&amp;docID=760946124" TargetMode="External"/><Relationship Id="rId63" Type="http://schemas.openxmlformats.org/officeDocument/2006/relationships/hyperlink" Target="https://www.planalto.gov.br/ccivil_03/_ato2023-2026/2024/lei/l15042.htm" TargetMode="External"/><Relationship Id="rId68" Type="http://schemas.openxmlformats.org/officeDocument/2006/relationships/hyperlink" Target="http://portal.stf.jus.br/hotsites/agenda-2030/index.html" TargetMode="External"/><Relationship Id="rId84" Type="http://schemas.openxmlformats.org/officeDocument/2006/relationships/hyperlink" Target="https://www.planalto.gov.br/ccivil_03/leis/l9472.htm" TargetMode="External"/><Relationship Id="rId89" Type="http://schemas.openxmlformats.org/officeDocument/2006/relationships/hyperlink" Target="https://redir.stf.jus.br/paginadorpub/paginador.jsp?docTP=TP&amp;docID=765428169" TargetMode="External"/><Relationship Id="rId112" Type="http://schemas.openxmlformats.org/officeDocument/2006/relationships/hyperlink" Target="https://atosnormativos.stf.jus.br/visualizador/LWIPs54B1UTUOSRpu7ct" TargetMode="External"/><Relationship Id="rId16" Type="http://schemas.openxmlformats.org/officeDocument/2006/relationships/hyperlink" Target="https://portal.stf.jus.br/processos/detalhe.asp?incidente=7403497" TargetMode="External"/><Relationship Id="rId107" Type="http://schemas.openxmlformats.org/officeDocument/2006/relationships/image" Target="media/image2.png"/><Relationship Id="rId11" Type="http://schemas.openxmlformats.org/officeDocument/2006/relationships/hyperlink" Target="https://portal.stf.jus.br/processos/detalhe.asp?incidente=7268623" TargetMode="External"/><Relationship Id="rId32" Type="http://schemas.openxmlformats.org/officeDocument/2006/relationships/hyperlink" Target="https://redir.stf.jus.br/paginadorpub/paginador.jsp?docTP=TP&amp;docID=758230887" TargetMode="External"/><Relationship Id="rId37" Type="http://schemas.openxmlformats.org/officeDocument/2006/relationships/hyperlink" Target="https://redir.stf.jus.br/paginadorpub/paginador.jsp?docTP=TP&amp;docID=10329542" TargetMode="External"/><Relationship Id="rId53" Type="http://schemas.openxmlformats.org/officeDocument/2006/relationships/hyperlink" Target="http://portal.stf.jus.br/hotsites/agenda-2030/index.html" TargetMode="External"/><Relationship Id="rId58" Type="http://schemas.openxmlformats.org/officeDocument/2006/relationships/hyperlink" Target="https://redir.stf.jus.br/paginadorpub/paginador.jsp?docTP=TP&amp;docID=792784739" TargetMode="External"/><Relationship Id="rId74" Type="http://schemas.openxmlformats.org/officeDocument/2006/relationships/hyperlink" Target="https://portal.stf.jus.br/processos/detalhe.asp?incidente=7403497" TargetMode="External"/><Relationship Id="rId79" Type="http://schemas.openxmlformats.org/officeDocument/2006/relationships/hyperlink" Target="https://legisla.casacivil.go.gov.br/pesquisa_legislacao/103356/decreto-9710" TargetMode="External"/><Relationship Id="rId102" Type="http://schemas.openxmlformats.org/officeDocument/2006/relationships/hyperlink" Target="https://portal.stf.jus.br/hotsites/agenda-2030/index.html" TargetMode="External"/><Relationship Id="rId5" Type="http://schemas.openxmlformats.org/officeDocument/2006/relationships/webSettings" Target="webSettings.xml"/><Relationship Id="rId90" Type="http://schemas.openxmlformats.org/officeDocument/2006/relationships/hyperlink" Target="https://redir.stf.jus.br/paginadorpub/paginador.jsp?docTP=TP&amp;docID=769512895" TargetMode="External"/><Relationship Id="rId95" Type="http://schemas.openxmlformats.org/officeDocument/2006/relationships/hyperlink" Target="https://www.planalto.gov.br/ccivil_03/_ato2015-2018/2015/lei/l13116.htm" TargetMode="External"/><Relationship Id="rId22" Type="http://schemas.openxmlformats.org/officeDocument/2006/relationships/hyperlink" Target="https://www2.senado.leg.br/bdsf/bitstream/handle/id/70441/Constituicao_Estado_AP.pdf?sequence=8&amp;isAllowed=y" TargetMode="External"/><Relationship Id="rId27" Type="http://schemas.openxmlformats.org/officeDocument/2006/relationships/hyperlink" Target="https://portal.stf.jus.br/processos/detalhe.asp?incidente=7268623" TargetMode="External"/><Relationship Id="rId43" Type="http://schemas.openxmlformats.org/officeDocument/2006/relationships/hyperlink" Target="https://aleselegis.al.se.leg.br/Arquivo/Documents/legislacao/HTML_IMPRESSAO/C1762009.html" TargetMode="External"/><Relationship Id="rId48" Type="http://schemas.openxmlformats.org/officeDocument/2006/relationships/hyperlink" Target="https://redir.stf.jus.br/paginadorpub/paginador.jsp?docTP=TP&amp;docID=762737238" TargetMode="External"/><Relationship Id="rId64" Type="http://schemas.openxmlformats.org/officeDocument/2006/relationships/hyperlink" Target="https://www.planalto.gov.br/ccivil_03/_ato2023-2026/2024/lei/l15076.htm" TargetMode="External"/><Relationship Id="rId69" Type="http://schemas.openxmlformats.org/officeDocument/2006/relationships/hyperlink" Target="http://portal.stf.jus.br/hotsites/agenda-2030/index.html" TargetMode="External"/><Relationship Id="rId113" Type="http://schemas.openxmlformats.org/officeDocument/2006/relationships/hyperlink" Target="https://www.stf.jus.br/arquivo/cms/informativoSTF/anexo/Informativo_Dados/Dados_InformativosSTF.xlsx" TargetMode="External"/><Relationship Id="rId118" Type="http://schemas.openxmlformats.org/officeDocument/2006/relationships/footer" Target="footer1.xml"/><Relationship Id="rId80" Type="http://schemas.openxmlformats.org/officeDocument/2006/relationships/hyperlink" Target="https://legisla.casacivil.go.gov.br/pesquisa_ato_infralegal/semad/5584/resolucao-cemam-259" TargetMode="External"/><Relationship Id="rId85" Type="http://schemas.openxmlformats.org/officeDocument/2006/relationships/hyperlink" Target="https://www.planalto.gov.br/ccivil_03/_ato2007-2010/2009/lei/l11934.htm" TargetMode="External"/><Relationship Id="rId12" Type="http://schemas.openxmlformats.org/officeDocument/2006/relationships/hyperlink" Target="https://portal.stf.jus.br/processos/detalhe.asp?incidente=7006750" TargetMode="External"/><Relationship Id="rId17" Type="http://schemas.openxmlformats.org/officeDocument/2006/relationships/hyperlink" Target="https://portal.stf.jus.br/processos/detalhe.asp?incidente=5848987" TargetMode="External"/><Relationship Id="rId33" Type="http://schemas.openxmlformats.org/officeDocument/2006/relationships/hyperlink" Target="https://redir.stf.jus.br/paginadorpub/paginador.jsp?docTP=AC&amp;docID=266152" TargetMode="External"/><Relationship Id="rId38" Type="http://schemas.openxmlformats.org/officeDocument/2006/relationships/hyperlink" Target="https://www.al.ce.gov.br/paginas/constituicao-do-estado-do-ceara" TargetMode="External"/><Relationship Id="rId59" Type="http://schemas.openxmlformats.org/officeDocument/2006/relationships/hyperlink" Target="https://redir.stf.jus.br/paginadorpub/paginador.jsp?docTP=TP&amp;docID=750765676" TargetMode="External"/><Relationship Id="rId103" Type="http://schemas.openxmlformats.org/officeDocument/2006/relationships/hyperlink" Target="https://portal.stf.jus.br/hotsites/agenda-2030/index.html" TargetMode="External"/><Relationship Id="rId108" Type="http://schemas.openxmlformats.org/officeDocument/2006/relationships/hyperlink" Target="https://atosnormativos.stf.jus.br/visualizador/5WK7vJ4B1UTUOSRpMrdR" TargetMode="External"/><Relationship Id="rId54" Type="http://schemas.openxmlformats.org/officeDocument/2006/relationships/hyperlink" Target="http://portal.stf.jus.br/hotsites/agenda-2030/index.html" TargetMode="External"/><Relationship Id="rId70" Type="http://schemas.openxmlformats.org/officeDocument/2006/relationships/hyperlink" Target="https://www.planalto.gov.br/ccivil_03/_ato2004-2006/2006/lei/l11340.htm" TargetMode="External"/><Relationship Id="rId75" Type="http://schemas.openxmlformats.org/officeDocument/2006/relationships/hyperlink" Target="https://drive.google.com/file/d/16DyGYP_7FIs1Wyq1fjExq-Cvhsj6PgrT/view?usp=sharing" TargetMode="External"/><Relationship Id="rId91" Type="http://schemas.openxmlformats.org/officeDocument/2006/relationships/hyperlink" Target="https://redir.stf.jus.br/paginadorpub/paginador.jsp?docTP=TP&amp;docID=782375297" TargetMode="External"/><Relationship Id="rId96" Type="http://schemas.openxmlformats.org/officeDocument/2006/relationships/hyperlink" Target="https://portal.stf.jus.br/processos/detalhe.asp?incidente=740349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redir.stf.jus.br/paginadorpub/paginador.jsp?docTP=AC&amp;docID=347564" TargetMode="External"/><Relationship Id="rId28" Type="http://schemas.openxmlformats.org/officeDocument/2006/relationships/hyperlink" Target="https://drive.google.com/file/d/1GnS1_dKPvTWyMHsZZxbjF8dPVxolbKgQ/view?usp=sharing" TargetMode="External"/><Relationship Id="rId49" Type="http://schemas.openxmlformats.org/officeDocument/2006/relationships/hyperlink" Target="https://www.planalto.gov.br/ccivil_03/_ato2015-2018/2015/lei/l13089.htm" TargetMode="External"/><Relationship Id="rId114" Type="http://schemas.openxmlformats.org/officeDocument/2006/relationships/hyperlink" Target="https://portal.stf.jus.br/textos/verTexto.asp?servico=codi&amp;pagina=Plenario_Virtual" TargetMode="External"/><Relationship Id="rId119" Type="http://schemas.openxmlformats.org/officeDocument/2006/relationships/footer" Target="footer2.xml"/><Relationship Id="rId44" Type="http://schemas.openxmlformats.org/officeDocument/2006/relationships/hyperlink" Target="https://aleselegis.al.se.leg.br/Arquivo/Documents/legislacao/HTML/c3982023.html" TargetMode="External"/><Relationship Id="rId60" Type="http://schemas.openxmlformats.org/officeDocument/2006/relationships/hyperlink" Target="https://portal.stf.jus.br/jurisprudenciaRepercussao/verAndamentoProcesso.asp?incidente=5206938&amp;numeroProcesso=1054110&amp;classeProcesso=RE&amp;numeroTema=967" TargetMode="External"/><Relationship Id="rId65" Type="http://schemas.openxmlformats.org/officeDocument/2006/relationships/hyperlink" Target="https://portal.stf.jus.br/processos/detalhe.asp?incidente=7064773" TargetMode="External"/><Relationship Id="rId81" Type="http://schemas.openxmlformats.org/officeDocument/2006/relationships/hyperlink" Target="https://legisla.casacivil.go.gov.br/api/v2/pesquisa/legislacoes/100893/pdf" TargetMode="External"/><Relationship Id="rId86" Type="http://schemas.openxmlformats.org/officeDocument/2006/relationships/hyperlink" Target="https://www.planalto.gov.br/ccivil_03/_ato2015-2018/2015/lei/l13116.htm" TargetMode="Externa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processos/detalhe.asp?incidente=7195552" TargetMode="External"/><Relationship Id="rId18" Type="http://schemas.openxmlformats.org/officeDocument/2006/relationships/hyperlink" Target="https://portal.stf.jus.br/processos/detalhe.asp?incidente=6201103" TargetMode="External"/><Relationship Id="rId39" Type="http://schemas.openxmlformats.org/officeDocument/2006/relationships/hyperlink" Target="https://portal.stf.jus.br/processos/detalhe.asp?incidente=7268623" TargetMode="External"/><Relationship Id="rId109" Type="http://schemas.openxmlformats.org/officeDocument/2006/relationships/hyperlink" Target="https://atosnormativos.stf.jus.br/visualizador/kGI0uJ4B1UTUOSRpi7fe" TargetMode="External"/><Relationship Id="rId34" Type="http://schemas.openxmlformats.org/officeDocument/2006/relationships/hyperlink" Target="https://redir.stf.jus.br/paginadorpub/paginador.jsp?docTP=AC&amp;docID=363283" TargetMode="External"/><Relationship Id="rId50" Type="http://schemas.openxmlformats.org/officeDocument/2006/relationships/hyperlink" Target="https://aleselegis.al.se.leg.br/Arquivo/Documents/legislacao/HTML_IMPRESSAO/C1762009.html" TargetMode="External"/><Relationship Id="rId55" Type="http://schemas.openxmlformats.org/officeDocument/2006/relationships/hyperlink" Target="http://portal.stf.jus.br/hotsites/agenda-2030/index.html" TargetMode="External"/><Relationship Id="rId76" Type="http://schemas.openxmlformats.org/officeDocument/2006/relationships/hyperlink" Target="http://portal.stf.jus.br/hotsites/agenda-2030/index.html" TargetMode="External"/><Relationship Id="rId97" Type="http://schemas.openxmlformats.org/officeDocument/2006/relationships/hyperlink" Target="https://portal.stf.jus.br/processos/detalhe.asp?incidente=5848987" TargetMode="External"/><Relationship Id="rId104" Type="http://schemas.openxmlformats.org/officeDocument/2006/relationships/hyperlink" Target="https://www.planalto.gov.br/ccivil_03/constituicao/emendas/emc/emc103.htm"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planalto.gov.br/ccivil_03/leis/l8212cons.htm" TargetMode="External"/><Relationship Id="rId92" Type="http://schemas.openxmlformats.org/officeDocument/2006/relationships/hyperlink" Target="https://redir.stf.jus.br/paginadorpub/paginador.jsp?docTP=TP&amp;docID=775827609" TargetMode="External"/><Relationship Id="rId2" Type="http://schemas.openxmlformats.org/officeDocument/2006/relationships/numbering" Target="numbering.xml"/><Relationship Id="rId29" Type="http://schemas.openxmlformats.org/officeDocument/2006/relationships/hyperlink" Target="http://portal.stf.jus.br/hotsites/agenda-2030/index.html" TargetMode="External"/><Relationship Id="rId24" Type="http://schemas.openxmlformats.org/officeDocument/2006/relationships/hyperlink" Target="https://redir.stf.jus.br/paginadorpub/paginador.jsp?docTP=TP&amp;docID=755551244" TargetMode="External"/><Relationship Id="rId40" Type="http://schemas.openxmlformats.org/officeDocument/2006/relationships/hyperlink" Target="https://portal.stf.jus.br/processos/detalhe.asp?incidente=7006750" TargetMode="External"/><Relationship Id="rId45" Type="http://schemas.openxmlformats.org/officeDocument/2006/relationships/hyperlink" Target="https://redir.stf.jus.br/paginadorpub/paginador.jsp?docTP=AC&amp;docID=630026" TargetMode="External"/><Relationship Id="rId66" Type="http://schemas.openxmlformats.org/officeDocument/2006/relationships/hyperlink" Target="https://portal.stf.jus.br/jurisprudenciaRepercussao/verAndamentoProcesso.asp?incidente=7064773&amp;numeroProcesso=1520468&amp;classeProcesso=RE&amp;numeroTema=1370" TargetMode="External"/><Relationship Id="rId87" Type="http://schemas.openxmlformats.org/officeDocument/2006/relationships/hyperlink" Target="https://redir.stf.jus.br/paginadorpub/paginador.jsp?docTP=TP&amp;docID=752917641" TargetMode="External"/><Relationship Id="rId110" Type="http://schemas.openxmlformats.org/officeDocument/2006/relationships/hyperlink" Target="https://api-atosnormativosprd.azurewebsites.net/api/normativo/apresentacao/VrfKd48BvUtUZJHivS99" TargetMode="External"/><Relationship Id="rId115" Type="http://schemas.openxmlformats.org/officeDocument/2006/relationships/image" Target="media/image3.png"/><Relationship Id="rId61" Type="http://schemas.openxmlformats.org/officeDocument/2006/relationships/hyperlink" Target="https://redir.stf.jus.br/paginadorpub/paginador.jsp?docTP=TP&amp;docID=755892002" TargetMode="External"/><Relationship Id="rId82" Type="http://schemas.openxmlformats.org/officeDocument/2006/relationships/hyperlink" Target="https://legisla.casacivil.go.gov.br/pesquisa_legislacao/103356/decreto-9710" TargetMode="External"/><Relationship Id="rId19" Type="http://schemas.openxmlformats.org/officeDocument/2006/relationships/hyperlink" Target="https://drive.google.com/file/d/1SSrmAMk7EOsro7hT1e2tRhr0mUx77rPQ/view?usp=sharing" TargetMode="External"/><Relationship Id="rId14" Type="http://schemas.openxmlformats.org/officeDocument/2006/relationships/hyperlink" Target="https://portal.stf.jus.br/processos/detalhe.asp?incidente=7064773" TargetMode="External"/><Relationship Id="rId30" Type="http://schemas.openxmlformats.org/officeDocument/2006/relationships/hyperlink" Target="https://www.al.ce.gov.br/paginas/constituicao-do-estado-do-ceara" TargetMode="External"/><Relationship Id="rId35" Type="http://schemas.openxmlformats.org/officeDocument/2006/relationships/hyperlink" Target="https://redir.stf.jus.br/paginadorpub/paginador.jsp?docTP=TP&amp;docID=768621098" TargetMode="External"/><Relationship Id="rId56" Type="http://schemas.openxmlformats.org/officeDocument/2006/relationships/hyperlink" Target="https://www.planalto.gov.br/ccivil_03/_ato2023-2026/2024/lei/l15042.htm" TargetMode="External"/><Relationship Id="rId77" Type="http://schemas.openxmlformats.org/officeDocument/2006/relationships/hyperlink" Target="http://portal.stf.jus.br/hotsites/agenda-2030/index.html" TargetMode="External"/><Relationship Id="rId100" Type="http://schemas.openxmlformats.org/officeDocument/2006/relationships/hyperlink" Target="https://portal.stf.jus.br/hotsites/agenda-2030/index.html" TargetMode="External"/><Relationship Id="rId105" Type="http://schemas.openxmlformats.org/officeDocument/2006/relationships/hyperlink" Target="https://portal.stf.jus.br/processos/detalhe.asp?incidente=5848987"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portal.stf.jus.br/processos/detalhe.asp?incidente=7195552" TargetMode="External"/><Relationship Id="rId72" Type="http://schemas.openxmlformats.org/officeDocument/2006/relationships/hyperlink" Target="https://www.planalto.gov.br/ccivil_03/leis/l8213cons.htm" TargetMode="External"/><Relationship Id="rId93" Type="http://schemas.openxmlformats.org/officeDocument/2006/relationships/hyperlink" Target="https://redir.stf.jus.br/paginadorpub/paginador.jsp?docTP=TP&amp;docID=783198044" TargetMode="External"/><Relationship Id="rId98" Type="http://schemas.openxmlformats.org/officeDocument/2006/relationships/hyperlink" Target="https://drive.google.com/file/d/1kmrKYv0HluqkTv7gscWZWQDY1lrHpetV/view?usp=sharing"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2.senado.leg.br/bdsf/bitstream/handle/id/70441/Constituicao_Estado_AP.pdf?sequence=8&amp;isAllowed=y" TargetMode="External"/><Relationship Id="rId46" Type="http://schemas.openxmlformats.org/officeDocument/2006/relationships/hyperlink" Target="https://redir.stf.jus.br/paginadorpub/paginador.jsp?docTP=AC&amp;docID=266541" TargetMode="External"/><Relationship Id="rId67" Type="http://schemas.openxmlformats.org/officeDocument/2006/relationships/hyperlink" Target="https://drive.google.com/file/d/1RKfg7jZrK69L153V13Jz8S5MGLA5O4Ta/view?usp=sharing" TargetMode="External"/><Relationship Id="rId116" Type="http://schemas.openxmlformats.org/officeDocument/2006/relationships/hyperlink" Target="mailto:codi@stf.jus.br?subject=Informativo%20STF" TargetMode="External"/><Relationship Id="rId20" Type="http://schemas.openxmlformats.org/officeDocument/2006/relationships/image" Target="media/image1.png"/><Relationship Id="rId41" Type="http://schemas.openxmlformats.org/officeDocument/2006/relationships/hyperlink" Target="https://drive.google.com/file/d/1jFowgT_ashoX_euNwybb01yfNpKNSKPB/view?usp=sharing" TargetMode="External"/><Relationship Id="rId62" Type="http://schemas.openxmlformats.org/officeDocument/2006/relationships/hyperlink" Target="https://portal.stf.jus.br/jurisprudenciaRepercussao/verAndamentoProcesso.asp?incidente=4032750&amp;numeroProcesso=635546&amp;classeProcesso=RE&amp;numeroTema=383" TargetMode="External"/><Relationship Id="rId83" Type="http://schemas.openxmlformats.org/officeDocument/2006/relationships/hyperlink" Target="https://legisla.casacivil.go.gov.br/pesquisa_ato_infralegal/semad/5584/resolucao-cemam-259" TargetMode="External"/><Relationship Id="rId88" Type="http://schemas.openxmlformats.org/officeDocument/2006/relationships/hyperlink" Target="https://redir.stf.jus.br/paginadorpub/paginador.jsp?docTP=TP&amp;docID=762992811" TargetMode="External"/><Relationship Id="rId111" Type="http://schemas.openxmlformats.org/officeDocument/2006/relationships/hyperlink" Target="https://atosnormativos.stf.jus.br/visualizador/KmL2sp4B1UTUOSRpNrdp" TargetMode="External"/><Relationship Id="rId15" Type="http://schemas.openxmlformats.org/officeDocument/2006/relationships/hyperlink" Target="https://portal.stf.jus.br/jurisprudenciaRepercussao/verAndamentoProcesso.asp?incidente=7064773&amp;numeroProcesso=1520468&amp;classeProcesso=RE&amp;numeroTema=1370" TargetMode="External"/><Relationship Id="rId36" Type="http://schemas.openxmlformats.org/officeDocument/2006/relationships/hyperlink" Target="https://portal.stf.jus.br/jurisprudenciaRepercussao/verAndamentoProcesso.asp?incidente=5608486&amp;numeroProcesso=1182189&amp;classeProcesso=RE&amp;numeroTema=1054" TargetMode="External"/><Relationship Id="rId57" Type="http://schemas.openxmlformats.org/officeDocument/2006/relationships/hyperlink" Target="https://www.planalto.gov.br/ccivil_03/_ato2023-2026/2024/lei/l15076.htm" TargetMode="External"/><Relationship Id="rId106" Type="http://schemas.openxmlformats.org/officeDocument/2006/relationships/hyperlink" Target="https://www.youtube.com/live/FRnHPiroxms?si=nT2_gfCKL-MARq5w&amp;t=734" TargetMode="External"/><Relationship Id="rId10" Type="http://schemas.openxmlformats.org/officeDocument/2006/relationships/hyperlink" Target="https://portal.stf.jus.br/processos/detalhe.asp?incidente=6201103" TargetMode="External"/><Relationship Id="rId31" Type="http://schemas.openxmlformats.org/officeDocument/2006/relationships/hyperlink" Target="https://redir.stf.jus.br/paginadorpub/paginador.jsp?docTP=TP&amp;docID=764582029" TargetMode="External"/><Relationship Id="rId52" Type="http://schemas.openxmlformats.org/officeDocument/2006/relationships/hyperlink" Target="https://drive.google.com/file/d/1pXRn16viPi6q7W5Ndh9pwl4YEdIRuzM1/view?usp=sharing" TargetMode="External"/><Relationship Id="rId73" Type="http://schemas.openxmlformats.org/officeDocument/2006/relationships/hyperlink" Target="https://www.planalto.gov.br/ccivil_03/leis/l8742compilado.htm" TargetMode="External"/><Relationship Id="rId78" Type="http://schemas.openxmlformats.org/officeDocument/2006/relationships/hyperlink" Target="https://legisla.casacivil.go.gov.br/api/v2/pesquisa/legislacoes/100893/pdf" TargetMode="External"/><Relationship Id="rId94" Type="http://schemas.openxmlformats.org/officeDocument/2006/relationships/hyperlink" Target="https://redir.stf.jus.br/paginadorpub/paginador.jsp?docTP=TP&amp;docID=797281504" TargetMode="External"/><Relationship Id="rId99" Type="http://schemas.openxmlformats.org/officeDocument/2006/relationships/hyperlink" Target="https://portal.stf.jus.br/hotsites/agenda-2030/index.html" TargetMode="External"/><Relationship Id="rId101" Type="http://schemas.openxmlformats.org/officeDocument/2006/relationships/hyperlink" Target="https://portal.stf.jus.br/hotsites/agenda-2030/index.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13</Pages>
  <Words>4265</Words>
  <Characters>34902</Characters>
  <Application>Microsoft Office Word</Application>
  <DocSecurity>0</DocSecurity>
  <Lines>684</Lines>
  <Paragraphs>231</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38936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55</cp:revision>
  <cp:lastPrinted>2016-10-21T18:20:00Z</cp:lastPrinted>
  <dcterms:created xsi:type="dcterms:W3CDTF">2026-06-12T20:26:00Z</dcterms:created>
  <dcterms:modified xsi:type="dcterms:W3CDTF">2026-06-16T15:36:00Z</dcterms:modified>
</cp:coreProperties>
</file>