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1C25C101" w:rsidR="003346D4" w:rsidRPr="003172B4" w:rsidRDefault="003346D4" w:rsidP="00B20C84">
      <w:pPr>
        <w:pStyle w:val="Ttulo8"/>
        <w:tabs>
          <w:tab w:val="clear" w:pos="284"/>
        </w:tabs>
        <w:jc w:val="center"/>
      </w:pPr>
      <w:r w:rsidRPr="003172B4">
        <w:t xml:space="preserve">Nº </w:t>
      </w:r>
      <w:r w:rsidR="0008033E">
        <w:t>1229</w:t>
      </w:r>
      <w:r w:rsidRPr="003172B4">
        <w:t>/202</w:t>
      </w:r>
      <w:r w:rsidR="00DA0B30">
        <w:t>6</w:t>
      </w:r>
    </w:p>
    <w:p w14:paraId="1F688DFA" w14:textId="77777777" w:rsidR="003346D4" w:rsidRPr="003172B4" w:rsidRDefault="003346D4" w:rsidP="003346D4"/>
    <w:p w14:paraId="091B6C4B" w14:textId="7023EF96" w:rsidR="003346D4" w:rsidRPr="003172B4" w:rsidRDefault="00F80E44" w:rsidP="00B20C84">
      <w:pPr>
        <w:pStyle w:val="Ttulo8"/>
        <w:tabs>
          <w:tab w:val="clear" w:pos="284"/>
        </w:tabs>
        <w:jc w:val="center"/>
      </w:pPr>
      <w:r w:rsidRPr="003172B4">
        <w:t>Data de divulgação:</w:t>
      </w:r>
      <w:r w:rsidR="003346D4" w:rsidRPr="003172B4">
        <w:t xml:space="preserve"> </w:t>
      </w:r>
      <w:r w:rsidR="0008033E">
        <w:t>21</w:t>
      </w:r>
      <w:r w:rsidR="00F9702B">
        <w:t xml:space="preserve"> </w:t>
      </w:r>
      <w:r w:rsidR="00C37594" w:rsidRPr="003172B4">
        <w:t xml:space="preserve">de </w:t>
      </w:r>
      <w:r w:rsidR="0008033E">
        <w:t>setembro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03B0AE28"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08033E">
        <w:rPr>
          <w:b w:val="0"/>
          <w:sz w:val="16"/>
          <w:szCs w:val="16"/>
        </w:rPr>
        <w:t>1229/</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08033E">
        <w:rPr>
          <w:b w:val="0"/>
          <w:sz w:val="16"/>
          <w:szCs w:val="16"/>
        </w:rPr>
        <w:t>21</w:t>
      </w:r>
      <w:r w:rsidR="00CA6E74">
        <w:rPr>
          <w:b w:val="0"/>
          <w:sz w:val="16"/>
          <w:szCs w:val="16"/>
        </w:rPr>
        <w:t xml:space="preserve"> </w:t>
      </w:r>
      <w:r w:rsidR="00D805B8" w:rsidRPr="00D805B8">
        <w:rPr>
          <w:b w:val="0"/>
          <w:sz w:val="16"/>
          <w:szCs w:val="16"/>
        </w:rPr>
        <w:t>de</w:t>
      </w:r>
      <w:r w:rsidR="00F9702B">
        <w:rPr>
          <w:b w:val="0"/>
          <w:sz w:val="16"/>
          <w:szCs w:val="16"/>
        </w:rPr>
        <w:t xml:space="preserve"> </w:t>
      </w:r>
      <w:r w:rsidR="0008033E">
        <w:rPr>
          <w:b w:val="0"/>
          <w:sz w:val="16"/>
          <w:szCs w:val="16"/>
        </w:rPr>
        <w:t>setembro</w:t>
      </w:r>
      <w:r w:rsidR="006F26B3">
        <w:rPr>
          <w:b w:val="0"/>
          <w:sz w:val="16"/>
          <w:szCs w:val="16"/>
        </w:rPr>
        <w:t xml:space="preserve"> </w:t>
      </w:r>
      <w:r w:rsidR="00D805B8" w:rsidRPr="00D805B8">
        <w:rPr>
          <w:b w:val="0"/>
          <w:sz w:val="16"/>
          <w:szCs w:val="16"/>
        </w:rPr>
        <w:t>de 202</w:t>
      </w:r>
      <w:r w:rsidR="00DA0B30">
        <w:rPr>
          <w:b w:val="0"/>
          <w:sz w:val="16"/>
          <w:szCs w:val="16"/>
        </w:rPr>
        <w:t>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13BA63E7" w14:textId="77777777" w:rsidR="00AD256D" w:rsidRDefault="00AD256D" w:rsidP="00AD256D">
      <w:pPr>
        <w:spacing w:line="360" w:lineRule="auto"/>
        <w:ind w:left="708"/>
        <w:rPr>
          <w:b/>
          <w:sz w:val="24"/>
          <w:szCs w:val="24"/>
          <w:lang w:eastAsia="en-US"/>
        </w:rPr>
      </w:pPr>
      <w:r w:rsidRPr="003C4979">
        <w:rPr>
          <w:b/>
          <w:sz w:val="24"/>
          <w:szCs w:val="24"/>
          <w:lang w:eastAsia="en-US"/>
        </w:rPr>
        <w:t>Direito Constitucional</w:t>
      </w:r>
    </w:p>
    <w:p w14:paraId="682D8B62" w14:textId="3BB03686" w:rsidR="000E3BA5" w:rsidRPr="000E3BA5" w:rsidRDefault="000E3BA5" w:rsidP="000E3BA5">
      <w:pPr>
        <w:autoSpaceDE w:val="0"/>
        <w:autoSpaceDN w:val="0"/>
        <w:adjustRightInd w:val="0"/>
        <w:spacing w:line="360" w:lineRule="auto"/>
        <w:ind w:left="1418"/>
        <w:rPr>
          <w:sz w:val="24"/>
          <w:szCs w:val="24"/>
          <w:lang w:eastAsia="en-US"/>
        </w:rPr>
      </w:pPr>
      <w:r w:rsidRPr="000E3BA5">
        <w:rPr>
          <w:sz w:val="24"/>
          <w:szCs w:val="24"/>
          <w:lang w:eastAsia="en-US"/>
        </w:rPr>
        <w:t xml:space="preserve">Repartição </w:t>
      </w:r>
      <w:r>
        <w:rPr>
          <w:sz w:val="24"/>
          <w:szCs w:val="24"/>
          <w:lang w:eastAsia="en-US"/>
        </w:rPr>
        <w:t>d</w:t>
      </w:r>
      <w:r w:rsidRPr="000E3BA5">
        <w:rPr>
          <w:sz w:val="24"/>
          <w:szCs w:val="24"/>
          <w:lang w:eastAsia="en-US"/>
        </w:rPr>
        <w:t xml:space="preserve">e Competências; Direito Civil; Política </w:t>
      </w:r>
      <w:r>
        <w:rPr>
          <w:sz w:val="24"/>
          <w:szCs w:val="24"/>
          <w:lang w:eastAsia="en-US"/>
        </w:rPr>
        <w:t>d</w:t>
      </w:r>
      <w:r w:rsidRPr="000E3BA5">
        <w:rPr>
          <w:sz w:val="24"/>
          <w:szCs w:val="24"/>
          <w:lang w:eastAsia="en-US"/>
        </w:rPr>
        <w:t>e Seguros</w:t>
      </w:r>
    </w:p>
    <w:p w14:paraId="03A2DC0C" w14:textId="43C777F9" w:rsidR="000E3BA5" w:rsidRDefault="000E3BA5" w:rsidP="000E3BA5">
      <w:pPr>
        <w:spacing w:line="360" w:lineRule="auto"/>
        <w:ind w:left="2127"/>
        <w:rPr>
          <w:b/>
          <w:sz w:val="24"/>
          <w:szCs w:val="24"/>
          <w:lang w:eastAsia="en-US"/>
        </w:rPr>
      </w:pPr>
      <w:hyperlink w:anchor="Política" w:history="1">
        <w:r w:rsidRPr="000E3BA5">
          <w:rPr>
            <w:rStyle w:val="Hyperlink"/>
            <w:b/>
            <w:bCs/>
            <w:i/>
            <w:iCs/>
            <w:color w:val="auto"/>
            <w:sz w:val="24"/>
            <w:szCs w:val="24"/>
            <w:u w:val="none"/>
          </w:rPr>
          <w:t>Política de seguros automotivos: vedação à aquisição direta de peças de reposição de veículos pelas seguradoras</w:t>
        </w:r>
      </w:hyperlink>
      <w:r w:rsidRPr="000E3BA5">
        <w:rPr>
          <w:b/>
          <w:bCs/>
          <w:sz w:val="24"/>
          <w:szCs w:val="24"/>
        </w:rPr>
        <w:t xml:space="preserve"> </w:t>
      </w:r>
      <w:r w:rsidRPr="000E3BA5">
        <w:rPr>
          <w:sz w:val="24"/>
          <w:szCs w:val="24"/>
        </w:rPr>
        <w:t xml:space="preserve">– </w:t>
      </w:r>
      <w:hyperlink r:id="rId10" w:history="1">
        <w:r w:rsidRPr="000E3BA5">
          <w:rPr>
            <w:sz w:val="24"/>
            <w:szCs w:val="24"/>
          </w:rPr>
          <w:t>ADPF 1.258/SP</w:t>
        </w:r>
      </w:hyperlink>
    </w:p>
    <w:p w14:paraId="70974D56" w14:textId="43A6DA53" w:rsidR="00AD256D" w:rsidRPr="003C4979" w:rsidRDefault="00CD18BE" w:rsidP="00AD256D">
      <w:pPr>
        <w:spacing w:line="360" w:lineRule="auto"/>
        <w:ind w:left="1418"/>
        <w:rPr>
          <w:sz w:val="24"/>
          <w:szCs w:val="24"/>
          <w:lang w:eastAsia="en-US"/>
        </w:rPr>
      </w:pPr>
      <w:r>
        <w:rPr>
          <w:sz w:val="24"/>
          <w:szCs w:val="24"/>
        </w:rPr>
        <w:t xml:space="preserve">Segurança Pública; Polícia Civil; Repartição de Competências; Competência Legislativa Concorrente; Delegado de Polícia; Comando; Operação de </w:t>
      </w:r>
      <w:r>
        <w:rPr>
          <w:sz w:val="24"/>
          <w:szCs w:val="24"/>
          <w:lang w:eastAsia="en-US"/>
        </w:rPr>
        <w:t>Policiamento Ostensivo</w:t>
      </w:r>
    </w:p>
    <w:p w14:paraId="777ED3D3" w14:textId="1572C1B9" w:rsidR="00AD256D" w:rsidRDefault="00CD18BE" w:rsidP="00AD256D">
      <w:pPr>
        <w:spacing w:line="360" w:lineRule="auto"/>
        <w:ind w:left="2126"/>
      </w:pPr>
      <w:hyperlink w:anchor="Polícia" w:history="1">
        <w:bookmarkStart w:id="1" w:name="_Hlk240648744"/>
        <w:r w:rsidRPr="00CD18BE">
          <w:rPr>
            <w:rStyle w:val="Hyperlink"/>
            <w:b/>
            <w:bCs/>
            <w:i/>
            <w:iCs/>
            <w:color w:val="auto"/>
            <w:sz w:val="24"/>
            <w:szCs w:val="24"/>
            <w:u w:val="none"/>
            <w:lang w:eastAsia="en-US"/>
          </w:rPr>
          <w:t>Po</w:t>
        </w:r>
        <w:bookmarkEnd w:id="1"/>
        <w:r w:rsidRPr="00CD18BE">
          <w:rPr>
            <w:rStyle w:val="Hyperlink"/>
            <w:b/>
            <w:bCs/>
            <w:i/>
            <w:iCs/>
            <w:color w:val="auto"/>
            <w:sz w:val="24"/>
            <w:szCs w:val="24"/>
            <w:u w:val="none"/>
            <w:lang w:eastAsia="en-US"/>
          </w:rPr>
          <w:t>lícia</w:t>
        </w:r>
        <w:r w:rsidRPr="00CD18BE">
          <w:rPr>
            <w:rStyle w:val="Hyperlink"/>
            <w:b/>
            <w:bCs/>
            <w:i/>
            <w:iCs/>
            <w:color w:val="auto"/>
            <w:sz w:val="24"/>
            <w:szCs w:val="24"/>
            <w:u w:val="none"/>
            <w:lang w:eastAsia="en-US"/>
          </w:rPr>
          <w:t xml:space="preserve"> </w:t>
        </w:r>
        <w:r w:rsidR="001F25BA">
          <w:rPr>
            <w:rStyle w:val="Hyperlink"/>
            <w:b/>
            <w:bCs/>
            <w:i/>
            <w:iCs/>
            <w:color w:val="auto"/>
            <w:sz w:val="24"/>
            <w:szCs w:val="24"/>
            <w:u w:val="none"/>
            <w:lang w:eastAsia="en-US"/>
          </w:rPr>
          <w:t>c</w:t>
        </w:r>
        <w:r w:rsidRPr="00CD18BE">
          <w:rPr>
            <w:rStyle w:val="Hyperlink"/>
            <w:b/>
            <w:bCs/>
            <w:i/>
            <w:iCs/>
            <w:color w:val="auto"/>
            <w:sz w:val="24"/>
            <w:szCs w:val="24"/>
            <w:u w:val="none"/>
            <w:lang w:eastAsia="en-US"/>
          </w:rPr>
          <w:t>ivil: vedação aos delegados de comando ou chefia em forças de segurança com competência para o policiamento ostensivo ou comunitário</w:t>
        </w:r>
      </w:hyperlink>
      <w:r w:rsidRPr="00CD18BE">
        <w:rPr>
          <w:b/>
          <w:bCs/>
          <w:i/>
          <w:iCs/>
          <w:sz w:val="24"/>
          <w:szCs w:val="24"/>
          <w:lang w:eastAsia="en-US"/>
        </w:rPr>
        <w:t xml:space="preserve"> </w:t>
      </w:r>
      <w:r w:rsidRPr="00BC0121">
        <w:rPr>
          <w:sz w:val="24"/>
          <w:szCs w:val="24"/>
          <w:lang w:eastAsia="en-US"/>
        </w:rPr>
        <w:t>–</w:t>
      </w:r>
      <w:r w:rsidRPr="00CD18BE">
        <w:rPr>
          <w:b/>
          <w:bCs/>
          <w:i/>
          <w:iCs/>
          <w:sz w:val="24"/>
          <w:szCs w:val="24"/>
          <w:lang w:eastAsia="en-US"/>
        </w:rPr>
        <w:t xml:space="preserve"> </w:t>
      </w:r>
      <w:hyperlink r:id="rId11" w:history="1">
        <w:r w:rsidRPr="00CD18BE">
          <w:rPr>
            <w:rStyle w:val="Hyperlink"/>
            <w:color w:val="auto"/>
            <w:sz w:val="24"/>
            <w:szCs w:val="24"/>
            <w:u w:val="none"/>
            <w:lang w:eastAsia="en-US"/>
          </w:rPr>
          <w:t>ADI 7.895/RJ</w:t>
        </w:r>
      </w:hyperlink>
    </w:p>
    <w:p w14:paraId="24DDD060" w14:textId="77777777" w:rsidR="00AD256D" w:rsidRPr="003C4979"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Eleitoral</w:t>
      </w:r>
    </w:p>
    <w:p w14:paraId="24492BC4" w14:textId="18E85D58" w:rsidR="00217704" w:rsidRPr="003C4979" w:rsidRDefault="00217704" w:rsidP="00217704">
      <w:pPr>
        <w:spacing w:line="360" w:lineRule="auto"/>
        <w:ind w:left="1418"/>
        <w:rPr>
          <w:sz w:val="24"/>
          <w:szCs w:val="24"/>
          <w:lang w:eastAsia="en-US"/>
        </w:rPr>
      </w:pPr>
      <w:r w:rsidRPr="00217704">
        <w:rPr>
          <w:sz w:val="24"/>
          <w:szCs w:val="24"/>
          <w:lang w:eastAsia="en-US"/>
        </w:rPr>
        <w:t xml:space="preserve">Eleições; Candidatos; Inelegibilidade; Lei </w:t>
      </w:r>
      <w:r>
        <w:rPr>
          <w:sz w:val="24"/>
          <w:szCs w:val="24"/>
          <w:lang w:eastAsia="en-US"/>
        </w:rPr>
        <w:t>d</w:t>
      </w:r>
      <w:r w:rsidRPr="00217704">
        <w:rPr>
          <w:sz w:val="24"/>
          <w:szCs w:val="24"/>
          <w:lang w:eastAsia="en-US"/>
        </w:rPr>
        <w:t xml:space="preserve">a Ficha Limpa; Crimes </w:t>
      </w:r>
      <w:r>
        <w:rPr>
          <w:sz w:val="24"/>
          <w:szCs w:val="24"/>
          <w:lang w:eastAsia="en-US"/>
        </w:rPr>
        <w:t>c</w:t>
      </w:r>
      <w:r w:rsidRPr="00217704">
        <w:rPr>
          <w:sz w:val="24"/>
          <w:szCs w:val="24"/>
          <w:lang w:eastAsia="en-US"/>
        </w:rPr>
        <w:t xml:space="preserve">ontra </w:t>
      </w:r>
      <w:r>
        <w:rPr>
          <w:sz w:val="24"/>
          <w:szCs w:val="24"/>
          <w:lang w:eastAsia="en-US"/>
        </w:rPr>
        <w:t>a</w:t>
      </w:r>
      <w:r w:rsidRPr="00217704">
        <w:rPr>
          <w:sz w:val="24"/>
          <w:szCs w:val="24"/>
          <w:lang w:eastAsia="en-US"/>
        </w:rPr>
        <w:t xml:space="preserve"> </w:t>
      </w:r>
      <w:r>
        <w:rPr>
          <w:sz w:val="24"/>
          <w:szCs w:val="24"/>
          <w:lang w:eastAsia="en-US"/>
        </w:rPr>
        <w:t>V</w:t>
      </w:r>
      <w:r w:rsidRPr="00217704">
        <w:rPr>
          <w:sz w:val="24"/>
          <w:szCs w:val="24"/>
          <w:lang w:eastAsia="en-US"/>
        </w:rPr>
        <w:t xml:space="preserve">ida </w:t>
      </w:r>
      <w:r>
        <w:rPr>
          <w:sz w:val="24"/>
          <w:szCs w:val="24"/>
          <w:lang w:eastAsia="en-US"/>
        </w:rPr>
        <w:t>e</w:t>
      </w:r>
      <w:r w:rsidRPr="00217704">
        <w:rPr>
          <w:sz w:val="24"/>
          <w:szCs w:val="24"/>
          <w:lang w:eastAsia="en-US"/>
        </w:rPr>
        <w:t xml:space="preserve"> </w:t>
      </w:r>
      <w:r w:rsidR="00BC0121">
        <w:rPr>
          <w:sz w:val="24"/>
          <w:szCs w:val="24"/>
          <w:lang w:eastAsia="en-US"/>
        </w:rPr>
        <w:t xml:space="preserve">a </w:t>
      </w:r>
      <w:r w:rsidRPr="00217704">
        <w:rPr>
          <w:sz w:val="24"/>
          <w:szCs w:val="24"/>
          <w:lang w:eastAsia="en-US"/>
        </w:rPr>
        <w:t>Dignidade Sexual</w:t>
      </w:r>
    </w:p>
    <w:p w14:paraId="7CDF799B" w14:textId="153312A6" w:rsidR="00217704" w:rsidRPr="00217704" w:rsidRDefault="00217704" w:rsidP="00217704">
      <w:pPr>
        <w:spacing w:line="360" w:lineRule="auto"/>
        <w:ind w:left="2126"/>
      </w:pPr>
      <w:hyperlink w:anchor="eleicoes" w:history="1">
        <w:r w:rsidRPr="00130F61">
          <w:rPr>
            <w:rStyle w:val="Hyperlink"/>
            <w:b/>
            <w:bCs/>
            <w:i/>
            <w:iCs/>
            <w:color w:val="auto"/>
            <w:sz w:val="24"/>
            <w:szCs w:val="24"/>
            <w:u w:val="none"/>
            <w:lang w:eastAsia="en-US"/>
          </w:rPr>
          <w:t>Hipótese de inelegibilidade a condenados por crimes contra a vida e contra a dignidade sexual: aplicação retroativa da Lei da Ficha Limpa</w:t>
        </w:r>
      </w:hyperlink>
      <w:r w:rsidRPr="00130F61">
        <w:rPr>
          <w:b/>
          <w:bCs/>
          <w:i/>
          <w:iCs/>
          <w:sz w:val="24"/>
          <w:szCs w:val="24"/>
          <w:lang w:eastAsia="en-US"/>
        </w:rPr>
        <w:t xml:space="preserve"> </w:t>
      </w:r>
      <w:r w:rsidRPr="00217704">
        <w:rPr>
          <w:sz w:val="24"/>
          <w:szCs w:val="24"/>
          <w:lang w:eastAsia="en-US"/>
        </w:rPr>
        <w:t xml:space="preserve">– </w:t>
      </w:r>
      <w:hyperlink r:id="rId12" w:history="1">
        <w:r w:rsidRPr="00217704">
          <w:rPr>
            <w:sz w:val="24"/>
            <w:szCs w:val="24"/>
            <w:lang w:eastAsia="en-US"/>
          </w:rPr>
          <w:t>ADI 7.770/DF</w:t>
        </w:r>
      </w:hyperlink>
      <w:r w:rsidRPr="00CA27F9">
        <w:rPr>
          <w:b/>
          <w:bCs/>
          <w:i/>
          <w:iCs/>
          <w:sz w:val="24"/>
          <w:szCs w:val="24"/>
          <w:lang w:eastAsia="en-US"/>
        </w:rPr>
        <w:t xml:space="preserve"> </w:t>
      </w:r>
      <w:r>
        <w:t xml:space="preserve"> </w:t>
      </w:r>
    </w:p>
    <w:p w14:paraId="6C8FC43F" w14:textId="584F7F9C" w:rsidR="00AD256D" w:rsidRPr="003C4979" w:rsidRDefault="000B6F9B" w:rsidP="00AD256D">
      <w:pPr>
        <w:spacing w:line="360" w:lineRule="auto"/>
        <w:ind w:left="1418"/>
        <w:rPr>
          <w:sz w:val="24"/>
          <w:szCs w:val="24"/>
          <w:lang w:eastAsia="en-US"/>
        </w:rPr>
      </w:pPr>
      <w:r w:rsidRPr="000B6F9B">
        <w:rPr>
          <w:sz w:val="24"/>
          <w:szCs w:val="24"/>
          <w:lang w:eastAsia="en-US"/>
        </w:rPr>
        <w:t xml:space="preserve">Partidos Políticos; Prestação </w:t>
      </w:r>
      <w:r>
        <w:rPr>
          <w:sz w:val="24"/>
          <w:szCs w:val="24"/>
          <w:lang w:eastAsia="en-US"/>
        </w:rPr>
        <w:t>d</w:t>
      </w:r>
      <w:r w:rsidRPr="000B6F9B">
        <w:rPr>
          <w:sz w:val="24"/>
          <w:szCs w:val="24"/>
          <w:lang w:eastAsia="en-US"/>
        </w:rPr>
        <w:t>e Contas; Devido Processo Legal</w:t>
      </w:r>
    </w:p>
    <w:p w14:paraId="626888C4" w14:textId="7A3DD560" w:rsidR="00AD256D" w:rsidRDefault="000B6F9B" w:rsidP="00AD256D">
      <w:pPr>
        <w:spacing w:line="360" w:lineRule="auto"/>
        <w:ind w:left="2126"/>
      </w:pPr>
      <w:hyperlink w:anchor="omissão" w:history="1">
        <w:r w:rsidRPr="00FA515E">
          <w:rPr>
            <w:rStyle w:val="Hyperlink"/>
            <w:b/>
            <w:bCs/>
            <w:i/>
            <w:iCs/>
            <w:color w:val="auto"/>
            <w:sz w:val="24"/>
            <w:szCs w:val="24"/>
            <w:u w:val="none"/>
            <w:lang w:eastAsia="en-US"/>
          </w:rPr>
          <w:t>Constitucionalidade da regulamentação sobre a suspensão da anotação de órgãos partidários omissos na prestação de contas</w:t>
        </w:r>
      </w:hyperlink>
      <w:r w:rsidRPr="00FA515E">
        <w:rPr>
          <w:b/>
          <w:bCs/>
          <w:i/>
          <w:iCs/>
          <w:sz w:val="24"/>
          <w:szCs w:val="24"/>
          <w:lang w:eastAsia="en-US"/>
        </w:rPr>
        <w:t xml:space="preserve"> </w:t>
      </w:r>
      <w:r w:rsidRPr="000B6F9B">
        <w:rPr>
          <w:b/>
          <w:bCs/>
          <w:i/>
          <w:iCs/>
          <w:sz w:val="24"/>
          <w:szCs w:val="24"/>
          <w:lang w:eastAsia="en-US"/>
        </w:rPr>
        <w:t xml:space="preserve">– </w:t>
      </w:r>
      <w:hyperlink r:id="rId13" w:history="1">
        <w:r w:rsidRPr="000B6F9B">
          <w:rPr>
            <w:rStyle w:val="Hyperlink"/>
            <w:bCs/>
            <w:color w:val="auto"/>
            <w:sz w:val="24"/>
            <w:szCs w:val="24"/>
            <w:u w:val="none"/>
            <w:lang w:eastAsia="en-US"/>
          </w:rPr>
          <w:t>ADI 7.947/DF</w:t>
        </w:r>
      </w:hyperlink>
      <w:r w:rsidR="00AD256D" w:rsidRPr="000B6F9B">
        <w:rPr>
          <w:bCs/>
          <w:sz w:val="24"/>
          <w:szCs w:val="24"/>
          <w:lang w:eastAsia="en-US"/>
        </w:rPr>
        <w:t xml:space="preserve"> </w:t>
      </w:r>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60C1E88B" w14:textId="60B33562" w:rsidR="00DB4047" w:rsidRDefault="00DB4047" w:rsidP="00DB4047">
      <w:pPr>
        <w:spacing w:line="360" w:lineRule="auto"/>
        <w:ind w:left="1418"/>
        <w:rPr>
          <w:sz w:val="24"/>
          <w:szCs w:val="24"/>
        </w:rPr>
      </w:pPr>
      <w:r>
        <w:rPr>
          <w:sz w:val="24"/>
          <w:szCs w:val="24"/>
          <w:lang w:eastAsia="en-US"/>
        </w:rPr>
        <w:lastRenderedPageBreak/>
        <w:t xml:space="preserve">Crédito Tributário; Limite Mensal para </w:t>
      </w:r>
      <w:r w:rsidRPr="00C370A6">
        <w:rPr>
          <w:sz w:val="24"/>
          <w:szCs w:val="24"/>
          <w:lang w:eastAsia="en-US"/>
        </w:rPr>
        <w:t>Compensação</w:t>
      </w:r>
      <w:r>
        <w:rPr>
          <w:sz w:val="24"/>
          <w:szCs w:val="24"/>
          <w:lang w:eastAsia="en-US"/>
        </w:rPr>
        <w:t xml:space="preserve"> de </w:t>
      </w:r>
      <w:r w:rsidRPr="00C370A6">
        <w:rPr>
          <w:sz w:val="24"/>
          <w:szCs w:val="24"/>
          <w:lang w:eastAsia="en-US"/>
        </w:rPr>
        <w:t>Créditos Judiciais</w:t>
      </w:r>
    </w:p>
    <w:p w14:paraId="0A02FD28" w14:textId="5D2F6C03" w:rsidR="00DB4047" w:rsidRDefault="00DB4047" w:rsidP="00DB4047">
      <w:pPr>
        <w:spacing w:line="360" w:lineRule="auto"/>
        <w:ind w:left="2126"/>
      </w:pPr>
      <w:hyperlink w:anchor="compensação" w:history="1">
        <w:r w:rsidRPr="004A2423">
          <w:rPr>
            <w:rStyle w:val="Hyperlink"/>
            <w:b/>
            <w:bCs/>
            <w:i/>
            <w:iCs/>
            <w:color w:val="auto"/>
            <w:sz w:val="24"/>
            <w:szCs w:val="24"/>
            <w:u w:val="none"/>
            <w:lang w:eastAsia="en-US"/>
          </w:rPr>
          <w:t>Limitação à compensação de créditos tributários decorrentes de decisões judiciais transitadas em julgado</w:t>
        </w:r>
      </w:hyperlink>
      <w:r w:rsidRPr="004A2423">
        <w:rPr>
          <w:b/>
          <w:bCs/>
          <w:i/>
          <w:iCs/>
          <w:sz w:val="24"/>
          <w:szCs w:val="24"/>
          <w:lang w:eastAsia="en-US"/>
        </w:rPr>
        <w:t xml:space="preserve"> –</w:t>
      </w:r>
      <w:r w:rsidRPr="004A2423">
        <w:rPr>
          <w:sz w:val="24"/>
          <w:szCs w:val="24"/>
          <w:lang w:eastAsia="en-US"/>
        </w:rPr>
        <w:t xml:space="preserve"> </w:t>
      </w:r>
      <w:hyperlink r:id="rId14" w:history="1">
        <w:r w:rsidRPr="004A2423">
          <w:rPr>
            <w:sz w:val="24"/>
            <w:szCs w:val="24"/>
            <w:lang w:eastAsia="en-US"/>
          </w:rPr>
          <w:t>ADI 7.587/DF</w:t>
        </w:r>
      </w:hyperlink>
      <w:r w:rsidRPr="004A2423">
        <w:rPr>
          <w:sz w:val="24"/>
          <w:szCs w:val="24"/>
          <w:lang w:eastAsia="en-US"/>
        </w:rPr>
        <w:t xml:space="preserve"> e </w:t>
      </w:r>
      <w:hyperlink r:id="rId15" w:history="1">
        <w:r w:rsidRPr="004A2423">
          <w:rPr>
            <w:sz w:val="24"/>
            <w:szCs w:val="24"/>
            <w:lang w:eastAsia="en-US"/>
          </w:rPr>
          <w:t>ADI 7.609/DF</w:t>
        </w:r>
      </w:hyperlink>
      <w:r w:rsidRPr="00CA27F9">
        <w:rPr>
          <w:b/>
          <w:bCs/>
          <w:i/>
          <w:iCs/>
          <w:sz w:val="24"/>
          <w:szCs w:val="24"/>
          <w:lang w:eastAsia="en-US"/>
        </w:rPr>
        <w:t xml:space="preserve"> </w:t>
      </w:r>
      <w:r>
        <w:t xml:space="preserve"> </w:t>
      </w:r>
    </w:p>
    <w:p w14:paraId="2B8796E6" w14:textId="77777777" w:rsidR="005841EC" w:rsidRPr="003C4979" w:rsidRDefault="005841EC" w:rsidP="005841EC">
      <w:pPr>
        <w:spacing w:line="360" w:lineRule="auto"/>
        <w:ind w:left="1418"/>
        <w:rPr>
          <w:sz w:val="24"/>
          <w:szCs w:val="24"/>
          <w:lang w:eastAsia="en-US"/>
        </w:rPr>
      </w:pPr>
      <w:r w:rsidRPr="005E4111">
        <w:rPr>
          <w:sz w:val="24"/>
          <w:szCs w:val="24"/>
          <w:lang w:eastAsia="en-US"/>
        </w:rPr>
        <w:t xml:space="preserve">Impostos; Adicional </w:t>
      </w:r>
      <w:r>
        <w:rPr>
          <w:sz w:val="24"/>
          <w:szCs w:val="24"/>
          <w:lang w:eastAsia="en-US"/>
        </w:rPr>
        <w:t>s</w:t>
      </w:r>
      <w:r w:rsidRPr="005E4111">
        <w:rPr>
          <w:sz w:val="24"/>
          <w:szCs w:val="24"/>
          <w:lang w:eastAsia="en-US"/>
        </w:rPr>
        <w:t xml:space="preserve">obre </w:t>
      </w:r>
      <w:r>
        <w:rPr>
          <w:sz w:val="24"/>
          <w:szCs w:val="24"/>
          <w:lang w:eastAsia="en-US"/>
        </w:rPr>
        <w:t>o</w:t>
      </w:r>
      <w:r w:rsidRPr="005E4111">
        <w:rPr>
          <w:sz w:val="24"/>
          <w:szCs w:val="24"/>
          <w:lang w:eastAsia="en-US"/>
        </w:rPr>
        <w:t xml:space="preserve"> I</w:t>
      </w:r>
      <w:r>
        <w:rPr>
          <w:sz w:val="24"/>
          <w:szCs w:val="24"/>
          <w:lang w:eastAsia="en-US"/>
        </w:rPr>
        <w:t>CMS</w:t>
      </w:r>
      <w:r w:rsidRPr="005E4111">
        <w:rPr>
          <w:sz w:val="24"/>
          <w:szCs w:val="24"/>
          <w:lang w:eastAsia="en-US"/>
        </w:rPr>
        <w:t xml:space="preserve">; Serviços </w:t>
      </w:r>
      <w:r>
        <w:rPr>
          <w:sz w:val="24"/>
          <w:szCs w:val="24"/>
          <w:lang w:eastAsia="en-US"/>
        </w:rPr>
        <w:t>d</w:t>
      </w:r>
      <w:r w:rsidRPr="005E4111">
        <w:rPr>
          <w:sz w:val="24"/>
          <w:szCs w:val="24"/>
          <w:lang w:eastAsia="en-US"/>
        </w:rPr>
        <w:t xml:space="preserve">e Telecomunicações; Financiamento </w:t>
      </w:r>
      <w:r>
        <w:rPr>
          <w:sz w:val="24"/>
          <w:szCs w:val="24"/>
          <w:lang w:eastAsia="en-US"/>
        </w:rPr>
        <w:t>d</w:t>
      </w:r>
      <w:r w:rsidRPr="005E4111">
        <w:rPr>
          <w:sz w:val="24"/>
          <w:szCs w:val="24"/>
          <w:lang w:eastAsia="en-US"/>
        </w:rPr>
        <w:t xml:space="preserve">o Fundo </w:t>
      </w:r>
      <w:r>
        <w:rPr>
          <w:sz w:val="24"/>
          <w:szCs w:val="24"/>
          <w:lang w:eastAsia="en-US"/>
        </w:rPr>
        <w:t>d</w:t>
      </w:r>
      <w:r w:rsidRPr="005E4111">
        <w:rPr>
          <w:sz w:val="24"/>
          <w:szCs w:val="24"/>
          <w:lang w:eastAsia="en-US"/>
        </w:rPr>
        <w:t xml:space="preserve">e Combate </w:t>
      </w:r>
      <w:r>
        <w:rPr>
          <w:sz w:val="24"/>
          <w:szCs w:val="24"/>
          <w:lang w:eastAsia="en-US"/>
        </w:rPr>
        <w:t>e</w:t>
      </w:r>
      <w:r w:rsidRPr="005E4111">
        <w:rPr>
          <w:sz w:val="24"/>
          <w:szCs w:val="24"/>
          <w:lang w:eastAsia="en-US"/>
        </w:rPr>
        <w:t xml:space="preserve"> Erradicação </w:t>
      </w:r>
      <w:r>
        <w:rPr>
          <w:sz w:val="24"/>
          <w:szCs w:val="24"/>
          <w:lang w:eastAsia="en-US"/>
        </w:rPr>
        <w:t>d</w:t>
      </w:r>
      <w:r w:rsidRPr="005E4111">
        <w:rPr>
          <w:sz w:val="24"/>
          <w:szCs w:val="24"/>
          <w:lang w:eastAsia="en-US"/>
        </w:rPr>
        <w:t>a Pobreza</w:t>
      </w:r>
      <w:r>
        <w:rPr>
          <w:sz w:val="24"/>
          <w:szCs w:val="24"/>
          <w:lang w:eastAsia="en-US"/>
        </w:rPr>
        <w:t xml:space="preserve"> </w:t>
      </w:r>
    </w:p>
    <w:p w14:paraId="0BB4C7FB" w14:textId="77777777" w:rsidR="005841EC" w:rsidRDefault="005841EC" w:rsidP="005841EC">
      <w:pPr>
        <w:spacing w:line="360" w:lineRule="auto"/>
        <w:ind w:left="2126"/>
      </w:pPr>
      <w:hyperlink w:anchor="Fundo" w:history="1">
        <w:r w:rsidRPr="005E4111">
          <w:rPr>
            <w:rStyle w:val="Hyperlink"/>
            <w:b/>
            <w:bCs/>
            <w:i/>
            <w:iCs/>
            <w:color w:val="auto"/>
            <w:sz w:val="24"/>
            <w:szCs w:val="24"/>
            <w:u w:val="none"/>
          </w:rPr>
          <w:t>Fundo de Combate e Erradicação da Pobreza: adicional de 2% da alíquota do ICMS incidente sobre serviços de telecomunicações</w:t>
        </w:r>
      </w:hyperlink>
      <w:r w:rsidRPr="005E4111">
        <w:rPr>
          <w:b/>
          <w:bCs/>
          <w:i/>
          <w:iCs/>
          <w:sz w:val="24"/>
          <w:szCs w:val="24"/>
        </w:rPr>
        <w:t xml:space="preserve"> </w:t>
      </w:r>
      <w:r w:rsidRPr="005E4111">
        <w:rPr>
          <w:b/>
          <w:bCs/>
          <w:sz w:val="24"/>
          <w:szCs w:val="24"/>
        </w:rPr>
        <w:t xml:space="preserve">– </w:t>
      </w:r>
      <w:hyperlink r:id="rId16" w:history="1">
        <w:r w:rsidRPr="005E4111">
          <w:rPr>
            <w:rFonts w:eastAsia="Aptos"/>
            <w:kern w:val="2"/>
            <w:sz w:val="24"/>
            <w:szCs w:val="24"/>
            <w:lang w:eastAsia="en-US"/>
            <w14:ligatures w14:val="standardContextual"/>
          </w:rPr>
          <w:t>ADI</w:t>
        </w:r>
        <w:r w:rsidRPr="005E4111">
          <w:rPr>
            <w:sz w:val="24"/>
            <w:szCs w:val="24"/>
            <w:lang w:eastAsia="en-US"/>
          </w:rPr>
          <w:t xml:space="preserve"> 7.815/MT </w:t>
        </w:r>
      </w:hyperlink>
      <w:r>
        <w:t xml:space="preserve"> </w:t>
      </w:r>
    </w:p>
    <w:p w14:paraId="44F0B0F8" w14:textId="77777777" w:rsidR="00DB4047" w:rsidRDefault="00DB4047" w:rsidP="00AD256D">
      <w:pPr>
        <w:spacing w:line="360" w:lineRule="auto"/>
        <w:ind w:left="2126"/>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2" w:name="PLENÁRIO"/>
      <w:r>
        <w:rPr>
          <w:b/>
          <w:bCs/>
          <w:iCs/>
          <w:smallCaps/>
          <w:sz w:val="22"/>
          <w:szCs w:val="22"/>
        </w:rPr>
        <w:t>1 PLENÁRIO</w:t>
      </w:r>
    </w:p>
    <w:p w14:paraId="3365EC74" w14:textId="77777777" w:rsidR="000E3BA5" w:rsidRPr="000E3BA5" w:rsidRDefault="000E3BA5" w:rsidP="000E3BA5">
      <w:pPr>
        <w:autoSpaceDE w:val="0"/>
        <w:autoSpaceDN w:val="0"/>
        <w:adjustRightInd w:val="0"/>
        <w:rPr>
          <w:color w:val="000000"/>
          <w:sz w:val="24"/>
          <w:szCs w:val="24"/>
        </w:rPr>
      </w:pPr>
      <w:bookmarkStart w:id="3" w:name="_Hlk199424979"/>
      <w:bookmarkEnd w:id="2"/>
      <w:r w:rsidRPr="000E3BA5">
        <w:rPr>
          <w:color w:val="000000"/>
          <w:sz w:val="24"/>
          <w:szCs w:val="24"/>
        </w:rPr>
        <w:t>DIREITO CONSTITUCIONAL – REPARTIÇÃO DE COMPETÊNCIAS; DIREITO CIVIL; POLÍTICA DE SEGUROS</w:t>
      </w:r>
    </w:p>
    <w:p w14:paraId="682CE03A" w14:textId="77777777" w:rsidR="000E3BA5" w:rsidRPr="000E3BA5" w:rsidRDefault="000E3BA5" w:rsidP="000E3BA5">
      <w:pPr>
        <w:autoSpaceDE w:val="0"/>
        <w:autoSpaceDN w:val="0"/>
        <w:adjustRightInd w:val="0"/>
        <w:rPr>
          <w:color w:val="000000"/>
          <w:sz w:val="24"/>
          <w:szCs w:val="24"/>
        </w:rPr>
      </w:pPr>
    </w:p>
    <w:p w14:paraId="1CA2F2DB" w14:textId="77777777" w:rsidR="000E3BA5" w:rsidRPr="000E3BA5" w:rsidRDefault="000E3BA5" w:rsidP="000E3BA5">
      <w:pPr>
        <w:autoSpaceDE w:val="0"/>
        <w:autoSpaceDN w:val="0"/>
        <w:adjustRightInd w:val="0"/>
        <w:rPr>
          <w:sz w:val="24"/>
          <w:szCs w:val="24"/>
        </w:rPr>
      </w:pPr>
      <w:bookmarkStart w:id="4" w:name="Política"/>
      <w:r w:rsidRPr="000E3BA5">
        <w:rPr>
          <w:b/>
          <w:bCs/>
          <w:i/>
          <w:iCs/>
          <w:sz w:val="24"/>
          <w:szCs w:val="24"/>
        </w:rPr>
        <w:t>Política de seguros automotivos: vedação à aquisição direta de peças de reposição de veículos pelas seguradoras</w:t>
      </w:r>
      <w:r w:rsidRPr="000E3BA5">
        <w:rPr>
          <w:sz w:val="24"/>
          <w:szCs w:val="24"/>
        </w:rPr>
        <w:t xml:space="preserve"> </w:t>
      </w:r>
      <w:bookmarkEnd w:id="4"/>
      <w:r w:rsidRPr="000E3BA5">
        <w:rPr>
          <w:sz w:val="24"/>
          <w:szCs w:val="24"/>
        </w:rPr>
        <w:t xml:space="preserve">– </w:t>
      </w:r>
      <w:hyperlink r:id="rId17" w:history="1">
        <w:r w:rsidRPr="000E3BA5">
          <w:rPr>
            <w:sz w:val="24"/>
            <w:szCs w:val="24"/>
          </w:rPr>
          <w:t>ADPF 1.258/SP</w:t>
        </w:r>
      </w:hyperlink>
      <w:r w:rsidRPr="000E3BA5">
        <w:rPr>
          <w:sz w:val="24"/>
          <w:szCs w:val="24"/>
        </w:rPr>
        <w:t xml:space="preserve"> </w:t>
      </w:r>
      <w:r w:rsidRPr="000E3BA5">
        <w:rPr>
          <w:b/>
          <w:bCs/>
          <w:i/>
          <w:iCs/>
          <w:noProof/>
          <w:sz w:val="24"/>
          <w:szCs w:val="24"/>
        </w:rPr>
        <w:drawing>
          <wp:inline distT="0" distB="0" distL="0" distR="0" wp14:anchorId="30998890" wp14:editId="63B03714">
            <wp:extent cx="1219200" cy="182880"/>
            <wp:effectExtent l="0" t="0" r="0" b="7620"/>
            <wp:docPr id="1" name="Imagem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324B709C" w14:textId="77777777" w:rsidR="000E3BA5" w:rsidRPr="000E3BA5" w:rsidRDefault="000E3BA5" w:rsidP="000E3BA5">
      <w:pPr>
        <w:autoSpaceDE w:val="0"/>
        <w:autoSpaceDN w:val="0"/>
        <w:adjustRightInd w:val="0"/>
        <w:rPr>
          <w:sz w:val="24"/>
          <w:szCs w:val="24"/>
        </w:rPr>
      </w:pPr>
    </w:p>
    <w:p w14:paraId="132BDB3B" w14:textId="77777777" w:rsidR="000E3BA5" w:rsidRPr="000E3BA5" w:rsidRDefault="000E3BA5" w:rsidP="000E3BA5">
      <w:pPr>
        <w:autoSpaceDE w:val="0"/>
        <w:autoSpaceDN w:val="0"/>
        <w:adjustRightInd w:val="0"/>
        <w:rPr>
          <w:sz w:val="24"/>
          <w:szCs w:val="24"/>
        </w:rPr>
      </w:pPr>
      <w:r w:rsidRPr="000E3BA5">
        <w:rPr>
          <w:b/>
          <w:bCs/>
          <w:sz w:val="24"/>
          <w:szCs w:val="24"/>
        </w:rPr>
        <w:t>ODS:</w:t>
      </w:r>
      <w:r w:rsidRPr="000E3BA5">
        <w:rPr>
          <w:sz w:val="24"/>
          <w:szCs w:val="24"/>
        </w:rPr>
        <w:t xml:space="preserve"> </w:t>
      </w:r>
      <w:hyperlink r:id="rId20" w:history="1">
        <w:r w:rsidRPr="000E3BA5">
          <w:rPr>
            <w:color w:val="0000FF"/>
            <w:sz w:val="24"/>
            <w:szCs w:val="24"/>
            <w:u w:val="single"/>
          </w:rPr>
          <w:t>16</w:t>
        </w:r>
      </w:hyperlink>
    </w:p>
    <w:p w14:paraId="14860FA6" w14:textId="77777777" w:rsidR="000E3BA5" w:rsidRPr="000E3BA5" w:rsidRDefault="000E3BA5" w:rsidP="000E3BA5">
      <w:pPr>
        <w:autoSpaceDE w:val="0"/>
        <w:autoSpaceDN w:val="0"/>
        <w:adjustRightInd w:val="0"/>
        <w:rPr>
          <w:sz w:val="24"/>
          <w:szCs w:val="24"/>
        </w:rPr>
      </w:pPr>
    </w:p>
    <w:p w14:paraId="76130308" w14:textId="77777777" w:rsidR="000E3BA5" w:rsidRPr="000E3BA5" w:rsidRDefault="000E3BA5" w:rsidP="000E3BA5">
      <w:pPr>
        <w:autoSpaceDE w:val="0"/>
        <w:autoSpaceDN w:val="0"/>
        <w:adjustRightInd w:val="0"/>
        <w:spacing w:line="360" w:lineRule="auto"/>
        <w:rPr>
          <w:sz w:val="24"/>
          <w:szCs w:val="24"/>
        </w:rPr>
      </w:pPr>
      <w:r w:rsidRPr="000E3BA5">
        <w:rPr>
          <w:sz w:val="24"/>
          <w:szCs w:val="24"/>
        </w:rPr>
        <w:t>Resumo:</w:t>
      </w:r>
    </w:p>
    <w:p w14:paraId="52683ECB" w14:textId="6E7E85A2" w:rsidR="000E3BA5" w:rsidRPr="000E3BA5" w:rsidRDefault="000E3BA5" w:rsidP="000E3BA5">
      <w:pPr>
        <w:autoSpaceDE w:val="0"/>
        <w:autoSpaceDN w:val="0"/>
        <w:adjustRightInd w:val="0"/>
        <w:spacing w:line="360" w:lineRule="auto"/>
        <w:ind w:firstLine="709"/>
        <w:rPr>
          <w:b/>
          <w:bCs/>
          <w:sz w:val="24"/>
          <w:szCs w:val="24"/>
        </w:rPr>
      </w:pPr>
      <w:r w:rsidRPr="000E3BA5">
        <w:rPr>
          <w:b/>
          <w:bCs/>
          <w:sz w:val="24"/>
          <w:szCs w:val="24"/>
        </w:rPr>
        <w:t>É inconstitucional – por invadir a competência privativa da União para legislar sobre direito civil e política de seguros (CF/1988, art. 22, I e VII) – lei municipal que: (i) para as companhias seguradoras, veda a aquisição direta de peças de reposição a serem utilizadas nos serviços de funilaria e pintura de veículos sinistrados; (</w:t>
      </w:r>
      <w:proofErr w:type="spellStart"/>
      <w:r w:rsidRPr="000E3BA5">
        <w:rPr>
          <w:b/>
          <w:bCs/>
          <w:sz w:val="24"/>
          <w:szCs w:val="24"/>
        </w:rPr>
        <w:t>ii</w:t>
      </w:r>
      <w:proofErr w:type="spellEnd"/>
      <w:r w:rsidRPr="000E3BA5">
        <w:rPr>
          <w:b/>
          <w:bCs/>
          <w:sz w:val="24"/>
          <w:szCs w:val="24"/>
        </w:rPr>
        <w:t xml:space="preserve">) para o consumidor, garante a escolha de peças originais ou de qualidade similar e a livre escolha de oficina prestadora dos serviços. </w:t>
      </w:r>
    </w:p>
    <w:p w14:paraId="043DD960" w14:textId="77777777" w:rsidR="000E3BA5" w:rsidRPr="000E3BA5" w:rsidRDefault="000E3BA5" w:rsidP="000E3BA5">
      <w:pPr>
        <w:autoSpaceDE w:val="0"/>
        <w:autoSpaceDN w:val="0"/>
        <w:adjustRightInd w:val="0"/>
        <w:spacing w:line="360" w:lineRule="auto"/>
        <w:ind w:firstLine="709"/>
        <w:rPr>
          <w:sz w:val="24"/>
          <w:szCs w:val="24"/>
        </w:rPr>
      </w:pPr>
      <w:r w:rsidRPr="000E3BA5">
        <w:rPr>
          <w:sz w:val="24"/>
          <w:szCs w:val="24"/>
        </w:rPr>
        <w:t xml:space="preserve">Compete privativamente à União legislar sobre a matéria, e a competência legislativa concorrente para dispor sobre produção e consumo não autoriza os demais entes federativos a disciplinarem as relações contratuais securitárias (1). </w:t>
      </w:r>
    </w:p>
    <w:p w14:paraId="53C8F35E" w14:textId="77777777" w:rsidR="000E3BA5" w:rsidRPr="000E3BA5" w:rsidRDefault="000E3BA5" w:rsidP="000E3BA5">
      <w:pPr>
        <w:autoSpaceDE w:val="0"/>
        <w:autoSpaceDN w:val="0"/>
        <w:adjustRightInd w:val="0"/>
        <w:spacing w:line="360" w:lineRule="auto"/>
        <w:ind w:firstLine="709"/>
        <w:rPr>
          <w:sz w:val="24"/>
          <w:szCs w:val="24"/>
        </w:rPr>
      </w:pPr>
      <w:r w:rsidRPr="000E3BA5">
        <w:rPr>
          <w:sz w:val="24"/>
          <w:szCs w:val="24"/>
        </w:rPr>
        <w:t xml:space="preserve">Ademais, o ato normativo questionado contraria a disciplina federal sobre o tema (Decreto-Lei nº 73/1966 e Circulares SUSEP nº 639/2021 e nº 621/2021), que estabelece de </w:t>
      </w:r>
      <w:r w:rsidRPr="000E3BA5">
        <w:rPr>
          <w:sz w:val="24"/>
          <w:szCs w:val="24"/>
        </w:rPr>
        <w:lastRenderedPageBreak/>
        <w:t xml:space="preserve">forma minuciosa e suficiente como devem ser realizados os reparos do veículo em caso de sinistro e a utilização de peças novas ou usadas, incluindo a possibilidade de aquisição direta de peças de reposição pelas seguradoras. Agrega-se a isso que a regulamentação federal permite a celebração de contratos que prevejam, como alternativa válida, a reparação de veículos em oficinas integrantes de rede referenciada. </w:t>
      </w:r>
    </w:p>
    <w:p w14:paraId="5F2D3F87" w14:textId="77777777" w:rsidR="000E3BA5" w:rsidRPr="000E3BA5" w:rsidRDefault="000E3BA5" w:rsidP="000E3BA5">
      <w:pPr>
        <w:autoSpaceDE w:val="0"/>
        <w:autoSpaceDN w:val="0"/>
        <w:adjustRightInd w:val="0"/>
        <w:spacing w:line="360" w:lineRule="auto"/>
        <w:ind w:firstLine="709"/>
        <w:rPr>
          <w:sz w:val="24"/>
          <w:szCs w:val="24"/>
        </w:rPr>
      </w:pPr>
      <w:r w:rsidRPr="000E3BA5">
        <w:rPr>
          <w:sz w:val="24"/>
          <w:szCs w:val="24"/>
        </w:rPr>
        <w:t xml:space="preserve">Com base nesses e em outros entendimentos, o Plenário, por unanimidade, julgou procedente a ação, para declarar a inconstitucionalidade da </w:t>
      </w:r>
      <w:hyperlink r:id="rId21" w:history="1">
        <w:r w:rsidRPr="000E3BA5">
          <w:rPr>
            <w:color w:val="0000FF"/>
            <w:sz w:val="24"/>
            <w:szCs w:val="24"/>
            <w:u w:val="single"/>
          </w:rPr>
          <w:t>Lei nº 14.796/2025 do Município de São José do Rio Preto/SP</w:t>
        </w:r>
      </w:hyperlink>
      <w:r w:rsidRPr="000E3BA5">
        <w:rPr>
          <w:sz w:val="24"/>
          <w:szCs w:val="24"/>
        </w:rPr>
        <w:t xml:space="preserve"> (2).</w:t>
      </w:r>
    </w:p>
    <w:p w14:paraId="65EB0AD6" w14:textId="77777777" w:rsidR="000E3BA5" w:rsidRPr="000E3BA5" w:rsidRDefault="000E3BA5" w:rsidP="000E3BA5">
      <w:pPr>
        <w:autoSpaceDE w:val="0"/>
        <w:autoSpaceDN w:val="0"/>
        <w:adjustRightInd w:val="0"/>
        <w:spacing w:line="360" w:lineRule="auto"/>
        <w:ind w:firstLine="709"/>
        <w:rPr>
          <w:sz w:val="24"/>
          <w:szCs w:val="24"/>
        </w:rPr>
      </w:pPr>
      <w:bookmarkStart w:id="5" w:name="_Hlk167388033"/>
      <w:bookmarkStart w:id="6" w:name="_Hlk134103137"/>
    </w:p>
    <w:p w14:paraId="050BAA0F" w14:textId="77777777" w:rsidR="000E3BA5" w:rsidRPr="000E3BA5" w:rsidRDefault="000E3BA5" w:rsidP="000E3BA5">
      <w:pPr>
        <w:spacing w:after="120"/>
        <w:ind w:firstLine="709"/>
        <w:rPr>
          <w:rFonts w:ascii="Arial" w:eastAsia="Calibri" w:hAnsi="Arial" w:cs="Arial"/>
          <w:sz w:val="20"/>
          <w:szCs w:val="20"/>
          <w:lang w:eastAsia="en-US"/>
        </w:rPr>
      </w:pPr>
      <w:r w:rsidRPr="000E3BA5">
        <w:rPr>
          <w:rFonts w:ascii="Arial" w:eastAsia="Calibri" w:hAnsi="Arial" w:cs="Arial"/>
          <w:sz w:val="20"/>
          <w:szCs w:val="20"/>
          <w:lang w:eastAsia="en-US"/>
        </w:rPr>
        <w:t xml:space="preserve">(1) Precedentes citados: </w:t>
      </w:r>
      <w:hyperlink r:id="rId22" w:history="1">
        <w:r w:rsidRPr="000E3BA5">
          <w:rPr>
            <w:rFonts w:ascii="Arial" w:eastAsia="Calibri" w:hAnsi="Arial" w:cs="Arial"/>
            <w:color w:val="0000FF"/>
            <w:sz w:val="20"/>
            <w:szCs w:val="20"/>
            <w:u w:val="single"/>
            <w:lang w:eastAsia="en-US"/>
          </w:rPr>
          <w:t>ADI 7.151</w:t>
        </w:r>
      </w:hyperlink>
      <w:r w:rsidRPr="000E3BA5">
        <w:rPr>
          <w:rFonts w:ascii="Arial" w:eastAsia="Calibri" w:hAnsi="Arial" w:cs="Arial"/>
          <w:sz w:val="20"/>
          <w:szCs w:val="20"/>
          <w:lang w:eastAsia="en-US"/>
        </w:rPr>
        <w:t xml:space="preserve">, </w:t>
      </w:r>
      <w:hyperlink r:id="rId23" w:history="1">
        <w:r w:rsidRPr="000E3BA5">
          <w:rPr>
            <w:rFonts w:ascii="Arial" w:eastAsia="Calibri" w:hAnsi="Arial" w:cs="Arial"/>
            <w:color w:val="0000FF"/>
            <w:sz w:val="20"/>
            <w:szCs w:val="20"/>
            <w:u w:val="single"/>
            <w:lang w:eastAsia="en-US"/>
          </w:rPr>
          <w:t>ADI 3.207</w:t>
        </w:r>
      </w:hyperlink>
      <w:r w:rsidRPr="000E3BA5">
        <w:rPr>
          <w:rFonts w:ascii="Arial" w:eastAsia="Calibri" w:hAnsi="Arial" w:cs="Arial"/>
          <w:sz w:val="20"/>
          <w:szCs w:val="20"/>
          <w:lang w:eastAsia="en-US"/>
        </w:rPr>
        <w:t xml:space="preserve"> e </w:t>
      </w:r>
      <w:hyperlink r:id="rId24" w:history="1">
        <w:r w:rsidRPr="000E3BA5">
          <w:rPr>
            <w:rFonts w:ascii="Arial" w:eastAsia="Calibri" w:hAnsi="Arial" w:cs="Arial"/>
            <w:color w:val="0000FF"/>
            <w:sz w:val="20"/>
            <w:szCs w:val="20"/>
            <w:u w:val="single"/>
            <w:lang w:eastAsia="en-US"/>
          </w:rPr>
          <w:t>ADI 4.704</w:t>
        </w:r>
      </w:hyperlink>
      <w:r w:rsidRPr="000E3BA5">
        <w:rPr>
          <w:rFonts w:ascii="Arial" w:eastAsia="Calibri" w:hAnsi="Arial" w:cs="Arial"/>
          <w:sz w:val="20"/>
          <w:szCs w:val="20"/>
          <w:lang w:eastAsia="en-US"/>
        </w:rPr>
        <w:t>.</w:t>
      </w:r>
    </w:p>
    <w:p w14:paraId="2B87ADA9" w14:textId="77777777" w:rsidR="000E3BA5" w:rsidRPr="000E3BA5" w:rsidRDefault="000E3BA5" w:rsidP="000E3BA5">
      <w:pPr>
        <w:spacing w:after="120"/>
        <w:ind w:firstLine="709"/>
        <w:contextualSpacing/>
        <w:rPr>
          <w:rFonts w:ascii="Arial" w:eastAsia="Calibri" w:hAnsi="Arial" w:cs="Arial"/>
          <w:sz w:val="20"/>
          <w:szCs w:val="20"/>
          <w:lang w:eastAsia="en-US"/>
        </w:rPr>
      </w:pPr>
      <w:r w:rsidRPr="000E3BA5">
        <w:rPr>
          <w:rFonts w:ascii="Arial" w:eastAsia="Calibri" w:hAnsi="Arial" w:cs="Arial"/>
          <w:sz w:val="20"/>
          <w:szCs w:val="20"/>
          <w:lang w:eastAsia="en-US"/>
        </w:rPr>
        <w:t xml:space="preserve">(2) </w:t>
      </w:r>
      <w:hyperlink r:id="rId25" w:history="1">
        <w:r w:rsidRPr="000E3BA5">
          <w:rPr>
            <w:rFonts w:ascii="Arial" w:eastAsia="Calibri" w:hAnsi="Arial" w:cs="Arial"/>
            <w:color w:val="0000FF"/>
            <w:sz w:val="20"/>
            <w:szCs w:val="20"/>
            <w:u w:val="single"/>
            <w:lang w:eastAsia="en-US"/>
          </w:rPr>
          <w:t>Lei nº 14.796/2025 do Município de São José do Rio Preto/SP</w:t>
        </w:r>
      </w:hyperlink>
      <w:r w:rsidRPr="000E3BA5">
        <w:rPr>
          <w:rFonts w:ascii="Arial" w:eastAsia="Calibri" w:hAnsi="Arial" w:cs="Arial"/>
          <w:sz w:val="20"/>
          <w:szCs w:val="20"/>
          <w:lang w:eastAsia="en-US"/>
        </w:rPr>
        <w:t xml:space="preserve">: “Art. 1º Em conformidade com o artigo 73 do Decreto-Lei Federal nº 73 de 21 de novembro de 1966, que proíbe as sociedades seguradoras de explorar outros ramos de comércio ou indústria, fica estabelecido que as companhias seguradoras não poderão realizar a aquisição direta de peças de reposição para serviços de funilaria e pintura, devendo estas ser adquiridas exclusivamente pelas oficinas prestadoras de serviços, devidamente registradas no regime fiscal municipal, ou pelos próprios consumidores, caso assim optem, tendo a presente Lei o objetivo de regular a forma do cumprimento da legislação em comento. Parágrafo único. A presente Lei visa assegurar a correta aplicação do Decreto-Lei nº 73/1966, bem como o cumprimento das normas do Código de Defesa do Consumidor (CDC), garantindo que a escolha e a compra de peças de reposição sejam transparentes e realizadas com o consentimento dos consumidores, preservando seus direitos de escolha e segurança. Art. 2º As oficinas de funilaria e pintura deverão informar de forma clara e visível aos consumidores sobre o seu direito de escolha no fornecimento de peças, oferecendo um ‘Termo de Autorização e Ciência de Uso de Peças de Reposição’, nos termos do artigo 3º da presente lei, para que o consumidor autorize a utilização das peças escolhidas. Art. 3º As oficinas deverão afixar, em local de fácil visualização, cartazes informativos com os seguintes dizeres: I. ‘É direito do consumidor escolher a oficina e as peças de reposição a serem utilizadas em seu veículo, assegurando-se que sejam originais ou de qualidade similar, conforme sua escolha.’ II. ‘É direito do consumidor escolher livremente o prestador de serviços que considera mais adequado, independentemente de ser credenciada.’ III. ‘Em cumprimento ao Decreto-Lei nº 73/1966, as seguradoras não devem adquirir diretamente peças de reposição. A compra deve ser realizada pela oficina de sua escolha ou pelo próprio consumidor.’ IV. ‘Caso o consumidor enfrente dificuldades com a seguradora em relação à escolha de peças, deverá comunicar o Procon Municipal para que sejam tomadas as medidas cabíveis.’ § 1º Os mesmos dizeres deverão ser reduzidos a termo, com modelo de declaração de ciência dos consumidores, o qual deverá ser incluído na ‘Ordem de Serviço’ prevista nos termos do artigo 40 do Código de Defesa do Consumidor. (...) Art. 4º O descumprimento desta Lei sujeitará o infrator a sanções administrativas, incluindo multas e outras penalidades previstas no Código de Defesa do Consumidor, a serem aplicadas pela fiscalização municipal com multa no valor de 100 (cem) </w:t>
      </w:r>
      <w:proofErr w:type="spellStart"/>
      <w:r w:rsidRPr="000E3BA5">
        <w:rPr>
          <w:rFonts w:ascii="Arial" w:eastAsia="Calibri" w:hAnsi="Arial" w:cs="Arial"/>
          <w:sz w:val="20"/>
          <w:szCs w:val="20"/>
          <w:lang w:eastAsia="en-US"/>
        </w:rPr>
        <w:t>UFM’s</w:t>
      </w:r>
      <w:proofErr w:type="spellEnd"/>
      <w:r w:rsidRPr="000E3BA5">
        <w:rPr>
          <w:rFonts w:ascii="Arial" w:eastAsia="Calibri" w:hAnsi="Arial" w:cs="Arial"/>
          <w:sz w:val="20"/>
          <w:szCs w:val="20"/>
          <w:lang w:eastAsia="en-US"/>
        </w:rPr>
        <w:t xml:space="preserve"> por reclamação recebida. Art. 5º A fiscalização do cumprimento desta lei caberá ao Procon Municipal e à Fiscalização de Posturas do Município, em colaboração com outras entidades competentes, visando proteger os direitos dos consumidores e assegurar a conformidade com as normas estabelecidas. Art. 6º Esta Lei será regulamentada pelo Poder Executivo, no que couber, para assegurar sua aplicação efetiva e fiel cumprimento. Art. 7º Esta Lei entra em vigor na data de sua publicação”.</w:t>
      </w:r>
    </w:p>
    <w:bookmarkEnd w:id="5"/>
    <w:p w14:paraId="0F1DE651" w14:textId="77777777" w:rsidR="000E3BA5" w:rsidRPr="000E3BA5" w:rsidRDefault="000E3BA5" w:rsidP="000E3BA5">
      <w:pPr>
        <w:autoSpaceDE w:val="0"/>
        <w:autoSpaceDN w:val="0"/>
        <w:adjustRightInd w:val="0"/>
        <w:spacing w:line="360" w:lineRule="auto"/>
        <w:ind w:firstLine="709"/>
        <w:rPr>
          <w:sz w:val="24"/>
          <w:szCs w:val="24"/>
        </w:rPr>
      </w:pPr>
    </w:p>
    <w:bookmarkEnd w:id="6"/>
    <w:p w14:paraId="09197491" w14:textId="77777777" w:rsidR="000E3BA5" w:rsidRPr="000E3BA5" w:rsidRDefault="000E3BA5" w:rsidP="000E3BA5">
      <w:pPr>
        <w:autoSpaceDE w:val="0"/>
        <w:autoSpaceDN w:val="0"/>
        <w:adjustRightInd w:val="0"/>
        <w:spacing w:line="360" w:lineRule="auto"/>
        <w:rPr>
          <w:sz w:val="24"/>
          <w:szCs w:val="24"/>
        </w:rPr>
      </w:pPr>
      <w:r w:rsidRPr="000E3BA5">
        <w:rPr>
          <w:sz w:val="24"/>
          <w:szCs w:val="24"/>
        </w:rPr>
        <w:fldChar w:fldCharType="begin"/>
      </w:r>
      <w:r w:rsidRPr="000E3BA5">
        <w:rPr>
          <w:sz w:val="24"/>
          <w:szCs w:val="24"/>
        </w:rPr>
        <w:instrText>HYPERLINK "https://portal.stf.jus.br/processos/detalhe.asp?incidente=7368542"</w:instrText>
      </w:r>
      <w:r w:rsidRPr="000E3BA5">
        <w:rPr>
          <w:sz w:val="24"/>
          <w:szCs w:val="24"/>
        </w:rPr>
      </w:r>
      <w:r w:rsidRPr="000E3BA5">
        <w:rPr>
          <w:sz w:val="24"/>
          <w:szCs w:val="24"/>
        </w:rPr>
        <w:fldChar w:fldCharType="separate"/>
      </w:r>
      <w:r w:rsidRPr="000E3BA5">
        <w:rPr>
          <w:color w:val="0000FF"/>
          <w:sz w:val="24"/>
          <w:szCs w:val="24"/>
          <w:u w:val="single"/>
        </w:rPr>
        <w:t>ADPF 1.258/SP, relator Ministro Gilmar Mendes, julgamento virtual finalizado em 04.09.2026 (sexta-feira), às 23:59</w:t>
      </w:r>
      <w:r w:rsidRPr="000E3BA5">
        <w:rPr>
          <w:sz w:val="24"/>
          <w:szCs w:val="24"/>
        </w:rPr>
        <w:fldChar w:fldCharType="end"/>
      </w:r>
    </w:p>
    <w:p w14:paraId="6C33D018" w14:textId="77777777" w:rsidR="000E3BA5" w:rsidRDefault="000E3BA5" w:rsidP="00CD18BE">
      <w:pPr>
        <w:rPr>
          <w:sz w:val="24"/>
          <w:szCs w:val="24"/>
        </w:rPr>
      </w:pPr>
    </w:p>
    <w:p w14:paraId="3585C982" w14:textId="77777777" w:rsidR="000E3BA5" w:rsidRDefault="000E3BA5" w:rsidP="000E3BA5">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BCB68F2" w14:textId="77777777" w:rsidR="000E3BA5" w:rsidRDefault="000E3BA5" w:rsidP="00CD18BE">
      <w:pPr>
        <w:rPr>
          <w:sz w:val="24"/>
          <w:szCs w:val="24"/>
        </w:rPr>
      </w:pPr>
    </w:p>
    <w:p w14:paraId="68CF8653" w14:textId="579A78A1" w:rsidR="00CD18BE" w:rsidRDefault="00CD18BE" w:rsidP="00CD18BE">
      <w:pPr>
        <w:rPr>
          <w:b/>
          <w:bCs/>
          <w:sz w:val="24"/>
          <w:szCs w:val="24"/>
        </w:rPr>
      </w:pPr>
      <w:r>
        <w:rPr>
          <w:sz w:val="24"/>
          <w:szCs w:val="24"/>
        </w:rPr>
        <w:lastRenderedPageBreak/>
        <w:t>DIREITO CONSTITUCIONAL –</w:t>
      </w:r>
      <w:r>
        <w:rPr>
          <w:sz w:val="24"/>
          <w:szCs w:val="24"/>
          <w:lang w:eastAsia="en-US"/>
        </w:rPr>
        <w:t xml:space="preserve"> </w:t>
      </w:r>
      <w:r>
        <w:rPr>
          <w:sz w:val="24"/>
          <w:szCs w:val="24"/>
        </w:rPr>
        <w:t xml:space="preserve">SEGURANÇA PÚBLICA; POLÍCIA CIVIL; REPARTIÇÃO DE COMPETÊNCIAS; COMPETÊNCIA LEGISLATIVA CONCORRENTE; DELEGADO DE POLÍCIA; COMANDO; OPERAÇÃO DE </w:t>
      </w:r>
      <w:r>
        <w:rPr>
          <w:sz w:val="24"/>
          <w:szCs w:val="24"/>
          <w:lang w:eastAsia="en-US"/>
        </w:rPr>
        <w:t>POLICIAMENTO OSTENSIVO</w:t>
      </w:r>
    </w:p>
    <w:p w14:paraId="7C611A9B" w14:textId="77777777" w:rsidR="00CD18BE" w:rsidRDefault="00CD18BE" w:rsidP="00CD18BE">
      <w:pPr>
        <w:rPr>
          <w:sz w:val="24"/>
          <w:szCs w:val="24"/>
        </w:rPr>
      </w:pPr>
    </w:p>
    <w:p w14:paraId="3446A133" w14:textId="4968620D" w:rsidR="00CD18BE" w:rsidRDefault="00CD18BE" w:rsidP="00CD18BE">
      <w:pPr>
        <w:autoSpaceDE w:val="0"/>
        <w:autoSpaceDN w:val="0"/>
        <w:adjustRightInd w:val="0"/>
        <w:rPr>
          <w:sz w:val="24"/>
          <w:szCs w:val="24"/>
        </w:rPr>
      </w:pPr>
      <w:bookmarkStart w:id="7" w:name="Polícia"/>
      <w:bookmarkStart w:id="8" w:name="_Toc239166948"/>
      <w:r>
        <w:rPr>
          <w:b/>
          <w:bCs/>
          <w:i/>
          <w:iCs/>
          <w:sz w:val="24"/>
          <w:szCs w:val="24"/>
          <w:lang w:eastAsia="en-US"/>
        </w:rPr>
        <w:t>Polícia</w:t>
      </w:r>
      <w:bookmarkEnd w:id="7"/>
      <w:r>
        <w:rPr>
          <w:b/>
          <w:bCs/>
          <w:i/>
          <w:iCs/>
          <w:sz w:val="24"/>
          <w:szCs w:val="24"/>
          <w:lang w:eastAsia="en-US"/>
        </w:rPr>
        <w:t xml:space="preserve"> </w:t>
      </w:r>
      <w:r w:rsidR="00BC0121">
        <w:rPr>
          <w:b/>
          <w:bCs/>
          <w:i/>
          <w:iCs/>
          <w:sz w:val="24"/>
          <w:szCs w:val="24"/>
          <w:lang w:eastAsia="en-US"/>
        </w:rPr>
        <w:t>c</w:t>
      </w:r>
      <w:r>
        <w:rPr>
          <w:b/>
          <w:bCs/>
          <w:i/>
          <w:iCs/>
          <w:sz w:val="24"/>
          <w:szCs w:val="24"/>
          <w:lang w:eastAsia="en-US"/>
        </w:rPr>
        <w:t>ivil: vedação aos delegados de comando ou chefia em forças de segurança com competência para o policiamento ostensivo ou comunitário</w:t>
      </w:r>
      <w:bookmarkEnd w:id="8"/>
      <w:r>
        <w:rPr>
          <w:b/>
          <w:bCs/>
          <w:i/>
          <w:iCs/>
          <w:sz w:val="24"/>
          <w:szCs w:val="24"/>
          <w:lang w:eastAsia="en-US"/>
        </w:rPr>
        <w:t xml:space="preserve"> </w:t>
      </w:r>
      <w:r w:rsidRPr="001F25BA">
        <w:rPr>
          <w:sz w:val="24"/>
          <w:szCs w:val="24"/>
          <w:lang w:eastAsia="en-US"/>
        </w:rPr>
        <w:t>–</w:t>
      </w:r>
      <w:r>
        <w:rPr>
          <w:b/>
          <w:bCs/>
          <w:i/>
          <w:iCs/>
          <w:sz w:val="24"/>
          <w:szCs w:val="24"/>
          <w:lang w:eastAsia="en-US"/>
        </w:rPr>
        <w:t xml:space="preserve"> </w:t>
      </w:r>
      <w:hyperlink r:id="rId26" w:history="1">
        <w:r>
          <w:rPr>
            <w:rStyle w:val="Hyperlink"/>
            <w:color w:val="auto"/>
            <w:sz w:val="24"/>
            <w:szCs w:val="24"/>
            <w:u w:val="none"/>
            <w:lang w:eastAsia="en-US"/>
          </w:rPr>
          <w:t>ADI 7.895/RJ</w:t>
        </w:r>
      </w:hyperlink>
    </w:p>
    <w:p w14:paraId="14A2E2CB" w14:textId="72EB52EE" w:rsidR="00CD18BE" w:rsidRDefault="00CD18BE" w:rsidP="00CD18BE">
      <w:pPr>
        <w:autoSpaceDE w:val="0"/>
        <w:autoSpaceDN w:val="0"/>
        <w:adjustRightInd w:val="0"/>
        <w:rPr>
          <w:color w:val="000000" w:themeColor="text1"/>
          <w:sz w:val="24"/>
          <w:szCs w:val="24"/>
        </w:rPr>
      </w:pPr>
      <w:r>
        <w:rPr>
          <w:noProof/>
          <w:sz w:val="24"/>
          <w:szCs w:val="24"/>
        </w:rPr>
        <w:drawing>
          <wp:inline distT="0" distB="0" distL="0" distR="0" wp14:anchorId="35BE83B5" wp14:editId="30FCB3B6">
            <wp:extent cx="1200150" cy="180975"/>
            <wp:effectExtent l="0" t="0" r="0" b="9525"/>
            <wp:docPr id="2069776663" name="Imagem 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76663" name="Imagem 6">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47E3413D" w14:textId="77777777" w:rsidR="00CD18BE" w:rsidRDefault="00CD18BE" w:rsidP="00CD18BE">
      <w:pPr>
        <w:spacing w:line="276" w:lineRule="auto"/>
        <w:rPr>
          <w:sz w:val="24"/>
          <w:szCs w:val="24"/>
          <w:lang w:eastAsia="en-US"/>
        </w:rPr>
      </w:pPr>
    </w:p>
    <w:p w14:paraId="744AA38A" w14:textId="77777777" w:rsidR="00CD18BE" w:rsidRDefault="00CD18BE" w:rsidP="00CD18BE">
      <w:pPr>
        <w:rPr>
          <w:sz w:val="24"/>
          <w:szCs w:val="24"/>
          <w:lang w:eastAsia="en-US"/>
        </w:rPr>
      </w:pPr>
      <w:r>
        <w:rPr>
          <w:b/>
          <w:bCs/>
          <w:sz w:val="24"/>
          <w:szCs w:val="24"/>
          <w:lang w:eastAsia="en-US"/>
        </w:rPr>
        <w:t>ODS</w:t>
      </w:r>
      <w:r>
        <w:rPr>
          <w:sz w:val="24"/>
          <w:szCs w:val="24"/>
          <w:lang w:eastAsia="en-US"/>
        </w:rPr>
        <w:t xml:space="preserve">: </w:t>
      </w:r>
      <w:hyperlink r:id="rId29" w:history="1">
        <w:r>
          <w:rPr>
            <w:rStyle w:val="Hyperlink"/>
            <w:sz w:val="24"/>
            <w:szCs w:val="24"/>
            <w:lang w:eastAsia="en-US"/>
          </w:rPr>
          <w:t>16</w:t>
        </w:r>
      </w:hyperlink>
    </w:p>
    <w:p w14:paraId="6E70D1ED" w14:textId="77777777" w:rsidR="00CD18BE" w:rsidRDefault="00CD18BE" w:rsidP="00CD18BE">
      <w:pPr>
        <w:spacing w:line="276" w:lineRule="auto"/>
        <w:rPr>
          <w:sz w:val="24"/>
          <w:szCs w:val="24"/>
          <w:lang w:eastAsia="en-US"/>
        </w:rPr>
      </w:pPr>
    </w:p>
    <w:p w14:paraId="79326768" w14:textId="77777777" w:rsidR="00CD18BE" w:rsidRDefault="00CD18BE" w:rsidP="00CD18BE">
      <w:pPr>
        <w:spacing w:line="360" w:lineRule="auto"/>
        <w:rPr>
          <w:sz w:val="24"/>
          <w:szCs w:val="24"/>
          <w:lang w:eastAsia="en-US"/>
        </w:rPr>
      </w:pPr>
      <w:r>
        <w:rPr>
          <w:sz w:val="24"/>
          <w:szCs w:val="24"/>
          <w:lang w:eastAsia="en-US"/>
        </w:rPr>
        <w:t>Resumo:</w:t>
      </w:r>
    </w:p>
    <w:p w14:paraId="1DB5F9CB" w14:textId="5C3F8963" w:rsidR="00CD18BE" w:rsidRDefault="00CD18BE" w:rsidP="00CD18BE">
      <w:pPr>
        <w:spacing w:line="360" w:lineRule="auto"/>
        <w:ind w:firstLine="709"/>
        <w:rPr>
          <w:b/>
          <w:bCs/>
          <w:sz w:val="24"/>
          <w:szCs w:val="24"/>
          <w:lang w:eastAsia="en-US"/>
        </w:rPr>
      </w:pPr>
      <w:r>
        <w:rPr>
          <w:b/>
          <w:bCs/>
          <w:sz w:val="24"/>
          <w:szCs w:val="24"/>
          <w:lang w:eastAsia="en-US"/>
        </w:rPr>
        <w:t xml:space="preserve">É constitucional – pois inserida na margem de conformação destinada à suplementação legislativa do </w:t>
      </w:r>
      <w:r w:rsidR="001F25BA">
        <w:rPr>
          <w:b/>
          <w:bCs/>
          <w:sz w:val="24"/>
          <w:szCs w:val="24"/>
          <w:lang w:eastAsia="en-US"/>
        </w:rPr>
        <w:t>e</w:t>
      </w:r>
      <w:r>
        <w:rPr>
          <w:b/>
          <w:bCs/>
          <w:sz w:val="24"/>
          <w:szCs w:val="24"/>
          <w:lang w:eastAsia="en-US"/>
        </w:rPr>
        <w:t>stado-membro –</w:t>
      </w:r>
      <w:r>
        <w:rPr>
          <w:b/>
          <w:bCs/>
          <w:i/>
          <w:iCs/>
          <w:sz w:val="24"/>
          <w:szCs w:val="24"/>
          <w:lang w:eastAsia="en-US"/>
        </w:rPr>
        <w:t xml:space="preserve"> </w:t>
      </w:r>
      <w:r>
        <w:rPr>
          <w:b/>
          <w:bCs/>
          <w:sz w:val="24"/>
          <w:szCs w:val="24"/>
          <w:lang w:eastAsia="en-US"/>
        </w:rPr>
        <w:t>norma estadual que veda o comando ou a chefia de delegado de polícia em operação de atividade de policiamento ostensivo e comunitário.</w:t>
      </w:r>
    </w:p>
    <w:p w14:paraId="693CA1B5" w14:textId="3A705186" w:rsidR="00CD18BE" w:rsidRDefault="00CD18BE" w:rsidP="00CD18BE">
      <w:pPr>
        <w:spacing w:line="360" w:lineRule="auto"/>
        <w:ind w:firstLine="709"/>
        <w:rPr>
          <w:sz w:val="24"/>
          <w:szCs w:val="24"/>
          <w:lang w:eastAsia="en-US"/>
        </w:rPr>
      </w:pPr>
      <w:r>
        <w:rPr>
          <w:sz w:val="24"/>
          <w:szCs w:val="24"/>
          <w:lang w:eastAsia="en-US"/>
        </w:rPr>
        <w:t xml:space="preserve">Ao disciplinar a distribuição das competências legislativas referentes à polícia civil, a Constituição atribuiu à União o estabelecimento de normas gerais, enquanto aos </w:t>
      </w:r>
      <w:r w:rsidR="001F25BA">
        <w:rPr>
          <w:sz w:val="24"/>
          <w:szCs w:val="24"/>
          <w:lang w:eastAsia="en-US"/>
        </w:rPr>
        <w:t>e</w:t>
      </w:r>
      <w:r>
        <w:rPr>
          <w:sz w:val="24"/>
          <w:szCs w:val="24"/>
          <w:lang w:eastAsia="en-US"/>
        </w:rPr>
        <w:t xml:space="preserve">stados-membros manteve ampla a competência suplementar para especificar e conformar o regime jurídico de suas </w:t>
      </w:r>
      <w:r w:rsidR="001F25BA">
        <w:rPr>
          <w:sz w:val="24"/>
          <w:szCs w:val="24"/>
          <w:lang w:eastAsia="en-US"/>
        </w:rPr>
        <w:t>p</w:t>
      </w:r>
      <w:r>
        <w:rPr>
          <w:sz w:val="24"/>
          <w:szCs w:val="24"/>
          <w:lang w:eastAsia="en-US"/>
        </w:rPr>
        <w:t xml:space="preserve">olícias </w:t>
      </w:r>
      <w:r w:rsidR="001F25BA">
        <w:rPr>
          <w:sz w:val="24"/>
          <w:szCs w:val="24"/>
          <w:lang w:eastAsia="en-US"/>
        </w:rPr>
        <w:t>c</w:t>
      </w:r>
      <w:r>
        <w:rPr>
          <w:sz w:val="24"/>
          <w:szCs w:val="24"/>
          <w:lang w:eastAsia="en-US"/>
        </w:rPr>
        <w:t>ivis, com o fito de melhor atender às peculiaridades e necessidades locais (1) (2).</w:t>
      </w:r>
    </w:p>
    <w:p w14:paraId="56148919" w14:textId="77777777" w:rsidR="00CD18BE" w:rsidRDefault="00CD18BE" w:rsidP="00CD18BE">
      <w:pPr>
        <w:spacing w:line="360" w:lineRule="auto"/>
        <w:ind w:firstLine="709"/>
        <w:rPr>
          <w:sz w:val="24"/>
          <w:szCs w:val="24"/>
          <w:lang w:eastAsia="en-US"/>
        </w:rPr>
      </w:pPr>
      <w:r>
        <w:rPr>
          <w:sz w:val="24"/>
          <w:szCs w:val="24"/>
          <w:lang w:eastAsia="en-US"/>
        </w:rPr>
        <w:t xml:space="preserve">A norma impugnada atuou no campo da especialização funcional das forças de segurança pública em deferência à escolha legítima do legislador constitucional (3) (4) e não rompeu com a lógica de cooperação e integração nacional plasmada na </w:t>
      </w:r>
      <w:hyperlink r:id="rId30" w:history="1">
        <w:r>
          <w:rPr>
            <w:rStyle w:val="Hyperlink"/>
            <w:sz w:val="24"/>
            <w:szCs w:val="24"/>
            <w:lang w:eastAsia="en-US"/>
          </w:rPr>
          <w:t>Lei nº 13.675/2018</w:t>
        </w:r>
      </w:hyperlink>
      <w:r>
        <w:rPr>
          <w:sz w:val="24"/>
          <w:szCs w:val="24"/>
          <w:lang w:eastAsia="en-US"/>
        </w:rPr>
        <w:t>. Desse modo, não é possível afirmar que houve violação ao federalismo cooperativo.</w:t>
      </w:r>
    </w:p>
    <w:p w14:paraId="6CDC76F2" w14:textId="77777777" w:rsidR="00CD18BE" w:rsidRDefault="00CD18BE" w:rsidP="00CD18BE">
      <w:pPr>
        <w:spacing w:line="360" w:lineRule="auto"/>
        <w:ind w:firstLine="709"/>
        <w:rPr>
          <w:sz w:val="24"/>
          <w:szCs w:val="24"/>
          <w:lang w:eastAsia="en-US"/>
        </w:rPr>
      </w:pPr>
      <w:r>
        <w:rPr>
          <w:sz w:val="24"/>
          <w:szCs w:val="24"/>
          <w:lang w:eastAsia="en-US"/>
        </w:rPr>
        <w:t xml:space="preserve">Com base nesses entendimentos, o Plenário, por unanimidade, julgou improcedente a ação para reconhecer a constitucionalidade do art. 36 da </w:t>
      </w:r>
      <w:hyperlink r:id="rId31" w:anchor=":~:text=Art.%2036.,RI%200091275%2D54.2025.8.19.0000." w:history="1">
        <w:r>
          <w:rPr>
            <w:rStyle w:val="Hyperlink"/>
            <w:sz w:val="24"/>
            <w:szCs w:val="24"/>
            <w:lang w:eastAsia="en-US"/>
          </w:rPr>
          <w:t>Lei nº 11.003/2025 do Estado do Rio de Janeiro</w:t>
        </w:r>
      </w:hyperlink>
      <w:r>
        <w:rPr>
          <w:sz w:val="24"/>
          <w:szCs w:val="24"/>
          <w:lang w:eastAsia="en-US"/>
        </w:rPr>
        <w:t xml:space="preserve"> (5).</w:t>
      </w:r>
    </w:p>
    <w:p w14:paraId="60CC0D36" w14:textId="77777777" w:rsidR="00CD18BE" w:rsidRDefault="00CD18BE" w:rsidP="00CD18BE">
      <w:pPr>
        <w:spacing w:line="360" w:lineRule="auto"/>
        <w:rPr>
          <w:sz w:val="24"/>
          <w:szCs w:val="24"/>
          <w:lang w:eastAsia="en-US"/>
        </w:rPr>
      </w:pPr>
    </w:p>
    <w:p w14:paraId="0F23AEA8" w14:textId="5EF863C4" w:rsidR="00CD18BE" w:rsidRPr="000E3BA5" w:rsidRDefault="00CD18BE" w:rsidP="00526567">
      <w:pPr>
        <w:pStyle w:val="PargrafodaLista"/>
        <w:spacing w:after="120"/>
        <w:ind w:left="0" w:firstLine="709"/>
        <w:rPr>
          <w:rFonts w:ascii="Arial" w:hAnsi="Arial" w:cs="Arial"/>
          <w:sz w:val="20"/>
          <w:szCs w:val="20"/>
          <w:lang w:eastAsia="en-US"/>
        </w:rPr>
      </w:pPr>
      <w:r w:rsidRPr="000E3BA5">
        <w:rPr>
          <w:rFonts w:ascii="Arial" w:hAnsi="Arial" w:cs="Arial"/>
          <w:sz w:val="20"/>
          <w:szCs w:val="20"/>
        </w:rPr>
        <w:t xml:space="preserve">(1) </w:t>
      </w:r>
      <w:hyperlink r:id="rId32" w:anchor=":~:text=Art.%2024.%20Compete%20%C3%A0%20Uni%C3%A3o%2C%20aos%20Estados%20e%20ao%20Distrito%20Federal%20legislar%20concorrentemente%20sobre%3A" w:history="1">
        <w:r w:rsidRPr="000E3BA5">
          <w:rPr>
            <w:rStyle w:val="Hyperlink"/>
            <w:rFonts w:ascii="Arial" w:hAnsi="Arial" w:cs="Arial"/>
            <w:sz w:val="20"/>
            <w:szCs w:val="20"/>
          </w:rPr>
          <w:t>CF/1988</w:t>
        </w:r>
      </w:hyperlink>
      <w:r w:rsidRPr="000E3BA5">
        <w:rPr>
          <w:rFonts w:ascii="Arial" w:hAnsi="Arial" w:cs="Arial"/>
          <w:sz w:val="20"/>
          <w:szCs w:val="20"/>
        </w:rPr>
        <w:t>: “Art. 24. Compete à União, aos Estados e ao Distrito Federal legislar concorrentemente sobre: (...) XVI - organização, garantias, direitos e deveres das polícias civis. § 1º No âmbito da legislação concorrente, a competência da União limitar-se-á a estabelecer normas gerais</w:t>
      </w:r>
      <w:bookmarkStart w:id="9" w:name="cfart24§2"/>
      <w:bookmarkEnd w:id="9"/>
      <w:r w:rsidRPr="000E3BA5">
        <w:rPr>
          <w:rFonts w:ascii="Arial" w:hAnsi="Arial" w:cs="Arial"/>
          <w:sz w:val="20"/>
          <w:szCs w:val="20"/>
        </w:rPr>
        <w:t>. § 2º A competência da União para legislar sobre normas gerais não exclui a competência suplementar dos Estados</w:t>
      </w:r>
      <w:r w:rsidR="006170B1">
        <w:rPr>
          <w:rFonts w:ascii="Arial" w:hAnsi="Arial" w:cs="Arial"/>
          <w:sz w:val="20"/>
          <w:szCs w:val="20"/>
        </w:rPr>
        <w:t>.</w:t>
      </w:r>
      <w:r w:rsidRPr="000E3BA5">
        <w:rPr>
          <w:rFonts w:ascii="Arial" w:hAnsi="Arial" w:cs="Arial"/>
          <w:sz w:val="20"/>
          <w:szCs w:val="20"/>
        </w:rPr>
        <w:t>”</w:t>
      </w:r>
    </w:p>
    <w:p w14:paraId="66F014EE" w14:textId="77777777" w:rsidR="00CD18BE" w:rsidRPr="000E3BA5" w:rsidRDefault="00CD18BE" w:rsidP="00526567">
      <w:pPr>
        <w:pStyle w:val="PargrafodaLista"/>
        <w:spacing w:after="120"/>
        <w:ind w:left="709"/>
        <w:rPr>
          <w:rFonts w:ascii="Arial" w:hAnsi="Arial" w:cs="Arial"/>
          <w:sz w:val="20"/>
          <w:szCs w:val="20"/>
        </w:rPr>
      </w:pPr>
      <w:r w:rsidRPr="000E3BA5">
        <w:rPr>
          <w:rFonts w:ascii="Arial" w:hAnsi="Arial" w:cs="Arial"/>
          <w:sz w:val="20"/>
          <w:szCs w:val="20"/>
        </w:rPr>
        <w:t xml:space="preserve">(2) Precedentes citados: </w:t>
      </w:r>
      <w:hyperlink r:id="rId33" w:history="1">
        <w:r w:rsidRPr="000E3BA5">
          <w:rPr>
            <w:rStyle w:val="Hyperlink"/>
            <w:rFonts w:ascii="Arial" w:hAnsi="Arial" w:cs="Arial"/>
            <w:sz w:val="20"/>
            <w:szCs w:val="20"/>
          </w:rPr>
          <w:t>ADI 3.062</w:t>
        </w:r>
      </w:hyperlink>
      <w:r w:rsidRPr="000E3BA5">
        <w:rPr>
          <w:rFonts w:ascii="Arial" w:hAnsi="Arial" w:cs="Arial"/>
          <w:sz w:val="20"/>
          <w:szCs w:val="20"/>
        </w:rPr>
        <w:t xml:space="preserve"> e </w:t>
      </w:r>
      <w:hyperlink r:id="rId34" w:history="1">
        <w:r w:rsidRPr="000E3BA5">
          <w:rPr>
            <w:rStyle w:val="Hyperlink"/>
            <w:rFonts w:ascii="Arial" w:hAnsi="Arial" w:cs="Arial"/>
            <w:sz w:val="20"/>
            <w:szCs w:val="20"/>
          </w:rPr>
          <w:t>ADI 5.182</w:t>
        </w:r>
      </w:hyperlink>
      <w:r w:rsidRPr="000E3BA5">
        <w:rPr>
          <w:rFonts w:ascii="Arial" w:hAnsi="Arial" w:cs="Arial"/>
          <w:sz w:val="20"/>
          <w:szCs w:val="20"/>
        </w:rPr>
        <w:t>.</w:t>
      </w:r>
    </w:p>
    <w:p w14:paraId="235FED9E" w14:textId="77777777" w:rsidR="00CD18BE" w:rsidRPr="000E3BA5" w:rsidRDefault="00CD18BE" w:rsidP="00526567">
      <w:pPr>
        <w:pStyle w:val="PargrafodaLista"/>
        <w:spacing w:after="120"/>
        <w:ind w:left="0" w:firstLine="709"/>
        <w:rPr>
          <w:rFonts w:ascii="Arial" w:hAnsi="Arial" w:cs="Arial"/>
          <w:sz w:val="20"/>
          <w:szCs w:val="20"/>
        </w:rPr>
      </w:pPr>
      <w:r w:rsidRPr="000E3BA5">
        <w:rPr>
          <w:rFonts w:ascii="Arial" w:hAnsi="Arial" w:cs="Arial"/>
          <w:sz w:val="20"/>
          <w:szCs w:val="20"/>
        </w:rPr>
        <w:t xml:space="preserve">(3) </w:t>
      </w:r>
      <w:hyperlink r:id="rId35" w:anchor=":~:text=%C2%A7%204%C2%BA%20%C3%80s%20pol%C3%ADcias%20civis%2C%20dirigidas%20por%20delegados%20de%20pol%C3%ADcia%20de%20carreira%2C%20incumbem%2C%20ressalvada%20a%20compet%C3%AAncia%20da%20Uni%C3%A3o%2C%20as%20fun%C3%A7%C3%B5es%20de%20pol%C3%ADcia%20judici%C3%A1ria%20e%20a%20apura%C3%A7%C3%A3o%20de%20infra%C3%A7%C3%B5es%20penais%2C%20exceto%20as%20militares." w:history="1">
        <w:r w:rsidRPr="000E3BA5">
          <w:rPr>
            <w:rStyle w:val="Hyperlink"/>
            <w:rFonts w:ascii="Arial" w:hAnsi="Arial" w:cs="Arial"/>
            <w:sz w:val="20"/>
            <w:szCs w:val="20"/>
          </w:rPr>
          <w:t>CF/1988</w:t>
        </w:r>
      </w:hyperlink>
      <w:r w:rsidRPr="000E3BA5">
        <w:rPr>
          <w:rFonts w:ascii="Arial" w:hAnsi="Arial" w:cs="Arial"/>
          <w:sz w:val="20"/>
          <w:szCs w:val="20"/>
        </w:rPr>
        <w:t>: “Art. 144. A segurança pública, dever do Estado, direito e responsabilidade de todos, é exercida para a preservação da ordem pública e da incolumidade das pessoas e do patrimônio, através dos seguintes órgãos: (...) § 4º Às polícias civis, dirigidas por delegados de polícia de carreira, incumbem, ressalvada a competência da União, as funções de polícia judiciária e a apuração de infrações penais, exceto as militares.</w:t>
      </w:r>
      <w:bookmarkStart w:id="10" w:name="art144§5"/>
      <w:bookmarkEnd w:id="10"/>
      <w:r w:rsidRPr="000E3BA5">
        <w:rPr>
          <w:rFonts w:ascii="Arial" w:hAnsi="Arial" w:cs="Arial"/>
          <w:sz w:val="20"/>
          <w:szCs w:val="20"/>
        </w:rPr>
        <w:t xml:space="preserve"> § 5º Às polícias militares cabem a polícia ostensiva e a preservação da ordem pública; aos corpos de bombeiros militares, além das atribuições definidas em lei, incumbe a execução de atividades de defesa civil.”</w:t>
      </w:r>
    </w:p>
    <w:p w14:paraId="322B833E" w14:textId="77777777" w:rsidR="00CD18BE" w:rsidRPr="000E3BA5" w:rsidRDefault="00CD18BE" w:rsidP="00526567">
      <w:pPr>
        <w:pStyle w:val="PargrafodaLista"/>
        <w:spacing w:after="120"/>
        <w:ind w:left="0" w:firstLine="709"/>
        <w:rPr>
          <w:rFonts w:ascii="Arial" w:hAnsi="Arial" w:cs="Arial"/>
          <w:sz w:val="20"/>
          <w:szCs w:val="20"/>
        </w:rPr>
      </w:pPr>
      <w:r w:rsidRPr="000E3BA5">
        <w:rPr>
          <w:rFonts w:ascii="Arial" w:hAnsi="Arial" w:cs="Arial"/>
          <w:sz w:val="20"/>
          <w:szCs w:val="20"/>
        </w:rPr>
        <w:lastRenderedPageBreak/>
        <w:t xml:space="preserve">(4) Precedente citado: </w:t>
      </w:r>
      <w:hyperlink r:id="rId36" w:history="1">
        <w:r w:rsidRPr="000E3BA5">
          <w:rPr>
            <w:rStyle w:val="Hyperlink"/>
            <w:rFonts w:ascii="Arial" w:hAnsi="Arial" w:cs="Arial"/>
            <w:sz w:val="20"/>
            <w:szCs w:val="20"/>
          </w:rPr>
          <w:t>ADI 3.441</w:t>
        </w:r>
      </w:hyperlink>
      <w:r w:rsidRPr="000E3BA5">
        <w:rPr>
          <w:rFonts w:ascii="Arial" w:hAnsi="Arial" w:cs="Arial"/>
          <w:sz w:val="20"/>
          <w:szCs w:val="20"/>
        </w:rPr>
        <w:t>.</w:t>
      </w:r>
    </w:p>
    <w:p w14:paraId="4A56A7E1" w14:textId="77777777" w:rsidR="00CD18BE" w:rsidRPr="000E3BA5" w:rsidRDefault="00CD18BE" w:rsidP="00CD18BE">
      <w:pPr>
        <w:pStyle w:val="PargrafodaLista"/>
        <w:ind w:left="0" w:firstLine="709"/>
        <w:rPr>
          <w:rFonts w:ascii="Arial" w:hAnsi="Arial" w:cs="Arial"/>
          <w:sz w:val="20"/>
          <w:szCs w:val="20"/>
        </w:rPr>
      </w:pPr>
      <w:r w:rsidRPr="000E3BA5">
        <w:rPr>
          <w:rFonts w:ascii="Arial" w:hAnsi="Arial" w:cs="Arial"/>
          <w:sz w:val="20"/>
          <w:szCs w:val="20"/>
        </w:rPr>
        <w:t xml:space="preserve">(5) </w:t>
      </w:r>
      <w:hyperlink r:id="rId37" w:anchor=":~:text=Art.%2036.,RI%200091275%2D54.2025.8.19.0000." w:history="1">
        <w:r w:rsidRPr="000E3BA5">
          <w:rPr>
            <w:rStyle w:val="Hyperlink"/>
            <w:rFonts w:ascii="Arial" w:hAnsi="Arial" w:cs="Arial"/>
            <w:sz w:val="20"/>
            <w:szCs w:val="20"/>
          </w:rPr>
          <w:t>Lei nº 11.003/2025 do Estado do Rio de Janeiro</w:t>
        </w:r>
      </w:hyperlink>
      <w:r w:rsidRPr="000E3BA5">
        <w:rPr>
          <w:rFonts w:ascii="Arial" w:hAnsi="Arial" w:cs="Arial"/>
          <w:sz w:val="20"/>
          <w:szCs w:val="20"/>
        </w:rPr>
        <w:t>: “Art. 36. É vedado ao Delegado de Polícia operar atividade de comando ou chefia em forças de segurança que exerçam, precipuamente, funções de policiamento ostensivo e comunitário, sob pena de caracterizar desvio de função e violação à autonomia institucional.”</w:t>
      </w:r>
    </w:p>
    <w:p w14:paraId="79735214" w14:textId="77777777" w:rsidR="00CD18BE" w:rsidRDefault="00CD18BE" w:rsidP="00CD18BE">
      <w:pPr>
        <w:spacing w:line="360" w:lineRule="auto"/>
        <w:rPr>
          <w:sz w:val="24"/>
          <w:szCs w:val="24"/>
          <w:lang w:eastAsia="en-US"/>
        </w:rPr>
      </w:pPr>
    </w:p>
    <w:p w14:paraId="5820C652" w14:textId="77777777" w:rsidR="00CD18BE" w:rsidRDefault="00CD18BE" w:rsidP="00CD18BE">
      <w:pPr>
        <w:spacing w:line="360" w:lineRule="auto"/>
        <w:rPr>
          <w:sz w:val="24"/>
          <w:szCs w:val="24"/>
        </w:rPr>
      </w:pPr>
      <w:hyperlink r:id="rId38" w:history="1">
        <w:r>
          <w:rPr>
            <w:rStyle w:val="Hyperlink"/>
            <w:sz w:val="24"/>
            <w:szCs w:val="24"/>
          </w:rPr>
          <w:t>ADI 7.895/RJ, relator Ministro Flávio Dino, julgamento virtual finalizado em 14.09.2026 (segunda-feira), às 23:59</w:t>
        </w:r>
      </w:hyperlink>
    </w:p>
    <w:p w14:paraId="02F430F9" w14:textId="77777777" w:rsidR="00CD18BE" w:rsidRDefault="00CD18BE" w:rsidP="000B6F9B">
      <w:pPr>
        <w:rPr>
          <w:sz w:val="24"/>
          <w:szCs w:val="24"/>
          <w:lang w:eastAsia="en-US"/>
        </w:rPr>
      </w:pPr>
    </w:p>
    <w:p w14:paraId="28B184D1" w14:textId="77777777" w:rsidR="00130F61" w:rsidRDefault="00130F61" w:rsidP="00130F6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420DDBAE" w14:textId="77777777" w:rsidR="00130F61" w:rsidRDefault="00130F61" w:rsidP="00130F61">
      <w:pPr>
        <w:rPr>
          <w:sz w:val="24"/>
          <w:szCs w:val="24"/>
          <w:lang w:eastAsia="en-US"/>
        </w:rPr>
      </w:pPr>
    </w:p>
    <w:p w14:paraId="194B95F0" w14:textId="681F885C" w:rsidR="00130F61" w:rsidRPr="00130F61" w:rsidRDefault="00130F61" w:rsidP="00130F61">
      <w:pPr>
        <w:rPr>
          <w:sz w:val="24"/>
          <w:szCs w:val="24"/>
          <w:lang w:eastAsia="en-US"/>
        </w:rPr>
      </w:pPr>
      <w:r w:rsidRPr="00130F61">
        <w:rPr>
          <w:sz w:val="24"/>
          <w:szCs w:val="24"/>
          <w:lang w:eastAsia="en-US"/>
        </w:rPr>
        <w:t xml:space="preserve">DIREITO ELEITORAL – ELEIÇÕES; CANDIDATOS; INELEGIBILIDADE; LEI DA FICHA LIMPA; CRIMES CONTRA A VIDA E </w:t>
      </w:r>
      <w:r w:rsidR="00526567">
        <w:rPr>
          <w:sz w:val="24"/>
          <w:szCs w:val="24"/>
          <w:lang w:eastAsia="en-US"/>
        </w:rPr>
        <w:t xml:space="preserve">A </w:t>
      </w:r>
      <w:r w:rsidRPr="00130F61">
        <w:rPr>
          <w:sz w:val="24"/>
          <w:szCs w:val="24"/>
          <w:lang w:eastAsia="en-US"/>
        </w:rPr>
        <w:t>DIGNIDADE SEXUAL</w:t>
      </w:r>
    </w:p>
    <w:p w14:paraId="03C3E1EC" w14:textId="77777777" w:rsidR="00130F61" w:rsidRPr="00130F61" w:rsidRDefault="00130F61" w:rsidP="00130F61">
      <w:pPr>
        <w:rPr>
          <w:b/>
          <w:bCs/>
          <w:i/>
          <w:iCs/>
          <w:sz w:val="24"/>
          <w:szCs w:val="24"/>
          <w:highlight w:val="yellow"/>
          <w:lang w:eastAsia="en-US"/>
        </w:rPr>
      </w:pPr>
    </w:p>
    <w:p w14:paraId="0CBEC406" w14:textId="0238B265" w:rsidR="00130F61" w:rsidRPr="00130F61" w:rsidRDefault="00130F61" w:rsidP="00130F61">
      <w:pPr>
        <w:autoSpaceDE w:val="0"/>
        <w:autoSpaceDN w:val="0"/>
        <w:adjustRightInd w:val="0"/>
        <w:rPr>
          <w:b/>
          <w:bCs/>
          <w:i/>
          <w:iCs/>
          <w:sz w:val="24"/>
          <w:szCs w:val="24"/>
          <w:lang w:eastAsia="en-US"/>
        </w:rPr>
      </w:pPr>
      <w:bookmarkStart w:id="11" w:name="eleicoes"/>
      <w:r w:rsidRPr="00130F61">
        <w:rPr>
          <w:b/>
          <w:bCs/>
          <w:i/>
          <w:iCs/>
          <w:sz w:val="24"/>
          <w:szCs w:val="24"/>
          <w:lang w:eastAsia="en-US"/>
        </w:rPr>
        <w:t xml:space="preserve">Hipótese de inelegibilidade a condenados por crimes contra a vida e contra a dignidade sexual: aplicação retroativa da Lei da Ficha Limpa </w:t>
      </w:r>
      <w:bookmarkEnd w:id="11"/>
      <w:r w:rsidRPr="00130F61">
        <w:rPr>
          <w:sz w:val="24"/>
          <w:szCs w:val="24"/>
          <w:lang w:eastAsia="en-US"/>
        </w:rPr>
        <w:t xml:space="preserve">– </w:t>
      </w:r>
      <w:hyperlink r:id="rId39" w:history="1">
        <w:r w:rsidRPr="00130F61">
          <w:rPr>
            <w:sz w:val="24"/>
            <w:szCs w:val="24"/>
            <w:lang w:eastAsia="en-US"/>
          </w:rPr>
          <w:t>ADI 7.770/DF</w:t>
        </w:r>
      </w:hyperlink>
      <w:r w:rsidRPr="00130F61">
        <w:rPr>
          <w:sz w:val="24"/>
          <w:szCs w:val="24"/>
        </w:rPr>
        <w:t xml:space="preserve"> </w:t>
      </w:r>
      <w:r w:rsidRPr="00130F61">
        <w:rPr>
          <w:noProof/>
          <w:sz w:val="24"/>
          <w:szCs w:val="24"/>
        </w:rPr>
        <w:drawing>
          <wp:inline distT="0" distB="0" distL="0" distR="0" wp14:anchorId="5806D5F9" wp14:editId="69AF395E">
            <wp:extent cx="1195705" cy="180975"/>
            <wp:effectExtent l="0" t="0" r="4445" b="9525"/>
            <wp:docPr id="773358345" name="Imagem 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4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D72D0E1" w14:textId="77777777" w:rsidR="00130F61" w:rsidRPr="00130F61" w:rsidRDefault="00130F61" w:rsidP="00130F61">
      <w:pPr>
        <w:autoSpaceDE w:val="0"/>
        <w:autoSpaceDN w:val="0"/>
        <w:adjustRightInd w:val="0"/>
        <w:rPr>
          <w:sz w:val="24"/>
          <w:szCs w:val="24"/>
        </w:rPr>
      </w:pPr>
    </w:p>
    <w:p w14:paraId="08C41225" w14:textId="77777777" w:rsidR="00130F61" w:rsidRPr="00130F61" w:rsidRDefault="00130F61" w:rsidP="00130F61">
      <w:pPr>
        <w:rPr>
          <w:sz w:val="24"/>
          <w:szCs w:val="24"/>
        </w:rPr>
      </w:pPr>
      <w:r w:rsidRPr="00130F61">
        <w:rPr>
          <w:b/>
          <w:bCs/>
          <w:sz w:val="24"/>
          <w:szCs w:val="24"/>
        </w:rPr>
        <w:t>ODS:</w:t>
      </w:r>
      <w:r w:rsidRPr="00130F61">
        <w:rPr>
          <w:sz w:val="24"/>
          <w:szCs w:val="24"/>
        </w:rPr>
        <w:t xml:space="preserve"> </w:t>
      </w:r>
      <w:hyperlink r:id="rId41" w:history="1">
        <w:r w:rsidRPr="00130F61">
          <w:rPr>
            <w:color w:val="0000FF"/>
            <w:sz w:val="24"/>
            <w:szCs w:val="24"/>
            <w:u w:val="single"/>
          </w:rPr>
          <w:t>16</w:t>
        </w:r>
      </w:hyperlink>
    </w:p>
    <w:p w14:paraId="64F8D714" w14:textId="77777777" w:rsidR="00130F61" w:rsidRPr="00130F61" w:rsidRDefault="00130F61" w:rsidP="00130F61">
      <w:pPr>
        <w:autoSpaceDE w:val="0"/>
        <w:autoSpaceDN w:val="0"/>
        <w:adjustRightInd w:val="0"/>
        <w:ind w:firstLine="709"/>
        <w:rPr>
          <w:sz w:val="24"/>
          <w:szCs w:val="24"/>
          <w:lang w:eastAsia="en-US"/>
        </w:rPr>
      </w:pPr>
    </w:p>
    <w:p w14:paraId="395FF89A" w14:textId="77777777" w:rsidR="00130F61" w:rsidRPr="00130F61" w:rsidRDefault="00130F61" w:rsidP="00130F61">
      <w:pPr>
        <w:spacing w:line="360" w:lineRule="auto"/>
        <w:rPr>
          <w:sz w:val="24"/>
          <w:szCs w:val="24"/>
          <w:lang w:eastAsia="en-US"/>
        </w:rPr>
      </w:pPr>
      <w:r w:rsidRPr="00130F61">
        <w:rPr>
          <w:sz w:val="24"/>
          <w:szCs w:val="24"/>
          <w:lang w:eastAsia="en-US"/>
        </w:rPr>
        <w:t>Resumo:</w:t>
      </w:r>
    </w:p>
    <w:p w14:paraId="31D0F9B9" w14:textId="77777777" w:rsidR="00130F61" w:rsidRPr="00130F61" w:rsidRDefault="00130F61" w:rsidP="00130F61">
      <w:pPr>
        <w:spacing w:line="360" w:lineRule="auto"/>
        <w:ind w:firstLine="709"/>
        <w:rPr>
          <w:b/>
          <w:bCs/>
          <w:sz w:val="24"/>
          <w:szCs w:val="24"/>
          <w:lang w:eastAsia="en-US"/>
        </w:rPr>
      </w:pPr>
      <w:r w:rsidRPr="00130F61">
        <w:rPr>
          <w:b/>
          <w:bCs/>
          <w:sz w:val="24"/>
          <w:szCs w:val="24"/>
          <w:lang w:eastAsia="en-US"/>
        </w:rPr>
        <w:t>É constitucional a aplicação das causas de inelegibilidade instituídas pela Lei da Ficha Limpa (Lei Complementar nº 135/2010) a ilícitos praticados antes de sua entrada em vigor, desde que incidentes em processos eleitorais posteriores.</w:t>
      </w:r>
    </w:p>
    <w:p w14:paraId="3908F683" w14:textId="77777777" w:rsidR="00130F61" w:rsidRPr="00130F61" w:rsidRDefault="00130F61" w:rsidP="00130F61">
      <w:pPr>
        <w:spacing w:line="360" w:lineRule="auto"/>
        <w:ind w:firstLine="709"/>
        <w:rPr>
          <w:sz w:val="24"/>
          <w:szCs w:val="24"/>
          <w:lang w:eastAsia="en-US"/>
        </w:rPr>
      </w:pPr>
      <w:r w:rsidRPr="00130F61">
        <w:rPr>
          <w:sz w:val="24"/>
          <w:szCs w:val="24"/>
          <w:lang w:eastAsia="en-US"/>
        </w:rPr>
        <w:t>As inelegibilidades constituem requisitos negativos de adequação do indivíduo ao regime jurídico eleitoral e não se confundem com sanções penais nem com as hipóteses de perda ou suspensão dos direitos políticos. Nesse contexto, o direito de concorrer a cargos eletivos não se incorpora definitivamente ao patrimônio jurídico do cidadão, pois sua aferição ocorre de acordo com a legislação vigente no momento do registro da candidatura.</w:t>
      </w:r>
    </w:p>
    <w:p w14:paraId="27E5E44C" w14:textId="77777777" w:rsidR="00130F61" w:rsidRPr="00130F61" w:rsidRDefault="00130F61" w:rsidP="00130F61">
      <w:pPr>
        <w:spacing w:line="360" w:lineRule="auto"/>
        <w:ind w:firstLine="709"/>
        <w:rPr>
          <w:sz w:val="24"/>
          <w:szCs w:val="24"/>
          <w:lang w:eastAsia="en-US"/>
        </w:rPr>
      </w:pPr>
      <w:r w:rsidRPr="00130F61">
        <w:rPr>
          <w:sz w:val="24"/>
          <w:szCs w:val="24"/>
          <w:lang w:eastAsia="en-US"/>
        </w:rPr>
        <w:t>Conforme a jurisprudência desta Corte (1), a consideração de fatos anteriores à Lei Complementar nº 135/2010 para a incidência, em eleições futuras, das causas de inelegibilidade por ela previstas caracteriza retroatividade inautêntica ou retrospectividade. A lei não modifica os efeitos jurídicos produzidos no passado, mas estabelece limitação prospectiva ao direito de concorrer a cargos eletivos com base em situações preexistentes, razão pela qual não há violação à irretroatividade da lei penal mais gravosa, ao direito adquirido ou à coisa julgada.</w:t>
      </w:r>
    </w:p>
    <w:p w14:paraId="3973EFE2" w14:textId="77777777" w:rsidR="00130F61" w:rsidRPr="00130F61" w:rsidRDefault="00130F61" w:rsidP="00130F61">
      <w:pPr>
        <w:spacing w:line="360" w:lineRule="auto"/>
        <w:ind w:firstLine="709"/>
        <w:rPr>
          <w:sz w:val="24"/>
          <w:szCs w:val="24"/>
          <w:lang w:eastAsia="en-US"/>
        </w:rPr>
      </w:pPr>
      <w:r w:rsidRPr="00130F61">
        <w:rPr>
          <w:sz w:val="24"/>
          <w:szCs w:val="24"/>
          <w:lang w:eastAsia="en-US"/>
        </w:rPr>
        <w:t xml:space="preserve">Na espécie, a norma impugnada incluiu entre as causas de inelegibilidade a condenação, transitada em julgado ou proferida por órgão judicial colegiado, por crimes contra a vida e a dignidade sexual, ainda que praticados antes da edição da Lei da Ficha Limpa. A incidência dessa restrição em processos eleitorais posteriores não atribui efeitos retroativos à condenação, </w:t>
      </w:r>
      <w:r w:rsidRPr="00130F61">
        <w:rPr>
          <w:sz w:val="24"/>
          <w:szCs w:val="24"/>
          <w:lang w:eastAsia="en-US"/>
        </w:rPr>
        <w:lastRenderedPageBreak/>
        <w:t>mas submete o interessado ao regime de elegibilidade vigente no momento em que pretende registrar sua candidatura.</w:t>
      </w:r>
    </w:p>
    <w:p w14:paraId="2FC67463" w14:textId="6DE83868" w:rsidR="00130F61" w:rsidRPr="00130F61" w:rsidRDefault="00130F61" w:rsidP="00130F61">
      <w:pPr>
        <w:spacing w:line="360" w:lineRule="auto"/>
        <w:ind w:firstLine="709"/>
        <w:rPr>
          <w:sz w:val="24"/>
          <w:szCs w:val="24"/>
          <w:lang w:eastAsia="en-US"/>
        </w:rPr>
      </w:pPr>
      <w:r w:rsidRPr="00130F61">
        <w:rPr>
          <w:sz w:val="24"/>
          <w:szCs w:val="24"/>
          <w:lang w:eastAsia="en-US"/>
        </w:rPr>
        <w:t xml:space="preserve">Com base nesses e em outros entendimentos, o Plenário, por unanimidade, conheceu parcialmente da ação direta e, nessa extensão, julgou improcedente o pedido, mantendo a aplicação da causa de inelegibilidade prevista no </w:t>
      </w:r>
      <w:hyperlink r:id="rId42" w:anchor=":~:text=9.%20contra%20a%20vida%20e%20a%20dignidade%20sexual%3B%20e" w:history="1">
        <w:r w:rsidRPr="00130F61">
          <w:rPr>
            <w:color w:val="0000FF"/>
            <w:sz w:val="24"/>
            <w:szCs w:val="24"/>
            <w:u w:val="single"/>
            <w:lang w:eastAsia="en-US"/>
          </w:rPr>
          <w:t xml:space="preserve">art. 1º, I, </w:t>
        </w:r>
        <w:r w:rsidRPr="00526567">
          <w:rPr>
            <w:i/>
            <w:iCs/>
            <w:color w:val="0000FF"/>
            <w:sz w:val="24"/>
            <w:szCs w:val="24"/>
            <w:u w:val="single"/>
            <w:lang w:eastAsia="en-US"/>
          </w:rPr>
          <w:t>e</w:t>
        </w:r>
        <w:r w:rsidRPr="00130F61">
          <w:rPr>
            <w:color w:val="0000FF"/>
            <w:sz w:val="24"/>
            <w:szCs w:val="24"/>
            <w:u w:val="single"/>
            <w:lang w:eastAsia="en-US"/>
          </w:rPr>
          <w:t>, item 9, da Lei Complementar nº 64/1990</w:t>
        </w:r>
      </w:hyperlink>
      <w:r w:rsidR="005841EC">
        <w:t xml:space="preserve"> </w:t>
      </w:r>
      <w:r w:rsidR="005841EC" w:rsidRPr="005841EC">
        <w:rPr>
          <w:sz w:val="24"/>
          <w:szCs w:val="24"/>
        </w:rPr>
        <w:t>(2)</w:t>
      </w:r>
      <w:r w:rsidRPr="005841EC">
        <w:rPr>
          <w:sz w:val="24"/>
          <w:szCs w:val="24"/>
          <w:lang w:eastAsia="en-US"/>
        </w:rPr>
        <w:t>,</w:t>
      </w:r>
      <w:r w:rsidRPr="00130F61">
        <w:rPr>
          <w:sz w:val="24"/>
          <w:szCs w:val="24"/>
          <w:lang w:eastAsia="en-US"/>
        </w:rPr>
        <w:t xml:space="preserve"> com a redação conferida pela </w:t>
      </w:r>
      <w:hyperlink r:id="rId43" w:anchor="art2" w:history="1">
        <w:r w:rsidRPr="00130F61">
          <w:rPr>
            <w:color w:val="0000FF"/>
            <w:sz w:val="24"/>
            <w:szCs w:val="24"/>
            <w:u w:val="single"/>
            <w:lang w:eastAsia="en-US"/>
          </w:rPr>
          <w:t>Lei Complementar nº 135/2010</w:t>
        </w:r>
      </w:hyperlink>
      <w:r w:rsidRPr="00130F61">
        <w:rPr>
          <w:sz w:val="24"/>
          <w:szCs w:val="24"/>
          <w:lang w:eastAsia="en-US"/>
        </w:rPr>
        <w:t>, aos ilícitos praticados antes de sua vigência.</w:t>
      </w:r>
    </w:p>
    <w:p w14:paraId="6B6BD826" w14:textId="77777777" w:rsidR="00130F61" w:rsidRPr="00130F61" w:rsidRDefault="00130F61" w:rsidP="00130F61">
      <w:pPr>
        <w:spacing w:line="360" w:lineRule="auto"/>
        <w:rPr>
          <w:sz w:val="24"/>
          <w:szCs w:val="24"/>
          <w:lang w:eastAsia="en-US"/>
        </w:rPr>
      </w:pPr>
    </w:p>
    <w:p w14:paraId="23501002" w14:textId="0F4DB78A" w:rsidR="00130F61" w:rsidRPr="00130F61" w:rsidRDefault="00130F61" w:rsidP="000E3BA5">
      <w:pPr>
        <w:spacing w:after="120"/>
        <w:ind w:firstLine="709"/>
        <w:rPr>
          <w:rFonts w:ascii="Arial" w:hAnsi="Arial" w:cs="Arial"/>
          <w:sz w:val="20"/>
          <w:szCs w:val="20"/>
        </w:rPr>
      </w:pPr>
      <w:r w:rsidRPr="00130F61">
        <w:rPr>
          <w:rFonts w:ascii="Arial" w:hAnsi="Arial" w:cs="Arial"/>
          <w:sz w:val="20"/>
          <w:szCs w:val="20"/>
        </w:rPr>
        <w:t xml:space="preserve">(1) Precedentes citados: </w:t>
      </w:r>
      <w:hyperlink r:id="rId44" w:history="1">
        <w:r w:rsidRPr="00130F61">
          <w:rPr>
            <w:rFonts w:ascii="Arial" w:hAnsi="Arial" w:cs="Arial"/>
            <w:color w:val="0000FF"/>
            <w:sz w:val="20"/>
            <w:szCs w:val="20"/>
            <w:u w:val="single"/>
          </w:rPr>
          <w:t>ADC 29</w:t>
        </w:r>
      </w:hyperlink>
      <w:r w:rsidRPr="00130F61">
        <w:rPr>
          <w:rFonts w:ascii="Arial" w:hAnsi="Arial" w:cs="Arial"/>
          <w:sz w:val="20"/>
          <w:szCs w:val="20"/>
        </w:rPr>
        <w:t xml:space="preserve">, </w:t>
      </w:r>
      <w:hyperlink r:id="rId45" w:history="1">
        <w:r w:rsidRPr="00130F61">
          <w:rPr>
            <w:rFonts w:ascii="Arial" w:hAnsi="Arial" w:cs="Arial"/>
            <w:color w:val="0000FF"/>
            <w:sz w:val="20"/>
            <w:szCs w:val="20"/>
            <w:u w:val="single"/>
          </w:rPr>
          <w:t>ADC 3</w:t>
        </w:r>
        <w:r w:rsidRPr="00130F61">
          <w:rPr>
            <w:rFonts w:ascii="Arial" w:hAnsi="Arial" w:cs="Arial"/>
            <w:color w:val="0000FF"/>
            <w:sz w:val="20"/>
            <w:szCs w:val="20"/>
            <w:u w:val="single"/>
          </w:rPr>
          <w:t>0</w:t>
        </w:r>
      </w:hyperlink>
      <w:r w:rsidRPr="00130F61">
        <w:rPr>
          <w:rFonts w:ascii="Arial" w:hAnsi="Arial" w:cs="Arial"/>
          <w:sz w:val="20"/>
          <w:szCs w:val="20"/>
        </w:rPr>
        <w:t xml:space="preserve">, </w:t>
      </w:r>
      <w:hyperlink r:id="rId46" w:history="1">
        <w:r w:rsidRPr="00130F61">
          <w:rPr>
            <w:rFonts w:ascii="Arial" w:hAnsi="Arial" w:cs="Arial"/>
            <w:color w:val="0000FF"/>
            <w:sz w:val="20"/>
            <w:szCs w:val="20"/>
            <w:u w:val="single"/>
          </w:rPr>
          <w:t>ADI 4.578</w:t>
        </w:r>
      </w:hyperlink>
      <w:r w:rsidRPr="00130F61">
        <w:rPr>
          <w:rFonts w:ascii="Arial" w:hAnsi="Arial" w:cs="Arial"/>
          <w:sz w:val="20"/>
          <w:szCs w:val="20"/>
        </w:rPr>
        <w:t xml:space="preserve">, </w:t>
      </w:r>
      <w:hyperlink r:id="rId47" w:history="1">
        <w:r w:rsidRPr="00130F61">
          <w:rPr>
            <w:rFonts w:ascii="Arial" w:hAnsi="Arial" w:cs="Arial"/>
            <w:color w:val="0000FF"/>
            <w:sz w:val="20"/>
            <w:szCs w:val="20"/>
            <w:u w:val="single"/>
          </w:rPr>
          <w:t>ADI 3.128</w:t>
        </w:r>
      </w:hyperlink>
      <w:r w:rsidRPr="00130F61">
        <w:rPr>
          <w:rFonts w:ascii="Arial" w:hAnsi="Arial" w:cs="Arial"/>
          <w:sz w:val="20"/>
          <w:szCs w:val="20"/>
        </w:rPr>
        <w:t xml:space="preserve"> e </w:t>
      </w:r>
      <w:hyperlink r:id="rId48" w:history="1">
        <w:r w:rsidRPr="00130F61">
          <w:rPr>
            <w:rFonts w:ascii="Arial" w:hAnsi="Arial" w:cs="Arial"/>
            <w:color w:val="0000FF"/>
            <w:sz w:val="20"/>
            <w:szCs w:val="20"/>
            <w:u w:val="single"/>
          </w:rPr>
          <w:t>RE 633.703</w:t>
        </w:r>
      </w:hyperlink>
      <w:r w:rsidRPr="00130F61">
        <w:rPr>
          <w:rFonts w:ascii="Arial" w:hAnsi="Arial" w:cs="Arial"/>
          <w:sz w:val="20"/>
          <w:szCs w:val="20"/>
        </w:rPr>
        <w:t xml:space="preserve"> (</w:t>
      </w:r>
      <w:hyperlink r:id="rId49" w:history="1">
        <w:r w:rsidRPr="00130F61">
          <w:rPr>
            <w:rFonts w:ascii="Arial" w:hAnsi="Arial" w:cs="Arial"/>
            <w:color w:val="0000FF"/>
            <w:sz w:val="20"/>
            <w:szCs w:val="20"/>
            <w:u w:val="single"/>
          </w:rPr>
          <w:t>Tema 387 RG</w:t>
        </w:r>
      </w:hyperlink>
      <w:r w:rsidRPr="00130F61">
        <w:rPr>
          <w:rFonts w:ascii="Arial" w:hAnsi="Arial" w:cs="Arial"/>
          <w:sz w:val="20"/>
          <w:szCs w:val="20"/>
        </w:rPr>
        <w:t>).</w:t>
      </w:r>
    </w:p>
    <w:p w14:paraId="5182ED46" w14:textId="67216CDB" w:rsidR="00130F61" w:rsidRPr="007E2661" w:rsidRDefault="00130F61" w:rsidP="000E3BA5">
      <w:pPr>
        <w:spacing w:after="120"/>
        <w:ind w:firstLine="709"/>
        <w:rPr>
          <w:rFonts w:ascii="Arial" w:hAnsi="Arial" w:cs="Arial"/>
          <w:sz w:val="20"/>
          <w:szCs w:val="20"/>
          <w:lang w:eastAsia="en-US"/>
        </w:rPr>
      </w:pPr>
      <w:r w:rsidRPr="00130F61">
        <w:rPr>
          <w:rFonts w:ascii="Arial" w:hAnsi="Arial" w:cs="Arial"/>
          <w:sz w:val="20"/>
          <w:szCs w:val="20"/>
          <w:lang w:eastAsia="en-US"/>
        </w:rPr>
        <w:t xml:space="preserve">(2) </w:t>
      </w:r>
      <w:hyperlink r:id="rId50" w:anchor=":~:text=9.%20contra%20a%20vida%20e%20a%20dignidade%20sexual%3B%20e" w:history="1">
        <w:r w:rsidRPr="00130F61">
          <w:rPr>
            <w:rFonts w:ascii="Arial" w:hAnsi="Arial" w:cs="Arial"/>
            <w:color w:val="0000FF"/>
            <w:sz w:val="20"/>
            <w:szCs w:val="20"/>
            <w:u w:val="single"/>
            <w:lang w:eastAsia="en-US"/>
          </w:rPr>
          <w:t>Lei Complementar nº 64/1990</w:t>
        </w:r>
      </w:hyperlink>
      <w:r w:rsidRPr="00130F61">
        <w:rPr>
          <w:rFonts w:ascii="Arial" w:hAnsi="Arial" w:cs="Arial"/>
          <w:sz w:val="20"/>
          <w:szCs w:val="20"/>
          <w:lang w:eastAsia="en-US"/>
        </w:rPr>
        <w:t>: “Art. 1º São inelegíveis: I - para qualquer cargo: (...) e) os que forem condenados em decisão transitada em julgado ou proferida por órgão judicial colegiado, desde a referida condenação até o transcurso do prazo de 8 (oito) anos, pelos crimes a seguir, ressalvados os itens 6 a 10 e os crimes contra a administração pública, cuja inelegibilidade ocorrerá desde a condenação por órgão colegiado até o transcurso do prazo de 8 (oito) anos após o cumprimento da pena: (...) 9. contra a vida e a dignidade sexual</w:t>
      </w:r>
      <w:r w:rsidR="007E2661">
        <w:rPr>
          <w:rFonts w:ascii="Arial" w:hAnsi="Arial" w:cs="Arial"/>
          <w:sz w:val="20"/>
          <w:szCs w:val="20"/>
          <w:lang w:eastAsia="en-US"/>
        </w:rPr>
        <w:t xml:space="preserve">. </w:t>
      </w:r>
      <w:r w:rsidR="005841EC" w:rsidRPr="007E2661">
        <w:rPr>
          <w:rFonts w:ascii="Arial" w:hAnsi="Arial" w:cs="Arial"/>
          <w:color w:val="000000"/>
          <w:sz w:val="20"/>
          <w:szCs w:val="20"/>
          <w:shd w:val="clear" w:color="auto" w:fill="FFFFFF"/>
        </w:rPr>
        <w:t>(</w:t>
      </w:r>
      <w:hyperlink r:id="rId51" w:anchor="art2" w:history="1">
        <w:r w:rsidR="005841EC" w:rsidRPr="007E2661">
          <w:rPr>
            <w:rFonts w:ascii="Arial" w:hAnsi="Arial" w:cs="Arial"/>
            <w:color w:val="0000FF"/>
            <w:sz w:val="20"/>
            <w:szCs w:val="20"/>
            <w:u w:val="single"/>
            <w:shd w:val="clear" w:color="auto" w:fill="FFFFFF"/>
          </w:rPr>
          <w:t>Incluído pela Lei Complementar nº 135, de 2010</w:t>
        </w:r>
      </w:hyperlink>
      <w:r w:rsidR="005841EC" w:rsidRPr="007E2661">
        <w:rPr>
          <w:rFonts w:ascii="Arial" w:hAnsi="Arial" w:cs="Arial"/>
          <w:color w:val="000000"/>
          <w:sz w:val="20"/>
          <w:szCs w:val="20"/>
          <w:shd w:val="clear" w:color="auto" w:fill="FFFFFF"/>
        </w:rPr>
        <w:t>)</w:t>
      </w:r>
      <w:r w:rsidR="007E2661">
        <w:rPr>
          <w:rFonts w:ascii="Arial" w:hAnsi="Arial" w:cs="Arial"/>
          <w:color w:val="000000"/>
          <w:sz w:val="20"/>
          <w:szCs w:val="20"/>
          <w:shd w:val="clear" w:color="auto" w:fill="FFFFFF"/>
        </w:rPr>
        <w:t>”</w:t>
      </w:r>
    </w:p>
    <w:p w14:paraId="26D57A63" w14:textId="77777777" w:rsidR="00130F61" w:rsidRPr="00130F61" w:rsidRDefault="00130F61" w:rsidP="00130F61">
      <w:pPr>
        <w:spacing w:after="120"/>
        <w:ind w:firstLine="708"/>
        <w:rPr>
          <w:rFonts w:ascii="Arial" w:hAnsi="Arial" w:cs="Arial"/>
          <w:sz w:val="20"/>
          <w:szCs w:val="20"/>
          <w:lang w:eastAsia="en-US"/>
        </w:rPr>
      </w:pPr>
    </w:p>
    <w:p w14:paraId="52B24117" w14:textId="54207C6B" w:rsidR="00CD18BE" w:rsidRDefault="00130F61" w:rsidP="00130F61">
      <w:pPr>
        <w:spacing w:line="360" w:lineRule="auto"/>
        <w:rPr>
          <w:sz w:val="24"/>
          <w:szCs w:val="24"/>
          <w:lang w:eastAsia="en-US"/>
        </w:rPr>
      </w:pPr>
      <w:hyperlink r:id="rId52" w:history="1">
        <w:r w:rsidRPr="00130F61">
          <w:rPr>
            <w:color w:val="0000FF"/>
            <w:sz w:val="24"/>
            <w:szCs w:val="24"/>
            <w:u w:val="single"/>
            <w:lang w:eastAsia="en-US"/>
          </w:rPr>
          <w:t>ADI 7.770/DF, relator Ministro Luiz Fux, julgamento virtual finalizado em 14.09.2026 (segunda-feira), às 23:59</w:t>
        </w:r>
      </w:hyperlink>
    </w:p>
    <w:p w14:paraId="03B4B43B" w14:textId="77777777" w:rsidR="00130F61" w:rsidRDefault="00130F61" w:rsidP="000B6F9B">
      <w:pPr>
        <w:rPr>
          <w:sz w:val="24"/>
          <w:szCs w:val="24"/>
          <w:lang w:eastAsia="en-US"/>
        </w:rPr>
      </w:pPr>
    </w:p>
    <w:p w14:paraId="4580A841" w14:textId="77777777" w:rsidR="00130F61" w:rsidRDefault="00130F61" w:rsidP="00130F6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4294AEB2" w14:textId="77777777" w:rsidR="00130F61" w:rsidRDefault="00130F61" w:rsidP="000B6F9B">
      <w:pPr>
        <w:rPr>
          <w:sz w:val="24"/>
          <w:szCs w:val="24"/>
          <w:lang w:eastAsia="en-US"/>
        </w:rPr>
      </w:pPr>
    </w:p>
    <w:p w14:paraId="18F219DB" w14:textId="6D0778CD" w:rsidR="000B6F9B" w:rsidRPr="000B6F9B" w:rsidRDefault="000B6F9B" w:rsidP="000B6F9B">
      <w:pPr>
        <w:rPr>
          <w:sz w:val="24"/>
          <w:szCs w:val="24"/>
          <w:lang w:eastAsia="en-US"/>
        </w:rPr>
      </w:pPr>
      <w:r w:rsidRPr="000B6F9B">
        <w:rPr>
          <w:sz w:val="24"/>
          <w:szCs w:val="24"/>
          <w:lang w:eastAsia="en-US"/>
        </w:rPr>
        <w:t>DIREITO ELEITORAL – PARTIDOS POLÍTICOS; PRESTAÇÃO DE CONTAS; DEVIDO PROCESSO LEGAL</w:t>
      </w:r>
    </w:p>
    <w:p w14:paraId="1AD6B516" w14:textId="77777777" w:rsidR="000B6F9B" w:rsidRPr="000B6F9B" w:rsidRDefault="000B6F9B" w:rsidP="000B6F9B">
      <w:pPr>
        <w:rPr>
          <w:b/>
          <w:bCs/>
          <w:i/>
          <w:iCs/>
          <w:sz w:val="24"/>
          <w:szCs w:val="24"/>
          <w:highlight w:val="yellow"/>
          <w:lang w:eastAsia="en-US"/>
        </w:rPr>
      </w:pPr>
    </w:p>
    <w:p w14:paraId="39EDCE41" w14:textId="2A2F8360" w:rsidR="000B6F9B" w:rsidRPr="000B6F9B" w:rsidRDefault="000B6F9B" w:rsidP="000B6F9B">
      <w:pPr>
        <w:autoSpaceDE w:val="0"/>
        <w:autoSpaceDN w:val="0"/>
        <w:adjustRightInd w:val="0"/>
        <w:rPr>
          <w:b/>
          <w:bCs/>
          <w:i/>
          <w:iCs/>
          <w:sz w:val="24"/>
          <w:szCs w:val="24"/>
          <w:lang w:eastAsia="en-US"/>
        </w:rPr>
      </w:pPr>
      <w:bookmarkStart w:id="12" w:name="Restrição"/>
      <w:bookmarkStart w:id="13" w:name="omissão"/>
      <w:bookmarkEnd w:id="12"/>
      <w:r w:rsidRPr="000B6F9B">
        <w:rPr>
          <w:b/>
          <w:bCs/>
          <w:i/>
          <w:iCs/>
          <w:sz w:val="24"/>
          <w:szCs w:val="24"/>
          <w:lang w:eastAsia="en-US"/>
        </w:rPr>
        <w:t xml:space="preserve">Constitucionalidade da regulamentação sobre a suspensão da anotação de órgãos partidários omissos na prestação de contas </w:t>
      </w:r>
      <w:bookmarkEnd w:id="13"/>
      <w:r w:rsidRPr="000B6F9B">
        <w:rPr>
          <w:sz w:val="24"/>
          <w:szCs w:val="24"/>
          <w:lang w:eastAsia="en-US"/>
        </w:rPr>
        <w:t xml:space="preserve">– </w:t>
      </w:r>
      <w:hyperlink r:id="rId53" w:history="1">
        <w:r w:rsidRPr="000B6F9B">
          <w:rPr>
            <w:sz w:val="24"/>
            <w:szCs w:val="24"/>
            <w:lang w:eastAsia="en-US"/>
          </w:rPr>
          <w:t>ADI 7.947/DF</w:t>
        </w:r>
      </w:hyperlink>
      <w:r w:rsidRPr="000B6F9B">
        <w:rPr>
          <w:sz w:val="24"/>
          <w:szCs w:val="24"/>
        </w:rPr>
        <w:t xml:space="preserve"> </w:t>
      </w:r>
      <w:r w:rsidRPr="000B6F9B">
        <w:rPr>
          <w:noProof/>
          <w:sz w:val="24"/>
          <w:szCs w:val="24"/>
        </w:rPr>
        <w:drawing>
          <wp:inline distT="0" distB="0" distL="0" distR="0" wp14:anchorId="2F4C309F" wp14:editId="2BCED359">
            <wp:extent cx="1196340" cy="182880"/>
            <wp:effectExtent l="0" t="0" r="3810" b="7620"/>
            <wp:docPr id="1887222402" name="Imagem 1">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402" name="Imagem 1">
                      <a:hlinkClick r:id="rId5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730E7578" w14:textId="77777777" w:rsidR="000B6F9B" w:rsidRPr="000B6F9B" w:rsidRDefault="000B6F9B" w:rsidP="000B6F9B">
      <w:pPr>
        <w:autoSpaceDE w:val="0"/>
        <w:autoSpaceDN w:val="0"/>
        <w:adjustRightInd w:val="0"/>
        <w:rPr>
          <w:sz w:val="24"/>
          <w:szCs w:val="24"/>
        </w:rPr>
      </w:pPr>
    </w:p>
    <w:p w14:paraId="0CBD5EFA" w14:textId="77777777" w:rsidR="000B6F9B" w:rsidRPr="000B6F9B" w:rsidRDefault="000B6F9B" w:rsidP="000B6F9B">
      <w:pPr>
        <w:spacing w:line="360" w:lineRule="auto"/>
        <w:rPr>
          <w:sz w:val="24"/>
          <w:szCs w:val="24"/>
        </w:rPr>
      </w:pPr>
      <w:r w:rsidRPr="000B6F9B">
        <w:rPr>
          <w:b/>
          <w:bCs/>
          <w:sz w:val="24"/>
          <w:szCs w:val="24"/>
        </w:rPr>
        <w:t>ODS:</w:t>
      </w:r>
      <w:r w:rsidRPr="000B6F9B">
        <w:rPr>
          <w:sz w:val="24"/>
          <w:szCs w:val="24"/>
        </w:rPr>
        <w:t xml:space="preserve"> </w:t>
      </w:r>
      <w:hyperlink r:id="rId55" w:history="1">
        <w:r w:rsidRPr="000B6F9B">
          <w:rPr>
            <w:color w:val="0000FF"/>
            <w:sz w:val="24"/>
            <w:szCs w:val="24"/>
            <w:u w:val="single"/>
          </w:rPr>
          <w:t>16</w:t>
        </w:r>
      </w:hyperlink>
    </w:p>
    <w:p w14:paraId="57F16354" w14:textId="77777777" w:rsidR="000B6F9B" w:rsidRPr="000B6F9B" w:rsidRDefault="000B6F9B" w:rsidP="000B6F9B">
      <w:pPr>
        <w:autoSpaceDE w:val="0"/>
        <w:autoSpaceDN w:val="0"/>
        <w:adjustRightInd w:val="0"/>
        <w:spacing w:line="360" w:lineRule="auto"/>
        <w:rPr>
          <w:sz w:val="24"/>
          <w:szCs w:val="24"/>
          <w:lang w:eastAsia="en-US"/>
        </w:rPr>
      </w:pPr>
    </w:p>
    <w:p w14:paraId="627C646E" w14:textId="77777777" w:rsidR="000B6F9B" w:rsidRPr="000B6F9B" w:rsidRDefault="000B6F9B" w:rsidP="000B6F9B">
      <w:pPr>
        <w:autoSpaceDE w:val="0"/>
        <w:autoSpaceDN w:val="0"/>
        <w:adjustRightInd w:val="0"/>
        <w:spacing w:line="360" w:lineRule="auto"/>
        <w:rPr>
          <w:sz w:val="24"/>
          <w:szCs w:val="24"/>
          <w:lang w:eastAsia="en-US"/>
        </w:rPr>
      </w:pPr>
      <w:r w:rsidRPr="000B6F9B">
        <w:rPr>
          <w:sz w:val="24"/>
          <w:szCs w:val="24"/>
          <w:lang w:eastAsia="en-US"/>
        </w:rPr>
        <w:t>Tese fixada:</w:t>
      </w:r>
    </w:p>
    <w:p w14:paraId="5925C4C6" w14:textId="77777777" w:rsidR="000B6F9B" w:rsidRPr="000B6F9B" w:rsidRDefault="000B6F9B" w:rsidP="000B6F9B">
      <w:pPr>
        <w:autoSpaceDE w:val="0"/>
        <w:autoSpaceDN w:val="0"/>
        <w:adjustRightInd w:val="0"/>
        <w:spacing w:line="360" w:lineRule="auto"/>
        <w:ind w:firstLine="708"/>
        <w:rPr>
          <w:b/>
          <w:sz w:val="24"/>
          <w:szCs w:val="24"/>
          <w:lang w:eastAsia="en-US"/>
        </w:rPr>
      </w:pPr>
      <w:r w:rsidRPr="000B6F9B">
        <w:rPr>
          <w:b/>
          <w:sz w:val="24"/>
          <w:szCs w:val="24"/>
          <w:lang w:eastAsia="en-US"/>
        </w:rPr>
        <w:t>“</w:t>
      </w:r>
      <w:r w:rsidRPr="000B6F9B">
        <w:rPr>
          <w:b/>
          <w:bCs/>
          <w:sz w:val="24"/>
          <w:szCs w:val="24"/>
          <w:lang w:eastAsia="en-US"/>
        </w:rPr>
        <w:t xml:space="preserve">É constitucional a disciplina prevista nos </w:t>
      </w:r>
      <w:proofErr w:type="spellStart"/>
      <w:r w:rsidRPr="000B6F9B">
        <w:rPr>
          <w:b/>
          <w:bCs/>
          <w:sz w:val="24"/>
          <w:szCs w:val="24"/>
          <w:lang w:eastAsia="en-US"/>
        </w:rPr>
        <w:t>arts</w:t>
      </w:r>
      <w:proofErr w:type="spellEnd"/>
      <w:r w:rsidRPr="000B6F9B">
        <w:rPr>
          <w:b/>
          <w:bCs/>
          <w:sz w:val="24"/>
          <w:szCs w:val="24"/>
          <w:lang w:eastAsia="en-US"/>
        </w:rPr>
        <w:t>. 54-A, 54-B, 54-N, 54-O, 54-P, 54-Q, 54-R, 54-S e 54-T da Resolução TSE nº 23.571/18, com a redação conferida pela Resolução TSE nº 23.662/21, porquanto os dispositivos impugnados não instituem nova sanção, limitando-se a regulamentar o procedimento para a aplicação da suspensão de anotação de órgão partidário em conformidade com os parâmetros fixados pelo Supremo Tribunal Federal na ADI nº 6.032.”</w:t>
      </w:r>
    </w:p>
    <w:p w14:paraId="18FAC097" w14:textId="77777777" w:rsidR="000B6F9B" w:rsidRPr="000B6F9B" w:rsidRDefault="000B6F9B" w:rsidP="000B6F9B">
      <w:pPr>
        <w:autoSpaceDE w:val="0"/>
        <w:autoSpaceDN w:val="0"/>
        <w:adjustRightInd w:val="0"/>
        <w:spacing w:line="360" w:lineRule="auto"/>
        <w:ind w:firstLine="708"/>
        <w:rPr>
          <w:sz w:val="24"/>
          <w:szCs w:val="24"/>
          <w:lang w:eastAsia="en-US"/>
        </w:rPr>
      </w:pPr>
    </w:p>
    <w:p w14:paraId="66BB2078" w14:textId="77777777" w:rsidR="000B6F9B" w:rsidRPr="000B6F9B" w:rsidRDefault="000B6F9B" w:rsidP="000B6F9B">
      <w:pPr>
        <w:spacing w:line="360" w:lineRule="auto"/>
        <w:rPr>
          <w:sz w:val="24"/>
          <w:szCs w:val="24"/>
          <w:lang w:eastAsia="en-US"/>
        </w:rPr>
      </w:pPr>
      <w:r w:rsidRPr="000B6F9B">
        <w:rPr>
          <w:sz w:val="24"/>
          <w:szCs w:val="24"/>
          <w:lang w:eastAsia="en-US"/>
        </w:rPr>
        <w:t>Resumo:</w:t>
      </w:r>
    </w:p>
    <w:p w14:paraId="33D97D9A" w14:textId="77777777" w:rsidR="000B6F9B" w:rsidRPr="000B6F9B" w:rsidRDefault="000B6F9B" w:rsidP="000B6F9B">
      <w:pPr>
        <w:spacing w:line="360" w:lineRule="auto"/>
        <w:ind w:firstLine="709"/>
        <w:rPr>
          <w:b/>
          <w:bCs/>
          <w:sz w:val="24"/>
          <w:szCs w:val="24"/>
          <w:lang w:eastAsia="en-US"/>
        </w:rPr>
      </w:pPr>
      <w:bookmarkStart w:id="14" w:name="_Hlk120041969"/>
      <w:r w:rsidRPr="000B6F9B">
        <w:rPr>
          <w:b/>
          <w:bCs/>
          <w:sz w:val="24"/>
          <w:szCs w:val="24"/>
          <w:lang w:eastAsia="en-US"/>
        </w:rPr>
        <w:lastRenderedPageBreak/>
        <w:t>É constitucional a regulamentação editada pelo Tribunal Superior Eleitoral (TSE) que estabelece o procedimento específico para a aplicação da penalidade de suspensão da anotação de órgãos partidários regionais ou municipais inadimplentes com o dever de prestar contas, assegurados o contraditório, a ampla defesa e o devido processo legal.</w:t>
      </w:r>
    </w:p>
    <w:p w14:paraId="39B446E6" w14:textId="77777777" w:rsidR="000B6F9B" w:rsidRPr="000B6F9B" w:rsidRDefault="000B6F9B" w:rsidP="000B6F9B">
      <w:pPr>
        <w:spacing w:line="360" w:lineRule="auto"/>
        <w:ind w:firstLine="709"/>
        <w:rPr>
          <w:sz w:val="24"/>
          <w:szCs w:val="24"/>
          <w:lang w:eastAsia="en-US"/>
        </w:rPr>
      </w:pPr>
      <w:r w:rsidRPr="000B6F9B">
        <w:rPr>
          <w:sz w:val="24"/>
          <w:szCs w:val="24"/>
          <w:lang w:eastAsia="en-US"/>
        </w:rPr>
        <w:t>O dever de prestação de contas pelas agremiações políticas possui fundamento constitucional expresso no art. 17, III, da Constituição Federal (1), constituindo exigência indissociável da transparência, da higidez do financiamento político e do regime democrático. Por essa razão, a omissão absoluta na prestação de contas configura infração grave que inviabiliza o controle da movimentação financeira pela Justiça Eleitoral (2).</w:t>
      </w:r>
    </w:p>
    <w:p w14:paraId="5410CA1C" w14:textId="77777777" w:rsidR="000B6F9B" w:rsidRPr="000B6F9B" w:rsidRDefault="000B6F9B" w:rsidP="000B6F9B">
      <w:pPr>
        <w:spacing w:line="360" w:lineRule="auto"/>
        <w:ind w:firstLine="709"/>
        <w:rPr>
          <w:sz w:val="24"/>
          <w:szCs w:val="24"/>
          <w:lang w:eastAsia="en-US"/>
        </w:rPr>
      </w:pPr>
      <w:r w:rsidRPr="000B6F9B">
        <w:rPr>
          <w:sz w:val="24"/>
          <w:szCs w:val="24"/>
          <w:lang w:eastAsia="en-US"/>
        </w:rPr>
        <w:t>Ao julgar a ADI 6.032, o Supremo Tribunal Federal reconheceu a necessidade e a legitimidade da sanção de suspensão da anotação de órgão partidário omisso, afastando tão somente a sua incidência automática. Naquela ocasião, a Corte assentou que a aplicação da medida sancionatória deve ser precedida de procedimento específico no qual se assegurem o contraditório e a ampla defesa (3).</w:t>
      </w:r>
    </w:p>
    <w:p w14:paraId="232664DF" w14:textId="77777777" w:rsidR="000B6F9B" w:rsidRPr="000B6F9B" w:rsidRDefault="000B6F9B" w:rsidP="000B6F9B">
      <w:pPr>
        <w:spacing w:line="360" w:lineRule="auto"/>
        <w:ind w:firstLine="709"/>
        <w:rPr>
          <w:sz w:val="24"/>
          <w:szCs w:val="24"/>
          <w:lang w:eastAsia="en-US"/>
        </w:rPr>
      </w:pPr>
      <w:r w:rsidRPr="000B6F9B">
        <w:rPr>
          <w:sz w:val="24"/>
          <w:szCs w:val="24"/>
          <w:lang w:eastAsia="en-US"/>
        </w:rPr>
        <w:t>Nesse contexto, os dispositivos inseridos na Resolução TSE nº 23.571/2018 pela Resolução TSE nº 23.662/2021 não instituíram nova sanção, mas concretizaram a orientação decisória fixada pelo próprio STF. A edição dessas regras procedimentais decorre do exercício legítimo da competência normativa e regulamentar conferida ao TSE pela legislação eleitoral e partidária.</w:t>
      </w:r>
    </w:p>
    <w:p w14:paraId="12F88A8B" w14:textId="77777777" w:rsidR="000B6F9B" w:rsidRPr="000B6F9B" w:rsidRDefault="000B6F9B" w:rsidP="000B6F9B">
      <w:pPr>
        <w:spacing w:line="360" w:lineRule="auto"/>
        <w:ind w:firstLine="709"/>
        <w:rPr>
          <w:sz w:val="24"/>
          <w:szCs w:val="24"/>
          <w:lang w:eastAsia="en-US"/>
        </w:rPr>
      </w:pPr>
      <w:r w:rsidRPr="000B6F9B">
        <w:rPr>
          <w:sz w:val="24"/>
          <w:szCs w:val="24"/>
          <w:lang w:eastAsia="en-US"/>
        </w:rPr>
        <w:t>Além disso, a disciplina impugnada atende ao devido processo legal substantivo e à proporcionalidade, visto que a sanção recai apenas sobre situações de total omissão e exige decisão transitada em julgado, preservando a existência do partido e prevendo mecanismos reversíveis e de regularização posterior. Tampouco se verifica afronta à autonomia partidária (CF/1988, art. 17, § 1º), uma vez que essa garantia não possui caráter absoluto e não imuniza os partidos do cumprimento das obrigações constitucionais de transparência.</w:t>
      </w:r>
    </w:p>
    <w:p w14:paraId="63E7AD91" w14:textId="77777777" w:rsidR="000B6F9B" w:rsidRPr="000B6F9B" w:rsidRDefault="000B6F9B" w:rsidP="000B6F9B">
      <w:pPr>
        <w:spacing w:line="360" w:lineRule="auto"/>
        <w:ind w:firstLine="709"/>
        <w:rPr>
          <w:sz w:val="24"/>
          <w:szCs w:val="24"/>
          <w:lang w:eastAsia="en-US"/>
        </w:rPr>
      </w:pPr>
      <w:r w:rsidRPr="000B6F9B">
        <w:rPr>
          <w:sz w:val="24"/>
          <w:szCs w:val="24"/>
          <w:lang w:eastAsia="en-US"/>
        </w:rPr>
        <w:t xml:space="preserve">Com base nesses e em outros entendimentos, o Plenário, por unanimidade, julgou </w:t>
      </w:r>
      <w:r w:rsidRPr="000B6F9B">
        <w:rPr>
          <w:bCs/>
          <w:sz w:val="24"/>
          <w:szCs w:val="24"/>
          <w:lang w:eastAsia="en-US"/>
        </w:rPr>
        <w:t xml:space="preserve">improcedente o pedido de declaração de inconstitucionalidade dos artigos 54-A, 54-B, 54-N, 54-O, 54-P, 54-Q, 54-R, 54-S e 54-T da </w:t>
      </w:r>
      <w:hyperlink r:id="rId56" w:anchor=":~:text=DO%20CANCELAMENTO%20DO,n%C2%BA%2023662/2021." w:history="1">
        <w:r w:rsidRPr="000B6F9B">
          <w:rPr>
            <w:bCs/>
            <w:color w:val="0000FF"/>
            <w:sz w:val="24"/>
            <w:szCs w:val="24"/>
            <w:u w:val="single"/>
            <w:lang w:eastAsia="en-US"/>
          </w:rPr>
          <w:t>Resolução TSE nº 23.571/2018</w:t>
        </w:r>
      </w:hyperlink>
      <w:r w:rsidRPr="000B6F9B">
        <w:rPr>
          <w:bCs/>
          <w:sz w:val="24"/>
          <w:szCs w:val="24"/>
          <w:lang w:eastAsia="en-US"/>
        </w:rPr>
        <w:t xml:space="preserve">, com a redação conferida pela </w:t>
      </w:r>
      <w:hyperlink r:id="rId57" w:anchor=":~:text=Art.%203%C2%BA%20Fica,MUNICIPAL%20OU%20ZONAL" w:history="1">
        <w:r w:rsidRPr="000B6F9B">
          <w:rPr>
            <w:bCs/>
            <w:color w:val="0000FF"/>
            <w:sz w:val="24"/>
            <w:szCs w:val="24"/>
            <w:u w:val="single"/>
            <w:lang w:eastAsia="en-US"/>
          </w:rPr>
          <w:t>Resolução TSE nº 23.662/2021</w:t>
        </w:r>
      </w:hyperlink>
      <w:r w:rsidRPr="000B6F9B">
        <w:rPr>
          <w:bCs/>
          <w:sz w:val="24"/>
          <w:szCs w:val="24"/>
          <w:lang w:eastAsia="en-US"/>
        </w:rPr>
        <w:t>. Ademais, julgou improcedente o pedido de interpretação conforme à Constituição ao art. 54-R, § 4º, a fim de reconhecer que o órgão nacional do partido pode exercer plena e irrestritamente todas as competências estatutárias e eleitorais do órgão regional suspenso. Por fim,</w:t>
      </w:r>
      <w:r w:rsidRPr="000B6F9B">
        <w:rPr>
          <w:sz w:val="24"/>
          <w:szCs w:val="24"/>
          <w:lang w:eastAsia="en-US"/>
        </w:rPr>
        <w:t xml:space="preserve"> fixou a tese anteriormente citada. </w:t>
      </w:r>
    </w:p>
    <w:p w14:paraId="49FA80EC" w14:textId="77777777" w:rsidR="000B6F9B" w:rsidRPr="000B6F9B" w:rsidRDefault="000B6F9B" w:rsidP="000B6F9B">
      <w:pPr>
        <w:spacing w:line="360" w:lineRule="auto"/>
        <w:ind w:firstLine="708"/>
        <w:rPr>
          <w:sz w:val="24"/>
          <w:szCs w:val="24"/>
          <w:lang w:eastAsia="en-US"/>
        </w:rPr>
      </w:pPr>
    </w:p>
    <w:p w14:paraId="2A30B122" w14:textId="77777777" w:rsidR="000B6F9B" w:rsidRPr="000E3BA5" w:rsidRDefault="000B6F9B" w:rsidP="000E3BA5">
      <w:pPr>
        <w:spacing w:after="120"/>
        <w:ind w:firstLine="709"/>
        <w:rPr>
          <w:rFonts w:ascii="Arial" w:hAnsi="Arial" w:cs="Arial"/>
          <w:sz w:val="20"/>
          <w:szCs w:val="20"/>
          <w:lang w:eastAsia="en-US"/>
        </w:rPr>
      </w:pPr>
      <w:r w:rsidRPr="000E3BA5">
        <w:rPr>
          <w:rFonts w:ascii="Arial" w:hAnsi="Arial" w:cs="Arial"/>
          <w:sz w:val="20"/>
          <w:szCs w:val="20"/>
        </w:rPr>
        <w:lastRenderedPageBreak/>
        <w:t xml:space="preserve">(1) </w:t>
      </w:r>
      <w:hyperlink r:id="rId58" w:anchor=":~:text=%C2%A0Art.%2017.%20%C3%89%20livre%20a%20cria%C3%A7%C3%A3o%2C%20fus%C3%A3o%2C%20incorpora%C3%A7%C3%A3o%20e%20extin%C3%A7%C3%A3o%20de%20partidos%20pol%C3%ADticos%2C%20resguardados%20a%20soberania%20nacional%2C%20o%20regime%20democr%C3%A1tico%2C%20o%20pluripartidarismo%2C%20os%20direitos%20fundamentais%20da%20pessoa%20humana%20e%20observados%20os%20seguintes%20preceitos%3A%C2%A0%C2%A0" w:history="1">
        <w:r w:rsidRPr="000E3BA5">
          <w:rPr>
            <w:rFonts w:ascii="Arial" w:hAnsi="Arial" w:cs="Arial"/>
            <w:color w:val="0000FF"/>
            <w:sz w:val="20"/>
            <w:szCs w:val="20"/>
            <w:u w:val="single"/>
          </w:rPr>
          <w:t>CF/1988</w:t>
        </w:r>
      </w:hyperlink>
      <w:r w:rsidRPr="000E3BA5">
        <w:rPr>
          <w:rFonts w:ascii="Arial" w:hAnsi="Arial" w:cs="Arial"/>
          <w:sz w:val="20"/>
          <w:szCs w:val="20"/>
        </w:rPr>
        <w:t>: “Art. 17. É livre a criação, fusão, incorporação e extinção de partidos políticos, resguardados a soberania nacional, o regime democrático, o pluripartidarismo, os direitos fundamentais da pessoa humana e observados os seguintes preceitos: (...) III - prestação de contas à Justiça Eleitoral;”</w:t>
      </w:r>
    </w:p>
    <w:p w14:paraId="29081F33" w14:textId="77777777" w:rsidR="000B6F9B" w:rsidRPr="000E3BA5" w:rsidRDefault="000B6F9B" w:rsidP="000E3BA5">
      <w:pPr>
        <w:spacing w:after="120"/>
        <w:ind w:firstLine="709"/>
        <w:rPr>
          <w:rFonts w:ascii="Arial" w:hAnsi="Arial" w:cs="Arial"/>
          <w:sz w:val="20"/>
          <w:szCs w:val="20"/>
          <w:lang w:eastAsia="en-US"/>
        </w:rPr>
      </w:pPr>
      <w:r w:rsidRPr="000E3BA5">
        <w:rPr>
          <w:rFonts w:ascii="Arial" w:hAnsi="Arial" w:cs="Arial"/>
          <w:sz w:val="20"/>
          <w:szCs w:val="20"/>
          <w:lang w:eastAsia="en-US"/>
        </w:rPr>
        <w:t xml:space="preserve">(2) Precedente citado: </w:t>
      </w:r>
      <w:hyperlink r:id="rId59" w:history="1">
        <w:r w:rsidRPr="000E3BA5">
          <w:rPr>
            <w:rFonts w:ascii="Arial" w:hAnsi="Arial" w:cs="Arial"/>
            <w:color w:val="0000FF"/>
            <w:sz w:val="20"/>
            <w:szCs w:val="20"/>
            <w:u w:val="single"/>
            <w:lang w:eastAsia="en-US"/>
          </w:rPr>
          <w:t>ADI 5.394</w:t>
        </w:r>
      </w:hyperlink>
      <w:r w:rsidRPr="000E3BA5">
        <w:rPr>
          <w:rFonts w:ascii="Arial" w:hAnsi="Arial" w:cs="Arial"/>
          <w:sz w:val="20"/>
          <w:szCs w:val="20"/>
          <w:lang w:eastAsia="en-US"/>
        </w:rPr>
        <w:t>.</w:t>
      </w:r>
    </w:p>
    <w:p w14:paraId="37A1A3B2" w14:textId="77777777" w:rsidR="000B6F9B" w:rsidRPr="000E3BA5" w:rsidRDefault="000B6F9B" w:rsidP="000E3BA5">
      <w:pPr>
        <w:spacing w:after="120"/>
        <w:ind w:firstLine="709"/>
        <w:rPr>
          <w:rFonts w:ascii="Arial" w:hAnsi="Arial" w:cs="Arial"/>
          <w:sz w:val="20"/>
          <w:szCs w:val="20"/>
          <w:lang w:eastAsia="en-US"/>
        </w:rPr>
      </w:pPr>
      <w:r w:rsidRPr="000E3BA5">
        <w:rPr>
          <w:rFonts w:ascii="Arial" w:hAnsi="Arial" w:cs="Arial"/>
          <w:sz w:val="20"/>
          <w:szCs w:val="20"/>
          <w:lang w:eastAsia="en-US"/>
        </w:rPr>
        <w:t xml:space="preserve">(3) Precedente citado: </w:t>
      </w:r>
      <w:hyperlink r:id="rId60" w:history="1">
        <w:r w:rsidRPr="000E3BA5">
          <w:rPr>
            <w:rFonts w:ascii="Arial" w:hAnsi="Arial" w:cs="Arial"/>
            <w:color w:val="0000FF"/>
            <w:sz w:val="20"/>
            <w:szCs w:val="20"/>
            <w:u w:val="single"/>
            <w:lang w:eastAsia="en-US"/>
          </w:rPr>
          <w:t>ADI 6.032</w:t>
        </w:r>
      </w:hyperlink>
      <w:r w:rsidRPr="000E3BA5">
        <w:rPr>
          <w:rFonts w:ascii="Arial" w:hAnsi="Arial" w:cs="Arial"/>
          <w:sz w:val="20"/>
          <w:szCs w:val="20"/>
          <w:lang w:eastAsia="en-US"/>
        </w:rPr>
        <w:t>.</w:t>
      </w:r>
    </w:p>
    <w:p w14:paraId="4F11B808" w14:textId="77777777" w:rsidR="000B6F9B" w:rsidRPr="000B6F9B" w:rsidRDefault="000B6F9B" w:rsidP="000B6F9B">
      <w:pPr>
        <w:spacing w:after="120"/>
        <w:ind w:firstLine="708"/>
        <w:rPr>
          <w:rFonts w:ascii="Arial" w:hAnsi="Arial" w:cs="Arial"/>
          <w:sz w:val="20"/>
          <w:szCs w:val="20"/>
          <w:lang w:eastAsia="en-US"/>
        </w:rPr>
      </w:pPr>
    </w:p>
    <w:bookmarkEnd w:id="14"/>
    <w:p w14:paraId="75CDF8F9" w14:textId="77777777" w:rsidR="000B6F9B" w:rsidRPr="000B6F9B" w:rsidRDefault="000B6F9B" w:rsidP="000B6F9B">
      <w:pPr>
        <w:spacing w:line="360" w:lineRule="auto"/>
        <w:rPr>
          <w:sz w:val="24"/>
          <w:szCs w:val="24"/>
          <w:lang w:eastAsia="en-US"/>
        </w:rPr>
      </w:pPr>
      <w:r w:rsidRPr="000B6F9B">
        <w:rPr>
          <w:sz w:val="24"/>
          <w:szCs w:val="24"/>
          <w:lang w:eastAsia="en-US"/>
        </w:rPr>
        <w:fldChar w:fldCharType="begin"/>
      </w:r>
      <w:r w:rsidRPr="000B6F9B">
        <w:rPr>
          <w:sz w:val="24"/>
          <w:szCs w:val="24"/>
          <w:lang w:eastAsia="en-US"/>
        </w:rPr>
        <w:instrText>HYPERLINK "https://portal.stf.jus.br/processos/detalhe.asp?incidente=7544463"</w:instrText>
      </w:r>
      <w:r w:rsidRPr="000B6F9B">
        <w:rPr>
          <w:sz w:val="24"/>
          <w:szCs w:val="24"/>
          <w:lang w:eastAsia="en-US"/>
        </w:rPr>
      </w:r>
      <w:r w:rsidRPr="000B6F9B">
        <w:rPr>
          <w:sz w:val="24"/>
          <w:szCs w:val="24"/>
          <w:lang w:eastAsia="en-US"/>
        </w:rPr>
        <w:fldChar w:fldCharType="separate"/>
      </w:r>
      <w:r w:rsidRPr="000B6F9B">
        <w:rPr>
          <w:color w:val="0000FF"/>
          <w:sz w:val="24"/>
          <w:szCs w:val="24"/>
          <w:u w:val="single"/>
          <w:lang w:eastAsia="en-US"/>
        </w:rPr>
        <w:t>ADI 7.947/DF, relator Ministro Dias Toffoli, julgamento virtual finalizado em 04.09.2026 (sexta-feira), às 23:59</w:t>
      </w:r>
      <w:r w:rsidRPr="000B6F9B">
        <w:rPr>
          <w:sz w:val="24"/>
          <w:szCs w:val="24"/>
          <w:lang w:eastAsia="en-US"/>
        </w:rPr>
        <w:fldChar w:fldCharType="end"/>
      </w:r>
    </w:p>
    <w:p w14:paraId="36C8EF40" w14:textId="77777777" w:rsidR="00046C7B" w:rsidRPr="000B6F9B" w:rsidRDefault="00046C7B" w:rsidP="000B6F9B">
      <w:pPr>
        <w:pStyle w:val="PargrafodaLista"/>
        <w:autoSpaceDE w:val="0"/>
        <w:autoSpaceDN w:val="0"/>
        <w:adjustRightInd w:val="0"/>
        <w:spacing w:line="360" w:lineRule="auto"/>
        <w:ind w:left="357"/>
        <w:rPr>
          <w:sz w:val="24"/>
          <w:szCs w:val="24"/>
        </w:rPr>
      </w:pPr>
    </w:p>
    <w:p w14:paraId="486DD09F" w14:textId="77777777" w:rsidR="000B6F9B" w:rsidRDefault="000B6F9B" w:rsidP="000B6F9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00AA361" w14:textId="77777777" w:rsidR="000B6F9B" w:rsidRDefault="000B6F9B" w:rsidP="000B6F9B">
      <w:pPr>
        <w:pStyle w:val="PargrafodaLista"/>
        <w:autoSpaceDE w:val="0"/>
        <w:autoSpaceDN w:val="0"/>
        <w:adjustRightInd w:val="0"/>
        <w:spacing w:line="360" w:lineRule="auto"/>
        <w:ind w:left="357"/>
        <w:rPr>
          <w:sz w:val="24"/>
          <w:szCs w:val="24"/>
        </w:rPr>
      </w:pPr>
    </w:p>
    <w:p w14:paraId="138B65CB" w14:textId="77777777" w:rsidR="00DB4047" w:rsidRPr="00DB4047" w:rsidRDefault="00DB4047" w:rsidP="00DB4047">
      <w:pPr>
        <w:rPr>
          <w:sz w:val="24"/>
          <w:szCs w:val="24"/>
          <w:lang w:eastAsia="en-US"/>
        </w:rPr>
      </w:pPr>
      <w:r w:rsidRPr="00DB4047">
        <w:rPr>
          <w:sz w:val="24"/>
          <w:szCs w:val="24"/>
          <w:lang w:eastAsia="en-US"/>
        </w:rPr>
        <w:t>DIREITO TRIBUTÁRIO – CRÉDITO TRIBUTÁRIO; LIMITE MENSAL PARA COMPENSAÇÃO DE CRÉDITOS JUDICIAIS</w:t>
      </w:r>
    </w:p>
    <w:p w14:paraId="65CCD2D8" w14:textId="77777777" w:rsidR="00DB4047" w:rsidRPr="00DB4047" w:rsidRDefault="00DB4047" w:rsidP="00DB4047">
      <w:pPr>
        <w:rPr>
          <w:b/>
          <w:bCs/>
          <w:sz w:val="24"/>
          <w:szCs w:val="24"/>
          <w:highlight w:val="yellow"/>
          <w:lang w:eastAsia="en-US"/>
        </w:rPr>
      </w:pPr>
    </w:p>
    <w:p w14:paraId="7DC187D9" w14:textId="77777777" w:rsidR="00DB4047" w:rsidRPr="00DB4047" w:rsidRDefault="00DB4047" w:rsidP="00DB4047">
      <w:pPr>
        <w:autoSpaceDE w:val="0"/>
        <w:autoSpaceDN w:val="0"/>
        <w:adjustRightInd w:val="0"/>
        <w:rPr>
          <w:sz w:val="24"/>
          <w:szCs w:val="24"/>
          <w:lang w:eastAsia="en-US"/>
        </w:rPr>
      </w:pPr>
      <w:bookmarkStart w:id="15" w:name="compensação"/>
      <w:bookmarkStart w:id="16" w:name="_Hlk240653490"/>
      <w:bookmarkEnd w:id="15"/>
      <w:r w:rsidRPr="00DB4047">
        <w:rPr>
          <w:b/>
          <w:bCs/>
          <w:i/>
          <w:iCs/>
          <w:sz w:val="24"/>
          <w:szCs w:val="24"/>
          <w:lang w:eastAsia="en-US"/>
        </w:rPr>
        <w:t xml:space="preserve">Limitação à compensação de créditos tributários decorrentes de decisões judiciais transitadas em julgado </w:t>
      </w:r>
      <w:r w:rsidRPr="00A9036F">
        <w:rPr>
          <w:sz w:val="24"/>
          <w:szCs w:val="24"/>
          <w:lang w:eastAsia="en-US"/>
        </w:rPr>
        <w:t>–</w:t>
      </w:r>
      <w:r w:rsidRPr="00DB4047">
        <w:rPr>
          <w:sz w:val="24"/>
          <w:szCs w:val="24"/>
          <w:lang w:eastAsia="en-US"/>
        </w:rPr>
        <w:t xml:space="preserve"> </w:t>
      </w:r>
      <w:hyperlink r:id="rId61" w:history="1">
        <w:r w:rsidRPr="00DB4047">
          <w:rPr>
            <w:color w:val="0000FF"/>
            <w:sz w:val="24"/>
            <w:szCs w:val="24"/>
            <w:u w:val="single"/>
            <w:lang w:eastAsia="en-US"/>
          </w:rPr>
          <w:t>ADI 7.587/DF</w:t>
        </w:r>
      </w:hyperlink>
      <w:r w:rsidRPr="00DB4047">
        <w:rPr>
          <w:sz w:val="24"/>
          <w:szCs w:val="24"/>
          <w:lang w:eastAsia="en-US"/>
        </w:rPr>
        <w:t xml:space="preserve"> e </w:t>
      </w:r>
      <w:hyperlink r:id="rId62" w:history="1">
        <w:r w:rsidRPr="00DB4047">
          <w:rPr>
            <w:color w:val="0000FF"/>
            <w:sz w:val="24"/>
            <w:szCs w:val="24"/>
            <w:u w:val="single"/>
            <w:lang w:eastAsia="en-US"/>
          </w:rPr>
          <w:t>ADI 7.609/DF</w:t>
        </w:r>
      </w:hyperlink>
      <w:bookmarkEnd w:id="16"/>
      <w:r w:rsidRPr="00DB4047">
        <w:rPr>
          <w:b/>
          <w:bCs/>
          <w:i/>
          <w:iCs/>
          <w:sz w:val="24"/>
          <w:szCs w:val="24"/>
          <w:lang w:eastAsia="en-US"/>
        </w:rPr>
        <w:t xml:space="preserve"> </w:t>
      </w:r>
      <w:r w:rsidRPr="00DB4047">
        <w:rPr>
          <w:noProof/>
          <w:sz w:val="24"/>
          <w:szCs w:val="24"/>
        </w:rPr>
        <w:drawing>
          <wp:inline distT="0" distB="0" distL="0" distR="0" wp14:anchorId="048598CE" wp14:editId="1443CBD0">
            <wp:extent cx="1195705" cy="180975"/>
            <wp:effectExtent l="0" t="0" r="4445" b="9525"/>
            <wp:docPr id="1638690955" name="Imagem 4">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CA6B6B8" w14:textId="77777777" w:rsidR="00DB4047" w:rsidRPr="004A2423" w:rsidRDefault="00DB4047" w:rsidP="00DB4047">
      <w:pPr>
        <w:autoSpaceDE w:val="0"/>
        <w:autoSpaceDN w:val="0"/>
        <w:adjustRightInd w:val="0"/>
        <w:rPr>
          <w:sz w:val="24"/>
          <w:szCs w:val="24"/>
        </w:rPr>
      </w:pPr>
    </w:p>
    <w:p w14:paraId="62BC8805" w14:textId="77777777" w:rsidR="00DB4047" w:rsidRPr="004A2423" w:rsidRDefault="00DB4047" w:rsidP="00DB4047">
      <w:pPr>
        <w:rPr>
          <w:sz w:val="24"/>
          <w:szCs w:val="24"/>
        </w:rPr>
      </w:pPr>
      <w:r w:rsidRPr="004A2423">
        <w:rPr>
          <w:b/>
          <w:bCs/>
          <w:sz w:val="24"/>
          <w:szCs w:val="24"/>
        </w:rPr>
        <w:t>ODS:</w:t>
      </w:r>
      <w:r w:rsidRPr="004A2423">
        <w:rPr>
          <w:sz w:val="24"/>
          <w:szCs w:val="24"/>
        </w:rPr>
        <w:t xml:space="preserve"> </w:t>
      </w:r>
      <w:hyperlink r:id="rId64" w:history="1">
        <w:r w:rsidRPr="004A2423">
          <w:rPr>
            <w:color w:val="0000FF"/>
            <w:sz w:val="24"/>
            <w:szCs w:val="24"/>
            <w:u w:val="single"/>
          </w:rPr>
          <w:t>16</w:t>
        </w:r>
      </w:hyperlink>
    </w:p>
    <w:p w14:paraId="75BB21CC" w14:textId="77777777" w:rsidR="00DB4047" w:rsidRPr="004A2423" w:rsidRDefault="00DB4047" w:rsidP="00DB4047">
      <w:pPr>
        <w:autoSpaceDE w:val="0"/>
        <w:autoSpaceDN w:val="0"/>
        <w:adjustRightInd w:val="0"/>
        <w:spacing w:line="360" w:lineRule="auto"/>
        <w:rPr>
          <w:sz w:val="24"/>
          <w:szCs w:val="24"/>
          <w:lang w:eastAsia="en-US"/>
        </w:rPr>
      </w:pPr>
    </w:p>
    <w:p w14:paraId="270C8439" w14:textId="77777777" w:rsidR="00DB4047" w:rsidRPr="004A2423" w:rsidRDefault="00DB4047" w:rsidP="00DB4047">
      <w:pPr>
        <w:spacing w:line="360" w:lineRule="auto"/>
        <w:rPr>
          <w:sz w:val="24"/>
          <w:szCs w:val="24"/>
          <w:lang w:eastAsia="en-US"/>
        </w:rPr>
      </w:pPr>
      <w:r w:rsidRPr="004A2423">
        <w:rPr>
          <w:sz w:val="24"/>
          <w:szCs w:val="24"/>
          <w:lang w:eastAsia="en-US"/>
        </w:rPr>
        <w:t>Resumo:</w:t>
      </w:r>
    </w:p>
    <w:p w14:paraId="263954F4" w14:textId="77777777" w:rsidR="00DB4047" w:rsidRPr="004A2423" w:rsidRDefault="00DB4047" w:rsidP="00DB4047">
      <w:pPr>
        <w:spacing w:line="360" w:lineRule="auto"/>
        <w:ind w:firstLine="708"/>
        <w:rPr>
          <w:b/>
          <w:bCs/>
          <w:sz w:val="24"/>
          <w:szCs w:val="24"/>
          <w:lang w:eastAsia="en-US"/>
        </w:rPr>
      </w:pPr>
      <w:r w:rsidRPr="004A2423">
        <w:rPr>
          <w:b/>
          <w:bCs/>
          <w:sz w:val="24"/>
          <w:szCs w:val="24"/>
          <w:lang w:eastAsia="en-US"/>
        </w:rPr>
        <w:t>É constitucional – por estar sujeita à conformação do legislador ordinário e não violar o direito de propriedade, a coisa julgada ou a legalidade tributária – a imposição de limites mensais à compensação de créditos tributários decorrentes de decisões judiciais transitadas em julgado em montante superior a R$ 10.000.000,00, observados os parâmetros fixados em lei.</w:t>
      </w:r>
    </w:p>
    <w:p w14:paraId="007CCABE" w14:textId="77777777" w:rsidR="00DB4047" w:rsidRPr="004A2423" w:rsidRDefault="00DB4047" w:rsidP="00DB4047">
      <w:pPr>
        <w:spacing w:line="360" w:lineRule="auto"/>
        <w:ind w:firstLine="708"/>
        <w:rPr>
          <w:sz w:val="24"/>
          <w:szCs w:val="24"/>
          <w:lang w:eastAsia="en-US"/>
        </w:rPr>
      </w:pPr>
      <w:r w:rsidRPr="004A2423">
        <w:rPr>
          <w:sz w:val="24"/>
          <w:szCs w:val="24"/>
          <w:lang w:eastAsia="en-US"/>
        </w:rPr>
        <w:t>A compensação constitui modalidade de extinção do crédito tributário (1), cabendo à lei autorizá-la e fixar as condições e garantias para o seu exercício, bem como atribuir à autoridade administrativa a sua estipulação (2). A mera titularidade de crédito contra a Fazenda Pública decorrente de decisão judicial transitada em julgado não confere ao contribuinte o direito irrestrito de utilizá-lo para compensação na quantidade e no momento por ele unilateralmente escolhidos, porquanto o rito constitucional próprio e regular para a satisfação de débitos judiciais fazendários é o regime de precatórios (3).</w:t>
      </w:r>
    </w:p>
    <w:p w14:paraId="4E7A940B" w14:textId="77777777" w:rsidR="00DB4047" w:rsidRPr="004A2423" w:rsidRDefault="00DB4047" w:rsidP="00DB4047">
      <w:pPr>
        <w:spacing w:line="360" w:lineRule="auto"/>
        <w:ind w:firstLine="708"/>
        <w:rPr>
          <w:sz w:val="24"/>
          <w:szCs w:val="24"/>
          <w:lang w:eastAsia="en-US"/>
        </w:rPr>
      </w:pPr>
      <w:r w:rsidRPr="004A2423">
        <w:rPr>
          <w:sz w:val="24"/>
          <w:szCs w:val="24"/>
          <w:lang w:eastAsia="en-US"/>
        </w:rPr>
        <w:t xml:space="preserve">A jurisprudência do Supremo Tribunal Federal é firme no sentido de que a previsão do diploma complementar tributário não gera direito subjetivo irrestrito à compensação, cabendo à legislação ordinária dispor sobre condições, garantias e limites temporais e quantitativos para o seu exercício (4). Em situações análogas, esta Corte já chancelou a validade de restrições percentuais periódicas à compensação de tributos (5), bem como reconheceu a legitimidade da </w:t>
      </w:r>
      <w:r w:rsidRPr="004A2423">
        <w:rPr>
          <w:sz w:val="24"/>
          <w:szCs w:val="24"/>
          <w:lang w:eastAsia="en-US"/>
        </w:rPr>
        <w:lastRenderedPageBreak/>
        <w:t>atuação legislativa na definição do momento e modo de aproveitamento de créditos fiscais (6). Ademais, a exigência de submissão do parcelamento compensatório a atos infralegais regulamentares não ofende o princípio da legalidade tributária, desde que o Poder Legislativo estabeleça critérios inteligíveis e balizas normativas objetivas para nortear a atuação discricionária da Administração Pública (7).</w:t>
      </w:r>
    </w:p>
    <w:p w14:paraId="4F8E4C9A" w14:textId="77777777" w:rsidR="00DB4047" w:rsidRPr="004A2423" w:rsidRDefault="00DB4047" w:rsidP="00DB4047">
      <w:pPr>
        <w:spacing w:line="360" w:lineRule="auto"/>
        <w:ind w:firstLine="708"/>
        <w:rPr>
          <w:sz w:val="24"/>
          <w:szCs w:val="24"/>
          <w:lang w:eastAsia="en-US"/>
        </w:rPr>
      </w:pPr>
      <w:r w:rsidRPr="004A2423">
        <w:rPr>
          <w:sz w:val="24"/>
          <w:szCs w:val="24"/>
          <w:lang w:eastAsia="en-US"/>
        </w:rPr>
        <w:t>Na espécie, o legislador fixou os parâmetros objetivos determinantes da limitação. A restrição recai exclusivamente sobre valores superiores a R$ 10.000.000,00 (dez milhões de reais), sendo o limite mensal graduado conforme o montante total do crédito decorrente de decisão judicial transitada em julgado, não podendo ser inferior a 1/60 (um sessenta avos).</w:t>
      </w:r>
    </w:p>
    <w:p w14:paraId="211D96C0" w14:textId="4F17060F" w:rsidR="00DB4047" w:rsidRPr="004A2423" w:rsidRDefault="00DB4047" w:rsidP="00DB4047">
      <w:pPr>
        <w:spacing w:line="360" w:lineRule="auto"/>
        <w:ind w:firstLine="708"/>
        <w:rPr>
          <w:sz w:val="24"/>
          <w:szCs w:val="24"/>
          <w:lang w:eastAsia="en-US"/>
        </w:rPr>
      </w:pPr>
      <w:r w:rsidRPr="004A2423">
        <w:rPr>
          <w:sz w:val="24"/>
          <w:szCs w:val="24"/>
          <w:lang w:eastAsia="en-US"/>
        </w:rPr>
        <w:t>Com base nesses e em outros entendimentos, o Plenário, por unanimidade, conheceu em parte das ações diretas de inconstitucionalidade e, na parte conhecida, julgou-as improcedentes para declarar constitucionais os artigos 74, § 3º, X, e 74-A da Lei nº 9.430/1996, na redação conferida pela Lei nº 14.873/2024 (8).</w:t>
      </w:r>
    </w:p>
    <w:p w14:paraId="072CFF52" w14:textId="77777777" w:rsidR="00DB4047" w:rsidRPr="000E3BA5" w:rsidRDefault="00DB4047" w:rsidP="000E3BA5">
      <w:pPr>
        <w:spacing w:after="120"/>
        <w:ind w:firstLine="709"/>
        <w:rPr>
          <w:rFonts w:ascii="Arial" w:hAnsi="Arial" w:cs="Arial"/>
          <w:sz w:val="20"/>
          <w:szCs w:val="20"/>
        </w:rPr>
      </w:pPr>
    </w:p>
    <w:p w14:paraId="644BAFC6" w14:textId="55F7F86B"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(1) </w:t>
      </w:r>
      <w:hyperlink r:id="rId65" w:anchor=":~:text=Modalidades%20de%20Extin%C3%A7%C3%A3o-,Art,-.%20156.%20Extinguem%20o" w:history="1">
        <w:r w:rsidRPr="000E3BA5">
          <w:rPr>
            <w:rFonts w:ascii="Arial" w:hAnsi="Arial" w:cs="Arial"/>
            <w:color w:val="0000FF"/>
            <w:sz w:val="20"/>
            <w:szCs w:val="20"/>
            <w:u w:val="single"/>
          </w:rPr>
          <w:t>CTN</w:t>
        </w:r>
      </w:hyperlink>
      <w:r w:rsidRPr="000E3BA5">
        <w:rPr>
          <w:rFonts w:ascii="Arial" w:hAnsi="Arial" w:cs="Arial"/>
          <w:sz w:val="20"/>
          <w:szCs w:val="20"/>
        </w:rPr>
        <w:t xml:space="preserve">: “Art. 156. Extinguem o crédito tributário: </w:t>
      </w:r>
      <w:r w:rsidR="00C82009">
        <w:rPr>
          <w:rFonts w:ascii="Arial" w:hAnsi="Arial" w:cs="Arial"/>
          <w:sz w:val="20"/>
          <w:szCs w:val="20"/>
        </w:rPr>
        <w:t>(</w:t>
      </w:r>
      <w:r w:rsidRPr="000E3BA5">
        <w:rPr>
          <w:rFonts w:ascii="Arial" w:hAnsi="Arial" w:cs="Arial"/>
          <w:sz w:val="20"/>
          <w:szCs w:val="20"/>
        </w:rPr>
        <w:t>...</w:t>
      </w:r>
      <w:r w:rsidR="00C82009">
        <w:rPr>
          <w:rFonts w:ascii="Arial" w:hAnsi="Arial" w:cs="Arial"/>
          <w:sz w:val="20"/>
          <w:szCs w:val="20"/>
        </w:rPr>
        <w:t>)</w:t>
      </w:r>
      <w:r w:rsidRPr="000E3BA5">
        <w:rPr>
          <w:rFonts w:ascii="Arial" w:hAnsi="Arial" w:cs="Arial"/>
          <w:sz w:val="20"/>
          <w:szCs w:val="20"/>
        </w:rPr>
        <w:t xml:space="preserve"> II - a compensação;” </w:t>
      </w:r>
    </w:p>
    <w:p w14:paraId="46A3279B" w14:textId="7777777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(2) </w:t>
      </w:r>
      <w:hyperlink r:id="rId66" w:anchor=":~:text=Modalidades%20de%20Extin%C3%A7%C3%A3o-,Art,-.%20170.%20A%20lei" w:history="1">
        <w:r w:rsidRPr="000E3BA5">
          <w:rPr>
            <w:rFonts w:ascii="Arial" w:hAnsi="Arial" w:cs="Arial"/>
            <w:color w:val="0000FF"/>
            <w:sz w:val="20"/>
            <w:szCs w:val="20"/>
            <w:u w:val="single"/>
          </w:rPr>
          <w:t>CT</w:t>
        </w:r>
        <w:r w:rsidRPr="000E3BA5">
          <w:rPr>
            <w:rFonts w:ascii="Arial" w:hAnsi="Arial" w:cs="Arial"/>
            <w:color w:val="0000FF"/>
            <w:sz w:val="20"/>
            <w:szCs w:val="20"/>
            <w:u w:val="single"/>
          </w:rPr>
          <w:t>N</w:t>
        </w:r>
      </w:hyperlink>
      <w:r w:rsidRPr="000E3BA5">
        <w:rPr>
          <w:rFonts w:ascii="Arial" w:hAnsi="Arial" w:cs="Arial"/>
          <w:sz w:val="20"/>
          <w:szCs w:val="20"/>
        </w:rPr>
        <w:t xml:space="preserve">: “Art. 170. A lei pode, nas condições e sob as garantias que estipular, ou cuja estipulação em cada caso atribuir à autoridade administrativa, autorizar a compensação de créditos tributários com créditos líquidos e certos, vencidos ou vincendos, do sujeito passivo contra a Fazenda Pública.” </w:t>
      </w:r>
    </w:p>
    <w:p w14:paraId="7C3335A1" w14:textId="7777777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(3) </w:t>
      </w:r>
      <w:hyperlink r:id="rId67" w:anchor=":~:text=37%2C%20de%202002)-,Art,-.%20100.%20Os%20pagamentos" w:history="1">
        <w:r w:rsidRPr="000E3BA5">
          <w:rPr>
            <w:rFonts w:ascii="Arial" w:hAnsi="Arial" w:cs="Arial"/>
            <w:color w:val="0000FF"/>
            <w:sz w:val="20"/>
            <w:szCs w:val="20"/>
            <w:u w:val="single"/>
          </w:rPr>
          <w:t>CF/1988</w:t>
        </w:r>
      </w:hyperlink>
      <w:r w:rsidRPr="000E3BA5">
        <w:rPr>
          <w:rFonts w:ascii="Arial" w:hAnsi="Arial" w:cs="Arial"/>
          <w:sz w:val="20"/>
          <w:szCs w:val="20"/>
        </w:rPr>
        <w:t xml:space="preserve">: “Art. 100. Os pagamentos devidos pelas Fazendas Públicas Federal, Estaduais, Distrital e Municipais, em virtude de sentença judiciária, far-se-ão exclusivamente na ordem cronológica de apresentação dos precatórios e à conta dos respectivos créditos, proibida a designação de casos ou de pessoas nas dotações orçamentárias e nos créditos adicionais abertos para este fim.” </w:t>
      </w:r>
    </w:p>
    <w:p w14:paraId="539D56E6" w14:textId="7777777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(4) Precedente citado: </w:t>
      </w:r>
      <w:hyperlink r:id="rId68" w:history="1">
        <w:r w:rsidRPr="000E3BA5">
          <w:rPr>
            <w:rFonts w:ascii="Arial" w:hAnsi="Arial" w:cs="Arial"/>
            <w:color w:val="0000FF"/>
            <w:sz w:val="20"/>
            <w:szCs w:val="20"/>
            <w:u w:val="single"/>
          </w:rPr>
          <w:t>RE 917.285</w:t>
        </w:r>
      </w:hyperlink>
      <w:r w:rsidRPr="000E3BA5">
        <w:rPr>
          <w:rFonts w:ascii="Arial" w:hAnsi="Arial" w:cs="Arial"/>
          <w:sz w:val="20"/>
          <w:szCs w:val="20"/>
        </w:rPr>
        <w:t xml:space="preserve"> (</w:t>
      </w:r>
      <w:hyperlink r:id="rId69" w:history="1">
        <w:r w:rsidRPr="000E3BA5">
          <w:rPr>
            <w:rFonts w:ascii="Arial" w:hAnsi="Arial" w:cs="Arial"/>
            <w:color w:val="0000FF"/>
            <w:sz w:val="20"/>
            <w:szCs w:val="20"/>
            <w:u w:val="single"/>
          </w:rPr>
          <w:t>Tema 874 RG</w:t>
        </w:r>
      </w:hyperlink>
      <w:r w:rsidRPr="000E3BA5">
        <w:rPr>
          <w:rFonts w:ascii="Arial" w:hAnsi="Arial" w:cs="Arial"/>
          <w:sz w:val="20"/>
          <w:szCs w:val="20"/>
        </w:rPr>
        <w:t xml:space="preserve">). </w:t>
      </w:r>
    </w:p>
    <w:p w14:paraId="561BA7AB" w14:textId="7777777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(5) Precedentes citados: </w:t>
      </w:r>
      <w:hyperlink r:id="rId70" w:history="1">
        <w:r w:rsidRPr="000E3BA5">
          <w:rPr>
            <w:rFonts w:ascii="Arial" w:hAnsi="Arial" w:cs="Arial"/>
            <w:color w:val="0000FF"/>
            <w:sz w:val="20"/>
            <w:szCs w:val="20"/>
            <w:u w:val="single"/>
          </w:rPr>
          <w:t xml:space="preserve">AI 525.712 </w:t>
        </w:r>
        <w:proofErr w:type="spellStart"/>
        <w:r w:rsidRPr="000E3BA5">
          <w:rPr>
            <w:rFonts w:ascii="Arial" w:hAnsi="Arial" w:cs="Arial"/>
            <w:color w:val="0000FF"/>
            <w:sz w:val="20"/>
            <w:szCs w:val="20"/>
            <w:u w:val="single"/>
          </w:rPr>
          <w:t>AgR</w:t>
        </w:r>
        <w:proofErr w:type="spellEnd"/>
      </w:hyperlink>
      <w:r w:rsidRPr="000E3BA5">
        <w:rPr>
          <w:rFonts w:ascii="Arial" w:hAnsi="Arial" w:cs="Arial"/>
          <w:sz w:val="20"/>
          <w:szCs w:val="20"/>
        </w:rPr>
        <w:t xml:space="preserve"> e </w:t>
      </w:r>
      <w:hyperlink r:id="rId71" w:history="1">
        <w:r w:rsidRPr="000E3BA5">
          <w:rPr>
            <w:rFonts w:ascii="Arial" w:hAnsi="Arial" w:cs="Arial"/>
            <w:color w:val="0000FF"/>
            <w:sz w:val="20"/>
            <w:szCs w:val="20"/>
            <w:u w:val="single"/>
          </w:rPr>
          <w:t xml:space="preserve">ARE 715.214 </w:t>
        </w:r>
        <w:proofErr w:type="spellStart"/>
        <w:r w:rsidRPr="000E3BA5">
          <w:rPr>
            <w:rFonts w:ascii="Arial" w:hAnsi="Arial" w:cs="Arial"/>
            <w:color w:val="0000FF"/>
            <w:sz w:val="20"/>
            <w:szCs w:val="20"/>
            <w:u w:val="single"/>
          </w:rPr>
          <w:t>AgR</w:t>
        </w:r>
      </w:hyperlink>
      <w:r w:rsidRPr="000E3BA5">
        <w:rPr>
          <w:rFonts w:ascii="Arial" w:hAnsi="Arial" w:cs="Arial"/>
          <w:sz w:val="20"/>
          <w:szCs w:val="20"/>
        </w:rPr>
        <w:t>.</w:t>
      </w:r>
      <w:proofErr w:type="spellEnd"/>
      <w:r w:rsidRPr="000E3BA5">
        <w:rPr>
          <w:rFonts w:ascii="Arial" w:hAnsi="Arial" w:cs="Arial"/>
          <w:sz w:val="20"/>
          <w:szCs w:val="20"/>
        </w:rPr>
        <w:t xml:space="preserve"> </w:t>
      </w:r>
    </w:p>
    <w:p w14:paraId="7DFC3D75" w14:textId="7777777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(6) Precedente citado: </w:t>
      </w:r>
      <w:hyperlink r:id="rId72" w:history="1">
        <w:r w:rsidRPr="000E3BA5">
          <w:rPr>
            <w:rFonts w:ascii="Arial" w:hAnsi="Arial" w:cs="Arial"/>
            <w:color w:val="0000FF"/>
            <w:sz w:val="20"/>
            <w:szCs w:val="20"/>
            <w:u w:val="single"/>
          </w:rPr>
          <w:t>RE 601.967</w:t>
        </w:r>
      </w:hyperlink>
      <w:r w:rsidRPr="000E3BA5">
        <w:rPr>
          <w:rFonts w:ascii="Arial" w:hAnsi="Arial" w:cs="Arial"/>
          <w:sz w:val="20"/>
          <w:szCs w:val="20"/>
        </w:rPr>
        <w:t xml:space="preserve"> (</w:t>
      </w:r>
      <w:hyperlink r:id="rId73" w:history="1">
        <w:r w:rsidRPr="000E3BA5">
          <w:rPr>
            <w:rFonts w:ascii="Arial" w:hAnsi="Arial" w:cs="Arial"/>
            <w:color w:val="0000FF"/>
            <w:sz w:val="20"/>
            <w:szCs w:val="20"/>
            <w:u w:val="single"/>
          </w:rPr>
          <w:t>Tema 346 RG</w:t>
        </w:r>
      </w:hyperlink>
      <w:r w:rsidRPr="000E3BA5">
        <w:rPr>
          <w:rFonts w:ascii="Arial" w:hAnsi="Arial" w:cs="Arial"/>
          <w:sz w:val="20"/>
          <w:szCs w:val="20"/>
        </w:rPr>
        <w:t xml:space="preserve">). </w:t>
      </w:r>
    </w:p>
    <w:p w14:paraId="50CEB8C0" w14:textId="7777777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(7) Precedentes citados: </w:t>
      </w:r>
      <w:hyperlink r:id="rId74" w:history="1">
        <w:r w:rsidRPr="000E3BA5">
          <w:rPr>
            <w:rFonts w:ascii="Arial" w:hAnsi="Arial" w:cs="Arial"/>
            <w:color w:val="0000FF"/>
            <w:sz w:val="20"/>
            <w:szCs w:val="20"/>
            <w:u w:val="single"/>
          </w:rPr>
          <w:t>ADI 4.923</w:t>
        </w:r>
      </w:hyperlink>
      <w:r w:rsidRPr="000E3BA5">
        <w:rPr>
          <w:rFonts w:ascii="Arial" w:hAnsi="Arial" w:cs="Arial"/>
          <w:sz w:val="20"/>
          <w:szCs w:val="20"/>
        </w:rPr>
        <w:t xml:space="preserve">, </w:t>
      </w:r>
      <w:hyperlink r:id="rId75" w:history="1">
        <w:r w:rsidRPr="000E3BA5">
          <w:rPr>
            <w:rFonts w:ascii="Arial" w:hAnsi="Arial" w:cs="Arial"/>
            <w:color w:val="0000FF"/>
            <w:sz w:val="20"/>
            <w:szCs w:val="20"/>
            <w:u w:val="single"/>
          </w:rPr>
          <w:t>RE 343.446</w:t>
        </w:r>
      </w:hyperlink>
      <w:r w:rsidRPr="000E3BA5">
        <w:rPr>
          <w:rFonts w:ascii="Arial" w:hAnsi="Arial" w:cs="Arial"/>
          <w:sz w:val="20"/>
          <w:szCs w:val="20"/>
        </w:rPr>
        <w:t xml:space="preserve"> e </w:t>
      </w:r>
      <w:hyperlink r:id="rId76" w:history="1">
        <w:r w:rsidRPr="000E3BA5">
          <w:rPr>
            <w:rFonts w:ascii="Arial" w:hAnsi="Arial" w:cs="Arial"/>
            <w:color w:val="0000FF"/>
            <w:sz w:val="20"/>
            <w:szCs w:val="20"/>
            <w:u w:val="single"/>
          </w:rPr>
          <w:t>RE 838.284</w:t>
        </w:r>
      </w:hyperlink>
      <w:r w:rsidRPr="000E3BA5">
        <w:rPr>
          <w:rFonts w:ascii="Arial" w:hAnsi="Arial" w:cs="Arial"/>
          <w:sz w:val="20"/>
          <w:szCs w:val="20"/>
        </w:rPr>
        <w:t xml:space="preserve"> (</w:t>
      </w:r>
      <w:hyperlink r:id="rId77" w:history="1">
        <w:r w:rsidRPr="000E3BA5">
          <w:rPr>
            <w:rFonts w:ascii="Arial" w:hAnsi="Arial" w:cs="Arial"/>
            <w:color w:val="0000FF"/>
            <w:sz w:val="20"/>
            <w:szCs w:val="20"/>
            <w:u w:val="single"/>
          </w:rPr>
          <w:t>Tema 829 RG</w:t>
        </w:r>
      </w:hyperlink>
      <w:r w:rsidRPr="000E3BA5">
        <w:rPr>
          <w:rFonts w:ascii="Arial" w:hAnsi="Arial" w:cs="Arial"/>
          <w:sz w:val="20"/>
          <w:szCs w:val="20"/>
        </w:rPr>
        <w:t xml:space="preserve">). </w:t>
      </w:r>
    </w:p>
    <w:p w14:paraId="25927259" w14:textId="0EAFAC97" w:rsidR="00DB4047" w:rsidRPr="000E3BA5" w:rsidRDefault="00DB4047" w:rsidP="000E3BA5">
      <w:pPr>
        <w:spacing w:after="120"/>
        <w:ind w:firstLine="709"/>
        <w:rPr>
          <w:rFonts w:ascii="Arial" w:hAnsi="Arial" w:cs="Arial"/>
          <w:sz w:val="20"/>
          <w:szCs w:val="20"/>
        </w:rPr>
      </w:pPr>
      <w:r w:rsidRPr="000E3BA5">
        <w:rPr>
          <w:rFonts w:ascii="Arial" w:hAnsi="Arial" w:cs="Arial"/>
          <w:sz w:val="20"/>
          <w:szCs w:val="20"/>
        </w:rPr>
        <w:t xml:space="preserve">(8) </w:t>
      </w:r>
      <w:hyperlink r:id="rId78" w:anchor=":~:text=66%2C%20de%202002)-,Art,-.%2074.%20O%20sujeito" w:history="1">
        <w:r w:rsidRPr="000E3BA5">
          <w:rPr>
            <w:rFonts w:ascii="Arial" w:hAnsi="Arial" w:cs="Arial"/>
            <w:color w:val="0000FF"/>
            <w:sz w:val="20"/>
            <w:szCs w:val="20"/>
            <w:u w:val="single"/>
          </w:rPr>
          <w:t>Lei nº 9.430/1996</w:t>
        </w:r>
      </w:hyperlink>
      <w:r w:rsidRPr="000E3BA5">
        <w:rPr>
          <w:rFonts w:ascii="Arial" w:hAnsi="Arial" w:cs="Arial"/>
          <w:sz w:val="20"/>
          <w:szCs w:val="20"/>
        </w:rPr>
        <w:t xml:space="preserve"> (com redação dada pela Lei nº 14.873/2024): “Art. 74. </w:t>
      </w:r>
      <w:r w:rsidR="00C82009">
        <w:rPr>
          <w:rFonts w:ascii="Arial" w:hAnsi="Arial" w:cs="Arial"/>
          <w:sz w:val="20"/>
          <w:szCs w:val="20"/>
        </w:rPr>
        <w:t>(</w:t>
      </w:r>
      <w:r w:rsidRPr="000E3BA5">
        <w:rPr>
          <w:rFonts w:ascii="Arial" w:hAnsi="Arial" w:cs="Arial"/>
          <w:sz w:val="20"/>
          <w:szCs w:val="20"/>
        </w:rPr>
        <w:t>...</w:t>
      </w:r>
      <w:r w:rsidR="00C82009">
        <w:rPr>
          <w:rFonts w:ascii="Arial" w:hAnsi="Arial" w:cs="Arial"/>
          <w:sz w:val="20"/>
          <w:szCs w:val="20"/>
        </w:rPr>
        <w:t>)</w:t>
      </w:r>
      <w:r w:rsidRPr="000E3BA5">
        <w:rPr>
          <w:rFonts w:ascii="Arial" w:hAnsi="Arial" w:cs="Arial"/>
          <w:sz w:val="20"/>
          <w:szCs w:val="20"/>
        </w:rPr>
        <w:t xml:space="preserve"> § 3º </w:t>
      </w:r>
      <w:r w:rsidR="00C82009">
        <w:rPr>
          <w:rFonts w:ascii="Arial" w:hAnsi="Arial" w:cs="Arial"/>
          <w:sz w:val="20"/>
          <w:szCs w:val="20"/>
        </w:rPr>
        <w:t>(</w:t>
      </w:r>
      <w:r w:rsidRPr="000E3BA5">
        <w:rPr>
          <w:rFonts w:ascii="Arial" w:hAnsi="Arial" w:cs="Arial"/>
          <w:sz w:val="20"/>
          <w:szCs w:val="20"/>
        </w:rPr>
        <w:t>...</w:t>
      </w:r>
      <w:r w:rsidR="00C82009">
        <w:rPr>
          <w:rFonts w:ascii="Arial" w:hAnsi="Arial" w:cs="Arial"/>
          <w:sz w:val="20"/>
          <w:szCs w:val="20"/>
        </w:rPr>
        <w:t>)</w:t>
      </w:r>
      <w:r w:rsidRPr="000E3BA5">
        <w:rPr>
          <w:rFonts w:ascii="Arial" w:hAnsi="Arial" w:cs="Arial"/>
          <w:sz w:val="20"/>
          <w:szCs w:val="20"/>
        </w:rPr>
        <w:t xml:space="preserve"> X - o valor do crédito utilizado na compensação que superar o limite mensal de que trata o art. 74-A desta Lei. </w:t>
      </w:r>
      <w:r w:rsidR="00C82009">
        <w:rPr>
          <w:rFonts w:ascii="Arial" w:hAnsi="Arial" w:cs="Arial"/>
          <w:sz w:val="20"/>
          <w:szCs w:val="20"/>
        </w:rPr>
        <w:t>(</w:t>
      </w:r>
      <w:r w:rsidRPr="000E3BA5">
        <w:rPr>
          <w:rFonts w:ascii="Arial" w:hAnsi="Arial" w:cs="Arial"/>
          <w:sz w:val="20"/>
          <w:szCs w:val="20"/>
        </w:rPr>
        <w:t>...</w:t>
      </w:r>
      <w:r w:rsidR="00C82009">
        <w:rPr>
          <w:rFonts w:ascii="Arial" w:hAnsi="Arial" w:cs="Arial"/>
          <w:sz w:val="20"/>
          <w:szCs w:val="20"/>
        </w:rPr>
        <w:t>)</w:t>
      </w:r>
      <w:r w:rsidRPr="000E3BA5">
        <w:rPr>
          <w:rFonts w:ascii="Arial" w:hAnsi="Arial" w:cs="Arial"/>
          <w:sz w:val="20"/>
          <w:szCs w:val="20"/>
        </w:rPr>
        <w:t xml:space="preserve"> Art. 74-A. A compensação de crédito decorrente de decisão judicial transitada em julgado observará o limite mensal estabelecido em ato do Ministro de Estado da Fazenda. § 1º O limite mensal a que se refere o </w:t>
      </w:r>
      <w:r w:rsidRPr="000E3BA5">
        <w:rPr>
          <w:rFonts w:ascii="Arial" w:hAnsi="Arial" w:cs="Arial"/>
          <w:i/>
          <w:iCs/>
          <w:sz w:val="20"/>
          <w:szCs w:val="20"/>
        </w:rPr>
        <w:t>caput</w:t>
      </w:r>
      <w:r w:rsidRPr="000E3BA5">
        <w:rPr>
          <w:rFonts w:ascii="Arial" w:hAnsi="Arial" w:cs="Arial"/>
          <w:sz w:val="20"/>
          <w:szCs w:val="20"/>
        </w:rPr>
        <w:t xml:space="preserve"> deste artigo: I - será graduado em função do valor total do crédito decorrente de decisão judicial transitada em julgado; II - não poderá ser inferior a 1/60 (um sessenta avos) do valor total do crédito decorrente de decisão judicial transitada em julgado, demonstrado e atualizado na data da entrega da primeira declaração de compensação; e III - não poderá ser estabelecido para crédito decorrente de decisão judicial transitada em julgado cujo valor total seja inferior a R$ 10.000.000,00 (dez milhões de reais). § 2º Para fins do disposto neste artigo, a primeira declaração de compensação deverá ser apresentada no prazo de até 5 (cinco) anos, contado da data do trânsito em julgado da decisão ou da homologação da desistência da execução do título judicial.” </w:t>
      </w:r>
    </w:p>
    <w:p w14:paraId="7E397694" w14:textId="77777777" w:rsidR="00DB4047" w:rsidRPr="000E3BA5" w:rsidRDefault="00DB4047" w:rsidP="000E3BA5">
      <w:pPr>
        <w:spacing w:after="120"/>
        <w:ind w:firstLine="709"/>
        <w:rPr>
          <w:rFonts w:ascii="Arial" w:hAnsi="Arial" w:cs="Arial"/>
          <w:sz w:val="20"/>
          <w:szCs w:val="20"/>
          <w:lang w:eastAsia="en-US"/>
        </w:rPr>
      </w:pPr>
    </w:p>
    <w:p w14:paraId="7D86F915" w14:textId="77777777" w:rsidR="00DB4047" w:rsidRPr="00DB4047" w:rsidRDefault="00DB4047" w:rsidP="00DB4047">
      <w:pPr>
        <w:spacing w:line="360" w:lineRule="auto"/>
        <w:rPr>
          <w:rStyle w:val="Hyperlink"/>
          <w:sz w:val="24"/>
          <w:szCs w:val="24"/>
        </w:rPr>
      </w:pPr>
      <w:hyperlink r:id="rId79" w:history="1">
        <w:r w:rsidRPr="00DB4047">
          <w:rPr>
            <w:rStyle w:val="Hyperlink"/>
            <w:sz w:val="24"/>
            <w:szCs w:val="24"/>
          </w:rPr>
          <w:t>ADI 7.587/DF, relator Ministro Cristiano Zanin, julgamento virtual finalizado em 14.09.2026 (segunda-feira), às 23:59</w:t>
        </w:r>
      </w:hyperlink>
    </w:p>
    <w:p w14:paraId="3E0E9B6E" w14:textId="77777777" w:rsidR="00DB4047" w:rsidRPr="00DB4047" w:rsidRDefault="00DB4047" w:rsidP="00DB4047">
      <w:pPr>
        <w:spacing w:line="360" w:lineRule="auto"/>
        <w:rPr>
          <w:rStyle w:val="Hyperlink"/>
          <w:sz w:val="24"/>
          <w:szCs w:val="24"/>
        </w:rPr>
      </w:pPr>
      <w:hyperlink r:id="rId80" w:history="1">
        <w:r w:rsidRPr="00DB4047">
          <w:rPr>
            <w:rStyle w:val="Hyperlink"/>
            <w:sz w:val="24"/>
            <w:szCs w:val="24"/>
          </w:rPr>
          <w:t>ADI 7.609/DF, relator Ministro Cristiano Zanin, julgamento virtual finalizado em 14.09.2026 (segunda-feira), às 23:59</w:t>
        </w:r>
      </w:hyperlink>
    </w:p>
    <w:p w14:paraId="516DAE17" w14:textId="77777777" w:rsidR="00DB4047" w:rsidRPr="00DB4047" w:rsidRDefault="00DB4047" w:rsidP="00DB4047">
      <w:pPr>
        <w:spacing w:line="360" w:lineRule="auto"/>
        <w:rPr>
          <w:rStyle w:val="Hyperlink"/>
          <w:color w:val="auto"/>
          <w:sz w:val="24"/>
          <w:szCs w:val="24"/>
        </w:rPr>
      </w:pPr>
    </w:p>
    <w:p w14:paraId="77BC8E1B" w14:textId="77777777" w:rsidR="00DB4047" w:rsidRDefault="00DB4047" w:rsidP="00DB404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7A49547" w14:textId="77777777" w:rsidR="00DB4047" w:rsidRPr="00DB4047" w:rsidRDefault="00DB4047" w:rsidP="00DB4047">
      <w:pPr>
        <w:spacing w:line="360" w:lineRule="auto"/>
        <w:rPr>
          <w:rStyle w:val="Hyperlink"/>
          <w:color w:val="auto"/>
        </w:rPr>
      </w:pPr>
    </w:p>
    <w:p w14:paraId="79ACF0B3" w14:textId="77777777" w:rsidR="005E4111" w:rsidRPr="005E4111" w:rsidRDefault="005E4111" w:rsidP="005E4111">
      <w:pPr>
        <w:rPr>
          <w:sz w:val="24"/>
          <w:szCs w:val="24"/>
          <w:lang w:eastAsia="en-US"/>
        </w:rPr>
      </w:pPr>
      <w:r w:rsidRPr="005E4111">
        <w:rPr>
          <w:sz w:val="24"/>
          <w:szCs w:val="24"/>
          <w:lang w:eastAsia="en-US"/>
        </w:rPr>
        <w:t>DIREITO TRIBUTÁRIO – IMPOSTOS; ADICIONAL SOBRE O ICMS; SERVIÇOS DE TELECOMUNICAÇÕES; FINANCIAMENTO DO FUNDO DE COMBATE E ERRADICAÇÃO DA POBREZA</w:t>
      </w:r>
    </w:p>
    <w:p w14:paraId="7A9AF537" w14:textId="77777777" w:rsidR="005E4111" w:rsidRPr="005E4111" w:rsidRDefault="005E4111" w:rsidP="005E4111">
      <w:pPr>
        <w:rPr>
          <w:sz w:val="24"/>
          <w:szCs w:val="24"/>
          <w:lang w:eastAsia="en-US"/>
        </w:rPr>
      </w:pPr>
    </w:p>
    <w:p w14:paraId="25BE384B" w14:textId="77777777" w:rsidR="005E4111" w:rsidRPr="005E4111" w:rsidRDefault="005E4111" w:rsidP="005E4111">
      <w:pPr>
        <w:autoSpaceDE w:val="0"/>
        <w:autoSpaceDN w:val="0"/>
        <w:adjustRightInd w:val="0"/>
        <w:rPr>
          <w:b/>
          <w:sz w:val="24"/>
          <w:szCs w:val="24"/>
        </w:rPr>
      </w:pPr>
      <w:bookmarkStart w:id="17" w:name="Fundo"/>
      <w:r w:rsidRPr="005E4111">
        <w:rPr>
          <w:b/>
          <w:bCs/>
          <w:i/>
          <w:iCs/>
          <w:sz w:val="24"/>
          <w:szCs w:val="24"/>
        </w:rPr>
        <w:t>Fundo</w:t>
      </w:r>
      <w:bookmarkEnd w:id="17"/>
      <w:r w:rsidRPr="005E4111">
        <w:rPr>
          <w:b/>
          <w:bCs/>
          <w:i/>
          <w:iCs/>
          <w:sz w:val="24"/>
          <w:szCs w:val="24"/>
        </w:rPr>
        <w:t xml:space="preserve"> de Combate e Erradicação da Pobreza: adicional de 2% da alíquota do ICMS incidente sobre serviços de telecomunicações </w:t>
      </w:r>
      <w:r w:rsidRPr="00A9036F">
        <w:rPr>
          <w:sz w:val="24"/>
          <w:szCs w:val="24"/>
        </w:rPr>
        <w:t>–</w:t>
      </w:r>
      <w:r w:rsidRPr="005E4111">
        <w:rPr>
          <w:b/>
          <w:bCs/>
          <w:sz w:val="24"/>
          <w:szCs w:val="24"/>
        </w:rPr>
        <w:t xml:space="preserve"> </w:t>
      </w:r>
      <w:hyperlink r:id="rId81" w:history="1">
        <w:r w:rsidRPr="005E4111">
          <w:rPr>
            <w:rFonts w:eastAsia="Aptos"/>
            <w:kern w:val="2"/>
            <w:sz w:val="24"/>
            <w:szCs w:val="24"/>
            <w:lang w:eastAsia="en-US"/>
            <w14:ligatures w14:val="standardContextual"/>
          </w:rPr>
          <w:t>ADI</w:t>
        </w:r>
        <w:r w:rsidRPr="005E4111">
          <w:rPr>
            <w:sz w:val="24"/>
            <w:szCs w:val="24"/>
            <w:lang w:eastAsia="en-US"/>
          </w:rPr>
          <w:t xml:space="preserve"> 7.815/MT </w:t>
        </w:r>
      </w:hyperlink>
      <w:r w:rsidRPr="005E4111">
        <w:rPr>
          <w:sz w:val="24"/>
          <w:szCs w:val="24"/>
          <w:lang w:eastAsia="en-US"/>
        </w:rPr>
        <w:t xml:space="preserve"> </w:t>
      </w:r>
      <w:r w:rsidRPr="005E4111">
        <w:rPr>
          <w:rFonts w:ascii="Aptos" w:eastAsia="Aptos" w:hAnsi="Aptos"/>
          <w:noProof/>
          <w:kern w:val="2"/>
          <w:sz w:val="24"/>
          <w:szCs w:val="24"/>
          <w:lang w:eastAsia="en-US"/>
          <w14:ligatures w14:val="standardContextual"/>
        </w:rPr>
        <w:drawing>
          <wp:inline distT="0" distB="0" distL="0" distR="0" wp14:anchorId="768073A0" wp14:editId="3E4B707F">
            <wp:extent cx="1195705" cy="180975"/>
            <wp:effectExtent l="0" t="0" r="4445" b="9525"/>
            <wp:docPr id="17331043" name="Imagem 4">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8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D824BB9" w14:textId="77777777" w:rsidR="005E4111" w:rsidRPr="005E4111" w:rsidRDefault="005E4111" w:rsidP="005E4111">
      <w:pPr>
        <w:autoSpaceDE w:val="0"/>
        <w:autoSpaceDN w:val="0"/>
        <w:adjustRightInd w:val="0"/>
        <w:rPr>
          <w:sz w:val="24"/>
          <w:szCs w:val="24"/>
        </w:rPr>
      </w:pPr>
    </w:p>
    <w:p w14:paraId="5A9FADB4" w14:textId="77777777" w:rsidR="005E4111" w:rsidRPr="005E4111" w:rsidRDefault="005E4111" w:rsidP="005E4111">
      <w:pPr>
        <w:rPr>
          <w:sz w:val="24"/>
          <w:szCs w:val="24"/>
        </w:rPr>
      </w:pPr>
      <w:r w:rsidRPr="005E4111">
        <w:rPr>
          <w:b/>
          <w:bCs/>
          <w:sz w:val="24"/>
          <w:szCs w:val="24"/>
        </w:rPr>
        <w:t>ODS:</w:t>
      </w:r>
      <w:r w:rsidRPr="005E4111">
        <w:rPr>
          <w:sz w:val="24"/>
          <w:szCs w:val="24"/>
        </w:rPr>
        <w:t xml:space="preserve"> </w:t>
      </w:r>
      <w:hyperlink r:id="rId83" w:history="1">
        <w:r w:rsidRPr="005E4111">
          <w:rPr>
            <w:color w:val="0000FF"/>
            <w:sz w:val="24"/>
            <w:szCs w:val="24"/>
            <w:u w:val="single"/>
          </w:rPr>
          <w:t>16</w:t>
        </w:r>
      </w:hyperlink>
    </w:p>
    <w:p w14:paraId="3AD7C6C1" w14:textId="77777777" w:rsidR="005E4111" w:rsidRPr="005E4111" w:rsidRDefault="005E4111" w:rsidP="005E4111">
      <w:pPr>
        <w:autoSpaceDE w:val="0"/>
        <w:autoSpaceDN w:val="0"/>
        <w:adjustRightInd w:val="0"/>
        <w:rPr>
          <w:sz w:val="24"/>
          <w:szCs w:val="24"/>
          <w:lang w:eastAsia="en-US"/>
        </w:rPr>
      </w:pPr>
    </w:p>
    <w:p w14:paraId="02F0B754" w14:textId="77777777" w:rsidR="005E4111" w:rsidRPr="005E4111" w:rsidRDefault="005E4111" w:rsidP="005E4111">
      <w:pPr>
        <w:spacing w:line="360" w:lineRule="auto"/>
        <w:rPr>
          <w:sz w:val="24"/>
          <w:szCs w:val="24"/>
          <w:lang w:eastAsia="en-US"/>
        </w:rPr>
      </w:pPr>
      <w:r w:rsidRPr="005E4111">
        <w:rPr>
          <w:sz w:val="24"/>
          <w:szCs w:val="24"/>
          <w:lang w:eastAsia="en-US"/>
        </w:rPr>
        <w:t>Resumo:</w:t>
      </w:r>
    </w:p>
    <w:p w14:paraId="67B5C37E" w14:textId="77777777" w:rsidR="005E4111" w:rsidRPr="005E4111" w:rsidRDefault="005E4111" w:rsidP="005E4111">
      <w:pPr>
        <w:spacing w:line="360" w:lineRule="auto"/>
        <w:ind w:firstLine="709"/>
        <w:rPr>
          <w:b/>
          <w:bCs/>
          <w:sz w:val="24"/>
          <w:szCs w:val="24"/>
        </w:rPr>
      </w:pPr>
      <w:r w:rsidRPr="005E4111">
        <w:rPr>
          <w:b/>
          <w:bCs/>
          <w:sz w:val="24"/>
          <w:szCs w:val="24"/>
        </w:rPr>
        <w:t>É constitucional a cobrança de adicional de ICMS destinado ao Fundo de Combate à Pobreza sobre serviços de telecomunicações prevista em legislação estadual anterior à Lei Complementar nº 194/2022, mas sua eficácia fica suspensa a partir da superveniência dessa lei complementar.</w:t>
      </w:r>
    </w:p>
    <w:p w14:paraId="43199889" w14:textId="336EE124" w:rsidR="005E4111" w:rsidRPr="005E4111" w:rsidRDefault="005E4111" w:rsidP="005E4111">
      <w:pPr>
        <w:spacing w:line="360" w:lineRule="auto"/>
        <w:ind w:firstLine="709"/>
        <w:rPr>
          <w:sz w:val="24"/>
          <w:szCs w:val="24"/>
        </w:rPr>
      </w:pPr>
      <w:r w:rsidRPr="005E4111">
        <w:rPr>
          <w:sz w:val="24"/>
          <w:szCs w:val="24"/>
        </w:rPr>
        <w:t>No caso, a Lei nº 7.098/1998 e o Decreto nº 2.212/2014, ambos do Estado de Mato Grosso, estabeleceram adicional de 2% à alíquota do ICMS incidente sobre serviços de comunicação, destinado ao Fundo Estadual de Combate e Erradicação da Pobreza. As normas foram editadas antes da LC nº 194/2022, que passou a considerar as comunicações bens e serviços essenciais e indispensáveis.</w:t>
      </w:r>
    </w:p>
    <w:p w14:paraId="47FD8F7E" w14:textId="77777777" w:rsidR="005E4111" w:rsidRPr="005E4111" w:rsidRDefault="005E4111" w:rsidP="005E4111">
      <w:pPr>
        <w:spacing w:line="360" w:lineRule="auto"/>
        <w:ind w:firstLine="709"/>
        <w:rPr>
          <w:sz w:val="24"/>
          <w:szCs w:val="24"/>
        </w:rPr>
      </w:pPr>
      <w:r w:rsidRPr="005E4111">
        <w:rPr>
          <w:sz w:val="24"/>
          <w:szCs w:val="24"/>
        </w:rPr>
        <w:t>O art. 82, § 1º, do ADCT autorizou a criação de adicional de até dois pontos percentuais do ICMS para o financiamento dos Fundos Estaduais de Combate à Pobreza, incidente sobre produtos e serviços supérfluos. Com base no art. 4º da EC nº 42/2003 e na EC nº 67/2010, o Supremo Tribunal Federal convalidou as legislações estaduais que instituíram o adicional antes da edição da lei complementar nacional (1). Com a superveniência da LC nº 194/2022, que reconheceu expressamente a essencialidade dos serviços de comunicação e telecomunicação, sobreveio novo parâmetro constitucional para a tributação, razão pela qual as normas estaduais anteriores foram consideradas constitucionais quanto ao período em que vigentes, mas tiveram sua eficácia suspensa a partir da nova disciplina nacional.</w:t>
      </w:r>
    </w:p>
    <w:p w14:paraId="6576B8CD" w14:textId="2678592A" w:rsidR="005E4111" w:rsidRPr="005E4111" w:rsidRDefault="005E4111" w:rsidP="005E4111">
      <w:pPr>
        <w:spacing w:line="360" w:lineRule="auto"/>
        <w:ind w:firstLine="709"/>
        <w:rPr>
          <w:sz w:val="24"/>
          <w:szCs w:val="24"/>
        </w:rPr>
      </w:pPr>
      <w:r w:rsidRPr="005E4111">
        <w:rPr>
          <w:sz w:val="24"/>
          <w:szCs w:val="24"/>
        </w:rPr>
        <w:t>Com base nesse e em outros entendimentos, o Plenário, por unanimidade, ao converter o julgamento da medida cautelar em definitivo de mérito, conheceu da ação direta e julgou improcedentes os pedidos, com a declaração de suspensão da eficácia do art. 14, § 9º</w:t>
      </w:r>
      <w:r w:rsidR="007E2661">
        <w:rPr>
          <w:sz w:val="24"/>
          <w:szCs w:val="24"/>
        </w:rPr>
        <w:t>,</w:t>
      </w:r>
      <w:r w:rsidRPr="005E4111">
        <w:rPr>
          <w:sz w:val="24"/>
          <w:szCs w:val="24"/>
        </w:rPr>
        <w:t xml:space="preserve"> da</w:t>
      </w:r>
      <w:r w:rsidRPr="005E4111">
        <w:rPr>
          <w:b/>
          <w:sz w:val="24"/>
          <w:szCs w:val="24"/>
        </w:rPr>
        <w:t xml:space="preserve"> </w:t>
      </w:r>
      <w:hyperlink r:id="rId84" w:history="1">
        <w:r w:rsidRPr="005E4111">
          <w:rPr>
            <w:color w:val="0000FF"/>
            <w:sz w:val="24"/>
            <w:szCs w:val="24"/>
            <w:u w:val="single"/>
          </w:rPr>
          <w:t xml:space="preserve">Lei nº </w:t>
        </w:r>
        <w:r w:rsidRPr="005E4111">
          <w:rPr>
            <w:color w:val="0000FF"/>
            <w:sz w:val="24"/>
            <w:szCs w:val="24"/>
            <w:u w:val="single"/>
          </w:rPr>
          <w:lastRenderedPageBreak/>
          <w:t>7.098/1998</w:t>
        </w:r>
      </w:hyperlink>
      <w:r w:rsidRPr="005E4111">
        <w:rPr>
          <w:sz w:val="24"/>
          <w:szCs w:val="24"/>
        </w:rPr>
        <w:t xml:space="preserve"> e </w:t>
      </w:r>
      <w:r w:rsidR="00E74B62">
        <w:rPr>
          <w:sz w:val="24"/>
          <w:szCs w:val="24"/>
        </w:rPr>
        <w:t xml:space="preserve">do </w:t>
      </w:r>
      <w:r w:rsidRPr="005E4111">
        <w:rPr>
          <w:sz w:val="24"/>
          <w:szCs w:val="24"/>
        </w:rPr>
        <w:t xml:space="preserve">art. 95, § 7º, do </w:t>
      </w:r>
      <w:hyperlink r:id="rId85" w:history="1">
        <w:r w:rsidRPr="005E4111">
          <w:rPr>
            <w:color w:val="0000FF"/>
            <w:sz w:val="24"/>
            <w:szCs w:val="24"/>
            <w:u w:val="single"/>
          </w:rPr>
          <w:t>Decreto nº 2.212/2014</w:t>
        </w:r>
      </w:hyperlink>
      <w:r w:rsidRPr="005E4111">
        <w:rPr>
          <w:sz w:val="24"/>
          <w:szCs w:val="24"/>
        </w:rPr>
        <w:t>, ambos do Estado de Mato Grosso, a partir da superveniência da Lei Complementar nº 194/2022.</w:t>
      </w:r>
    </w:p>
    <w:p w14:paraId="169C7D1F" w14:textId="77777777" w:rsidR="005E4111" w:rsidRPr="005E4111" w:rsidRDefault="005E4111" w:rsidP="000E3BA5">
      <w:pPr>
        <w:spacing w:after="120"/>
        <w:ind w:firstLine="708"/>
        <w:rPr>
          <w:vanish/>
          <w:sz w:val="24"/>
          <w:szCs w:val="24"/>
          <w:lang w:eastAsia="en-US"/>
        </w:rPr>
      </w:pPr>
    </w:p>
    <w:p w14:paraId="0C78D047" w14:textId="25A14D00" w:rsidR="005E4111" w:rsidRPr="005E4111" w:rsidRDefault="005E4111" w:rsidP="000E3BA5">
      <w:pPr>
        <w:tabs>
          <w:tab w:val="left" w:pos="2868"/>
        </w:tabs>
        <w:spacing w:after="120"/>
        <w:ind w:firstLine="709"/>
        <w:contextualSpacing/>
        <w:rPr>
          <w:rFonts w:ascii="Arial" w:hAnsi="Arial" w:cs="Arial"/>
          <w:color w:val="0000FF"/>
          <w:sz w:val="20"/>
          <w:szCs w:val="20"/>
        </w:rPr>
      </w:pPr>
      <w:r w:rsidRPr="005E4111">
        <w:rPr>
          <w:rFonts w:ascii="Arial" w:hAnsi="Arial" w:cs="Arial"/>
          <w:sz w:val="20"/>
          <w:szCs w:val="20"/>
        </w:rPr>
        <w:t xml:space="preserve">(1) Precedentes citados: </w:t>
      </w:r>
      <w:hyperlink r:id="rId86" w:history="1">
        <w:r w:rsidRPr="005E4111">
          <w:rPr>
            <w:rFonts w:ascii="Arial" w:eastAsia="Aptos" w:hAnsi="Arial" w:cs="Arial"/>
            <w:color w:val="0000FF"/>
            <w:kern w:val="2"/>
            <w:sz w:val="20"/>
            <w:szCs w:val="20"/>
            <w:u w:val="single"/>
            <w:lang w:eastAsia="en-US"/>
            <w14:ligatures w14:val="standardContextual"/>
          </w:rPr>
          <w:t xml:space="preserve">AR 2.928 </w:t>
        </w:r>
        <w:proofErr w:type="spellStart"/>
        <w:r w:rsidRPr="005E4111">
          <w:rPr>
            <w:rFonts w:ascii="Arial" w:eastAsia="Aptos" w:hAnsi="Arial" w:cs="Arial"/>
            <w:color w:val="0000FF"/>
            <w:kern w:val="2"/>
            <w:sz w:val="20"/>
            <w:szCs w:val="20"/>
            <w:u w:val="single"/>
            <w:lang w:eastAsia="en-US"/>
            <w14:ligatures w14:val="standardContextual"/>
          </w:rPr>
          <w:t>AgR</w:t>
        </w:r>
        <w:proofErr w:type="spellEnd"/>
        <w:r w:rsidRPr="005E4111">
          <w:rPr>
            <w:rFonts w:ascii="Arial" w:eastAsia="Aptos" w:hAnsi="Arial" w:cs="Arial"/>
            <w:color w:val="0000FF"/>
            <w:kern w:val="2"/>
            <w:sz w:val="20"/>
            <w:szCs w:val="20"/>
            <w:u w:val="single"/>
            <w:lang w:eastAsia="en-US"/>
            <w14:ligatures w14:val="standardContextual"/>
          </w:rPr>
          <w:t>-segundo</w:t>
        </w:r>
      </w:hyperlink>
      <w:r w:rsidRPr="005E4111">
        <w:rPr>
          <w:rFonts w:ascii="Arial" w:eastAsia="Aptos" w:hAnsi="Arial" w:cs="Arial"/>
          <w:kern w:val="2"/>
          <w:sz w:val="20"/>
          <w:szCs w:val="20"/>
          <w:lang w:eastAsia="en-US"/>
          <w14:ligatures w14:val="standardContextual"/>
        </w:rPr>
        <w:t xml:space="preserve">, </w:t>
      </w:r>
      <w:hyperlink r:id="rId87" w:history="1">
        <w:r w:rsidRPr="005E4111">
          <w:rPr>
            <w:rFonts w:ascii="Arial" w:eastAsia="Aptos" w:hAnsi="Arial" w:cs="Arial"/>
            <w:color w:val="0000FF"/>
            <w:kern w:val="2"/>
            <w:sz w:val="20"/>
            <w:szCs w:val="20"/>
            <w:u w:val="single"/>
            <w:lang w:eastAsia="en-US"/>
            <w14:ligatures w14:val="standardContextual"/>
          </w:rPr>
          <w:t>RE 592.152 RG</w:t>
        </w:r>
      </w:hyperlink>
      <w:r w:rsidRPr="005E4111">
        <w:rPr>
          <w:rFonts w:ascii="Arial" w:eastAsia="Aptos" w:hAnsi="Arial" w:cs="Arial"/>
          <w:color w:val="0000FF"/>
          <w:kern w:val="2"/>
          <w:sz w:val="20"/>
          <w:szCs w:val="20"/>
          <w:lang w:eastAsia="en-US"/>
          <w14:ligatures w14:val="standardContextual"/>
        </w:rPr>
        <w:t xml:space="preserve">, </w:t>
      </w:r>
      <w:hyperlink r:id="rId88" w:history="1">
        <w:r w:rsidRPr="005E4111">
          <w:rPr>
            <w:rFonts w:ascii="Arial" w:eastAsia="Aptos" w:hAnsi="Arial" w:cs="Arial"/>
            <w:color w:val="0000FF"/>
            <w:kern w:val="2"/>
            <w:sz w:val="20"/>
            <w:szCs w:val="20"/>
            <w:u w:val="single"/>
            <w:lang w:eastAsia="en-US"/>
            <w14:ligatures w14:val="standardContextual"/>
          </w:rPr>
          <w:t>RE 714.139 RG</w:t>
        </w:r>
      </w:hyperlink>
      <w:r w:rsidR="00A9036F">
        <w:rPr>
          <w:rFonts w:ascii="Arial" w:eastAsia="Aptos" w:hAnsi="Arial" w:cs="Arial"/>
          <w:kern w:val="2"/>
          <w:sz w:val="20"/>
          <w:szCs w:val="20"/>
          <w:lang w:eastAsia="en-US"/>
          <w14:ligatures w14:val="standardContextual"/>
        </w:rPr>
        <w:t xml:space="preserve"> e</w:t>
      </w:r>
      <w:r w:rsidRPr="005E4111">
        <w:rPr>
          <w:rFonts w:ascii="Arial" w:eastAsia="Aptos" w:hAnsi="Arial" w:cs="Arial"/>
          <w:kern w:val="2"/>
          <w:sz w:val="20"/>
          <w:szCs w:val="20"/>
          <w:lang w:eastAsia="en-US"/>
          <w14:ligatures w14:val="standardContextual"/>
        </w:rPr>
        <w:t xml:space="preserve"> </w:t>
      </w:r>
      <w:hyperlink r:id="rId89" w:history="1">
        <w:r w:rsidRPr="005E4111">
          <w:rPr>
            <w:rFonts w:ascii="Arial" w:eastAsia="Aptos" w:hAnsi="Arial" w:cs="Arial"/>
            <w:color w:val="0000FF"/>
            <w:kern w:val="2"/>
            <w:sz w:val="20"/>
            <w:szCs w:val="20"/>
            <w:u w:val="single"/>
            <w:lang w:eastAsia="en-US"/>
            <w14:ligatures w14:val="standardContextual"/>
          </w:rPr>
          <w:t>ADI 7.716</w:t>
        </w:r>
      </w:hyperlink>
      <w:r w:rsidRPr="005E4111">
        <w:rPr>
          <w:rFonts w:ascii="Arial" w:eastAsia="Aptos" w:hAnsi="Arial" w:cs="Arial"/>
          <w:kern w:val="2"/>
          <w:sz w:val="20"/>
          <w:szCs w:val="20"/>
          <w:lang w:eastAsia="en-US"/>
          <w14:ligatures w14:val="standardContextual"/>
        </w:rPr>
        <w:t>.</w:t>
      </w:r>
    </w:p>
    <w:p w14:paraId="11DAE83F" w14:textId="77777777" w:rsidR="005E4111" w:rsidRPr="005E4111" w:rsidRDefault="005E4111" w:rsidP="000E3BA5">
      <w:pPr>
        <w:tabs>
          <w:tab w:val="left" w:pos="2868"/>
        </w:tabs>
        <w:spacing w:after="120"/>
        <w:ind w:firstLine="708"/>
        <w:rPr>
          <w:rFonts w:ascii="Arial" w:hAnsi="Arial" w:cs="Arial"/>
          <w:sz w:val="20"/>
          <w:szCs w:val="20"/>
        </w:rPr>
      </w:pPr>
    </w:p>
    <w:p w14:paraId="160C720F" w14:textId="77777777" w:rsidR="005E4111" w:rsidRPr="005E4111" w:rsidRDefault="005E4111" w:rsidP="005E4111">
      <w:pPr>
        <w:spacing w:line="360" w:lineRule="auto"/>
        <w:rPr>
          <w:color w:val="0000FF"/>
          <w:sz w:val="24"/>
          <w:szCs w:val="24"/>
          <w:u w:val="single"/>
          <w:lang w:eastAsia="en-US"/>
        </w:rPr>
      </w:pPr>
      <w:hyperlink r:id="rId90" w:history="1">
        <w:r w:rsidRPr="005E4111">
          <w:rPr>
            <w:color w:val="0000FF"/>
            <w:sz w:val="24"/>
            <w:szCs w:val="24"/>
            <w:u w:val="single"/>
            <w:lang w:eastAsia="en-US"/>
          </w:rPr>
          <w:t xml:space="preserve">ADI 7.815/MT, relatora Ministra </w:t>
        </w:r>
        <w:proofErr w:type="spellStart"/>
        <w:r w:rsidRPr="005E4111">
          <w:rPr>
            <w:color w:val="0000FF"/>
            <w:sz w:val="24"/>
            <w:szCs w:val="24"/>
            <w:u w:val="single"/>
            <w:lang w:eastAsia="en-US"/>
          </w:rPr>
          <w:t>Cármen</w:t>
        </w:r>
        <w:proofErr w:type="spellEnd"/>
        <w:r w:rsidRPr="005E4111">
          <w:rPr>
            <w:color w:val="0000FF"/>
            <w:sz w:val="24"/>
            <w:szCs w:val="24"/>
            <w:u w:val="single"/>
            <w:lang w:eastAsia="en-US"/>
          </w:rPr>
          <w:t xml:space="preserve"> Lúcia, julgamento virtual finalizado em 14.09.2026 (segunda-feira), às 23:59</w:t>
        </w:r>
      </w:hyperlink>
    </w:p>
    <w:p w14:paraId="79060DBA" w14:textId="77777777" w:rsidR="000B6F9B" w:rsidRPr="005E4111" w:rsidRDefault="000B6F9B" w:rsidP="005E4111">
      <w:pPr>
        <w:autoSpaceDE w:val="0"/>
        <w:autoSpaceDN w:val="0"/>
        <w:adjustRightInd w:val="0"/>
        <w:spacing w:line="360" w:lineRule="auto"/>
        <w:rPr>
          <w:sz w:val="24"/>
          <w:szCs w:val="24"/>
        </w:rPr>
      </w:pP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3"/>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8" w:name="TURMAS"/>
      <w:r w:rsidR="00BA2E84">
        <w:rPr>
          <w:b/>
          <w:bCs/>
          <w:iCs/>
          <w:smallCaps/>
          <w:sz w:val="22"/>
          <w:szCs w:val="22"/>
        </w:rPr>
        <w:t>TURMAS</w:t>
      </w:r>
      <w:bookmarkEnd w:id="18"/>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9" w:name="INOVAÇÕES"/>
      <w:r w:rsidRPr="003172B4">
        <w:rPr>
          <w:b/>
          <w:bCs/>
          <w:iCs/>
          <w:smallCaps/>
          <w:sz w:val="22"/>
          <w:szCs w:val="22"/>
        </w:rPr>
        <w:t xml:space="preserve">INOVAÇÕES </w:t>
      </w:r>
      <w:bookmarkEnd w:id="19"/>
      <w:r w:rsidRPr="003172B4">
        <w:rPr>
          <w:b/>
          <w:bCs/>
          <w:iCs/>
          <w:smallCaps/>
          <w:sz w:val="22"/>
          <w:szCs w:val="22"/>
        </w:rPr>
        <w:t>NORMATIVAS STF</w:t>
      </w:r>
    </w:p>
    <w:p w14:paraId="1769974D" w14:textId="77777777" w:rsidR="00146C1B" w:rsidRDefault="00146C1B" w:rsidP="00DC61BE">
      <w:pPr>
        <w:jc w:val="left"/>
        <w:rPr>
          <w:color w:val="2E2E2E"/>
          <w:sz w:val="24"/>
          <w:szCs w:val="24"/>
        </w:rPr>
      </w:pPr>
    </w:p>
    <w:p w14:paraId="417AFE7A" w14:textId="14177A01" w:rsidR="00046C7B" w:rsidRDefault="00587156" w:rsidP="00DC61BE">
      <w:pPr>
        <w:jc w:val="left"/>
        <w:rPr>
          <w:color w:val="2E2E2E"/>
          <w:sz w:val="24"/>
          <w:szCs w:val="24"/>
        </w:rPr>
      </w:pPr>
      <w:r>
        <w:rPr>
          <w:color w:val="2E2E2E"/>
          <w:sz w:val="24"/>
          <w:szCs w:val="24"/>
        </w:rPr>
        <w:t>Não constam publicações no período.</w:t>
      </w:r>
    </w:p>
    <w:p w14:paraId="2905EFAF" w14:textId="77777777" w:rsidR="00F65342" w:rsidRDefault="00F65342" w:rsidP="00C1189D">
      <w:pPr>
        <w:jc w:val="right"/>
      </w:pPr>
    </w:p>
    <w:p w14:paraId="25AB96AF" w14:textId="5626C950"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91"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lastRenderedPageBreak/>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94"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95"/>
      <w:footerReference w:type="even" r:id="rId96"/>
      <w:footerReference w:type="default" r:id="rId97"/>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FB21" w14:textId="77777777" w:rsidR="006F2EF6" w:rsidRDefault="006F2EF6">
      <w:r>
        <w:separator/>
      </w:r>
    </w:p>
  </w:endnote>
  <w:endnote w:type="continuationSeparator" w:id="0">
    <w:p w14:paraId="586415A3" w14:textId="77777777" w:rsidR="006F2EF6" w:rsidRDefault="006F2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72709" w14:textId="77777777" w:rsidR="006F2EF6" w:rsidRDefault="006F2EF6">
      <w:r>
        <w:separator/>
      </w:r>
    </w:p>
  </w:footnote>
  <w:footnote w:type="continuationSeparator" w:id="0">
    <w:p w14:paraId="220BE581" w14:textId="77777777" w:rsidR="006F2EF6" w:rsidRDefault="006F2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33E"/>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6F9B"/>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BA5"/>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0F61"/>
    <w:rsid w:val="001314EF"/>
    <w:rsid w:val="00132105"/>
    <w:rsid w:val="00132C34"/>
    <w:rsid w:val="00132C3F"/>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5BA"/>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17704"/>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6B9"/>
    <w:rsid w:val="002A08C9"/>
    <w:rsid w:val="002A1B61"/>
    <w:rsid w:val="002A1BD8"/>
    <w:rsid w:val="002A2DC2"/>
    <w:rsid w:val="002A3880"/>
    <w:rsid w:val="002A449E"/>
    <w:rsid w:val="002A4672"/>
    <w:rsid w:val="002A4A1C"/>
    <w:rsid w:val="002A4F07"/>
    <w:rsid w:val="002A72AD"/>
    <w:rsid w:val="002A797F"/>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4C47"/>
    <w:rsid w:val="003454FB"/>
    <w:rsid w:val="00345A2F"/>
    <w:rsid w:val="00345A76"/>
    <w:rsid w:val="00345E61"/>
    <w:rsid w:val="00345EE3"/>
    <w:rsid w:val="0034601F"/>
    <w:rsid w:val="00346326"/>
    <w:rsid w:val="0034680B"/>
    <w:rsid w:val="00346936"/>
    <w:rsid w:val="00346DFE"/>
    <w:rsid w:val="00346F5B"/>
    <w:rsid w:val="003470F9"/>
    <w:rsid w:val="003478CE"/>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5FEC"/>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A22"/>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89D"/>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20F"/>
    <w:rsid w:val="00411575"/>
    <w:rsid w:val="0041159F"/>
    <w:rsid w:val="0041180A"/>
    <w:rsid w:val="00411D33"/>
    <w:rsid w:val="004133BE"/>
    <w:rsid w:val="00413B5C"/>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42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567"/>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1EC"/>
    <w:rsid w:val="00584908"/>
    <w:rsid w:val="0058500B"/>
    <w:rsid w:val="00585412"/>
    <w:rsid w:val="00586013"/>
    <w:rsid w:val="00586768"/>
    <w:rsid w:val="00587156"/>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64E"/>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111"/>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0B1"/>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2EF6"/>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661"/>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787"/>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B71"/>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B74"/>
    <w:rsid w:val="00A81CB7"/>
    <w:rsid w:val="00A8376A"/>
    <w:rsid w:val="00A8441B"/>
    <w:rsid w:val="00A849DE"/>
    <w:rsid w:val="00A852AF"/>
    <w:rsid w:val="00A857F1"/>
    <w:rsid w:val="00A85D72"/>
    <w:rsid w:val="00A85ED6"/>
    <w:rsid w:val="00A870FF"/>
    <w:rsid w:val="00A8729C"/>
    <w:rsid w:val="00A87C93"/>
    <w:rsid w:val="00A900DA"/>
    <w:rsid w:val="00A90254"/>
    <w:rsid w:val="00A9036F"/>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0121"/>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0E5"/>
    <w:rsid w:val="00C412B1"/>
    <w:rsid w:val="00C41A28"/>
    <w:rsid w:val="00C41DB0"/>
    <w:rsid w:val="00C427F6"/>
    <w:rsid w:val="00C4317F"/>
    <w:rsid w:val="00C431E9"/>
    <w:rsid w:val="00C433BA"/>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009"/>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8BE"/>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135"/>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047"/>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049"/>
    <w:rsid w:val="00E73179"/>
    <w:rsid w:val="00E73368"/>
    <w:rsid w:val="00E736A1"/>
    <w:rsid w:val="00E73B97"/>
    <w:rsid w:val="00E73BC1"/>
    <w:rsid w:val="00E73BE1"/>
    <w:rsid w:val="00E73EE5"/>
    <w:rsid w:val="00E74A57"/>
    <w:rsid w:val="00E74B62"/>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0E5C"/>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342"/>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08B"/>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15E"/>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portal.stf.jus.br/processos/detalhe.asp?incidente=7419079" TargetMode="External"/><Relationship Id="rId21" Type="http://schemas.openxmlformats.org/officeDocument/2006/relationships/hyperlink" Target="https://riopreto.siscam.com.br/arquivo?Id=616034" TargetMode="External"/><Relationship Id="rId42" Type="http://schemas.openxmlformats.org/officeDocument/2006/relationships/hyperlink" Target="https://www.planalto.gov.br/ccivil_03/leis/lcp/lcp64.htm" TargetMode="External"/><Relationship Id="rId47" Type="http://schemas.openxmlformats.org/officeDocument/2006/relationships/hyperlink" Target="https://redir.stf.jus.br/paginadorpub/paginador.jsp?docTP=AC&amp;docID=363314" TargetMode="External"/><Relationship Id="rId63" Type="http://schemas.openxmlformats.org/officeDocument/2006/relationships/hyperlink" Target="https://drive.google.com/file/d/1yhOwVk7EDGywsv1yRoTU3rfrmynsiCyG/view?usp=sharing" TargetMode="External"/><Relationship Id="rId68" Type="http://schemas.openxmlformats.org/officeDocument/2006/relationships/hyperlink" Target="https://redir.stf.jus.br/paginadorpub/paginador.jsp?docTP=TP&amp;docID=754015546" TargetMode="External"/><Relationship Id="rId84" Type="http://schemas.openxmlformats.org/officeDocument/2006/relationships/hyperlink" Target="https://www.al.mt.gov.br/norma-juridica/urn:lex:br;mato.grosso:estadual:lei.ordinaria:1998-12-30;7098" TargetMode="External"/><Relationship Id="rId89" Type="http://schemas.openxmlformats.org/officeDocument/2006/relationships/hyperlink" Target="https://redir.stf.jus.br/paginadorpub/paginador.jsp?docTP=TP&amp;docID=797264754" TargetMode="External"/><Relationship Id="rId16" Type="http://schemas.openxmlformats.org/officeDocument/2006/relationships/hyperlink" Target="https://portal.stf.jus.br/processos/detalhe.asp?incidente=7254397" TargetMode="External"/><Relationship Id="rId11" Type="http://schemas.openxmlformats.org/officeDocument/2006/relationships/hyperlink" Target="https://portal.stf.jus.br/processos/detalhe.asp?incidente=7419079" TargetMode="External"/><Relationship Id="rId32" Type="http://schemas.openxmlformats.org/officeDocument/2006/relationships/hyperlink" Target="https://www.planalto.gov.br/ccivil_03/constituicao/constituicao.htm" TargetMode="External"/><Relationship Id="rId37" Type="http://schemas.openxmlformats.org/officeDocument/2006/relationships/hyperlink" Target="https://www3.alerj.rj.gov.br/lotus_notes/default.asp?id=53&amp;url=L2NvbnRsZWkubnNmL2IyNGEyZGE1YTA3Nzg0N2MwMzI1NjRmNDAwNWQ0YmYyL2E2Mjc3OWE4MmY2YTVmZmIwMzI1OGQyYzAwNDlhMzdkP09wZW5Eb2N1bWVudA==" TargetMode="External"/><Relationship Id="rId53" Type="http://schemas.openxmlformats.org/officeDocument/2006/relationships/hyperlink" Target="https://portal.stf.jus.br/processos/detalhe.asp?incidente=7544463"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redir.stf.jus.br/paginadorpub/paginador.jsp?docTP=TP&amp;docID=14595775" TargetMode="External"/><Relationship Id="rId79" Type="http://schemas.openxmlformats.org/officeDocument/2006/relationships/hyperlink" Target="https://portal.stf.jus.br/processos/detalhe.asp?incidente=6826100" TargetMode="External"/><Relationship Id="rId5" Type="http://schemas.openxmlformats.org/officeDocument/2006/relationships/webSettings" Target="webSettings.xml"/><Relationship Id="rId90" Type="http://schemas.openxmlformats.org/officeDocument/2006/relationships/hyperlink" Target="https://portal.stf.jus.br/processos/detalhe.asp?incidente=7254397" TargetMode="External"/><Relationship Id="rId95" Type="http://schemas.openxmlformats.org/officeDocument/2006/relationships/header" Target="header1.xml"/><Relationship Id="rId22" Type="http://schemas.openxmlformats.org/officeDocument/2006/relationships/hyperlink" Target="https://redir.stf.jus.br/paginadorpub/paginador.jsp?docTP=TP&amp;docID=767788171" TargetMode="External"/><Relationship Id="rId27" Type="http://schemas.openxmlformats.org/officeDocument/2006/relationships/hyperlink" Target="https://drive.google.com/file/d/1ETRVd3mwkvqDCX1hHyBEIDKBwWdfPyxI/view?usp=sharing" TargetMode="External"/><Relationship Id="rId43" Type="http://schemas.openxmlformats.org/officeDocument/2006/relationships/hyperlink" Target="https://www.planalto.gov.br/ccivil_03/leis/lcp/lcp135.htm" TargetMode="External"/><Relationship Id="rId48" Type="http://schemas.openxmlformats.org/officeDocument/2006/relationships/hyperlink" Target="https://redir.stf.jus.br/paginadorpub/paginador.jsp?docTP=AC&amp;docID=629754" TargetMode="External"/><Relationship Id="rId64" Type="http://schemas.openxmlformats.org/officeDocument/2006/relationships/hyperlink" Target="http://portal.stf.jus.br/hotsites/agenda-2030/index.html" TargetMode="External"/><Relationship Id="rId69" Type="http://schemas.openxmlformats.org/officeDocument/2006/relationships/hyperlink" Target="https://portal.stf.jus.br/jurisprudenciaRepercussao/tema.asp?num=874" TargetMode="External"/><Relationship Id="rId80" Type="http://schemas.openxmlformats.org/officeDocument/2006/relationships/hyperlink" Target="https://portal.stf.jus.br/processos/detalhe.asp?incidente=6867284" TargetMode="External"/><Relationship Id="rId85" Type="http://schemas.openxmlformats.org/officeDocument/2006/relationships/hyperlink" Target="https://app1.sefaz.mt.gov.br/sistema/legislacao/legislacaotribut.nsf/07fa81bed2760c6b84256710004d3940/42abb08790833f6d84257ca200448229?OpenDocument" TargetMode="External"/><Relationship Id="rId3" Type="http://schemas.openxmlformats.org/officeDocument/2006/relationships/styles" Target="styles.xml"/><Relationship Id="rId12" Type="http://schemas.openxmlformats.org/officeDocument/2006/relationships/hyperlink" Target="https://portal.stf.jus.br/processos/detalhe.asp?incidente=7128831" TargetMode="External"/><Relationship Id="rId17" Type="http://schemas.openxmlformats.org/officeDocument/2006/relationships/hyperlink" Target="https://portal.stf.jus.br/processos/detalhe.asp?incidente=7368542" TargetMode="External"/><Relationship Id="rId25" Type="http://schemas.openxmlformats.org/officeDocument/2006/relationships/hyperlink" Target="https://riopreto.siscam.com.br/arquivo?Id=616034" TargetMode="External"/><Relationship Id="rId33" Type="http://schemas.openxmlformats.org/officeDocument/2006/relationships/hyperlink" Target="https://redir.stf.jus.br/paginadorpub/paginador.jsp?docTP=AC&amp;docID=621827" TargetMode="External"/><Relationship Id="rId38" Type="http://schemas.openxmlformats.org/officeDocument/2006/relationships/hyperlink" Target="https://portal.stf.jus.br/processos/detalhe.asp?incidente=7419079" TargetMode="External"/><Relationship Id="rId46" Type="http://schemas.openxmlformats.org/officeDocument/2006/relationships/hyperlink" Target="https://redir.stf.jus.br/paginadorpub/paginador.jsp?docTP=TP&amp;docID=2257978" TargetMode="External"/><Relationship Id="rId59" Type="http://schemas.openxmlformats.org/officeDocument/2006/relationships/hyperlink" Target="https://redir.stf.jus.br/paginadorpub/paginador.jsp?docTP=TP&amp;docID=749168081" TargetMode="External"/><Relationship Id="rId67" Type="http://schemas.openxmlformats.org/officeDocument/2006/relationships/hyperlink" Target="https://www.planalto.gov.br/ccivil_03/constituicao/constituicao.htm" TargetMode="External"/><Relationship Id="rId20" Type="http://schemas.openxmlformats.org/officeDocument/2006/relationships/hyperlink" Target="https://portal.stf.jus.br/hotsites/agenda-2030/index.html" TargetMode="External"/><Relationship Id="rId41" Type="http://schemas.openxmlformats.org/officeDocument/2006/relationships/hyperlink" Target="http://portal.stf.jus.br/hotsites/agenda-2030/index.html" TargetMode="External"/><Relationship Id="rId54" Type="http://schemas.openxmlformats.org/officeDocument/2006/relationships/hyperlink" Target="https://drive.google.com/file/d/11MtoqcwhTA0gJSsdeZAyIfnQmaZfhccB/view?usp=sharing" TargetMode="External"/><Relationship Id="rId62" Type="http://schemas.openxmlformats.org/officeDocument/2006/relationships/hyperlink" Target="https://portal.stf.jus.br/processos/detalhe.asp?incidente=6867284" TargetMode="External"/><Relationship Id="rId70" Type="http://schemas.openxmlformats.org/officeDocument/2006/relationships/hyperlink" Target="https://redir.stf.jus.br/paginadorpub/paginador.jsp?docTP=TP&amp;docID=6744125" TargetMode="External"/><Relationship Id="rId75" Type="http://schemas.openxmlformats.org/officeDocument/2006/relationships/hyperlink" Target="https://redir.stf.jus.br/paginadorpub/paginador.jsp?docTP=AC&amp;docID=261045" TargetMode="External"/><Relationship Id="rId83" Type="http://schemas.openxmlformats.org/officeDocument/2006/relationships/hyperlink" Target="http://portal.stf.jus.br/hotsites/agenda-2030/index.html" TargetMode="External"/><Relationship Id="rId88" Type="http://schemas.openxmlformats.org/officeDocument/2006/relationships/hyperlink" Target="https://redir.stf.jus.br/paginadorpub/paginador.jsp?docTP=TP&amp;docID=759632154" TargetMode="External"/><Relationship Id="rId91" Type="http://schemas.openxmlformats.org/officeDocument/2006/relationships/hyperlink" Target="https://www.stf.jus.br/arquivo/cms/informativoSTF/anexo/Informativo_Dados/Dados_InformativosSTF.xlsx"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rtal.stf.jus.br/processos/detalhe.asp?incidente=6867284" TargetMode="External"/><Relationship Id="rId23" Type="http://schemas.openxmlformats.org/officeDocument/2006/relationships/hyperlink" Target="https://redir.stf.jus.br/paginadorpub/paginador.jsp?docTP=TP&amp;docID=14713515" TargetMode="External"/><Relationship Id="rId28" Type="http://schemas.openxmlformats.org/officeDocument/2006/relationships/image" Target="media/image2.png"/><Relationship Id="rId36" Type="http://schemas.openxmlformats.org/officeDocument/2006/relationships/hyperlink" Target="https://redir.stf.jus.br/paginadorpub/paginador.jsp?docTP=AC&amp;docID=409294" TargetMode="External"/><Relationship Id="rId49" Type="http://schemas.openxmlformats.org/officeDocument/2006/relationships/hyperlink" Target="https://portal.stf.jus.br/jurisprudenciaRepercussao/verAndamentoProcesso.asp?incidente=4003780&amp;numeroProcesso=633703&amp;classeProcesso=RE&amp;numeroTema=387" TargetMode="External"/><Relationship Id="rId57" Type="http://schemas.openxmlformats.org/officeDocument/2006/relationships/hyperlink" Target="https://www.tse.jus.br/legislacao/compilada/res/2021/resolucao-no-23-662-de-18-de-novembro-2021" TargetMode="External"/><Relationship Id="rId10" Type="http://schemas.openxmlformats.org/officeDocument/2006/relationships/hyperlink" Target="https://portal.stf.jus.br/processos/detalhe.asp?incidente=7368542" TargetMode="External"/><Relationship Id="rId31" Type="http://schemas.openxmlformats.org/officeDocument/2006/relationships/hyperlink" Target="https://www3.alerj.rj.gov.br/lotus_notes/default.asp?id=53&amp;url=L2NvbnRsZWkubnNmL2IyNGEyZGE1YTA3Nzg0N2MwMzI1NjRmNDAwNWQ0YmYyL2E2Mjc3OWE4MmY2YTVmZmIwMzI1OGQyYzAwNDlhMzdkP09wZW5Eb2N1bWVudA==" TargetMode="External"/><Relationship Id="rId44" Type="http://schemas.openxmlformats.org/officeDocument/2006/relationships/hyperlink" Target="https://redir.stf.jus.br/paginadorpub/paginador.jsp?docTP=TP&amp;docID=2243342" TargetMode="External"/><Relationship Id="rId52" Type="http://schemas.openxmlformats.org/officeDocument/2006/relationships/hyperlink" Target="https://portal.stf.jus.br/processos/detalhe.asp?incidente=7128831" TargetMode="External"/><Relationship Id="rId60" Type="http://schemas.openxmlformats.org/officeDocument/2006/relationships/hyperlink" Target="https://redir.stf.jus.br/paginadorpub/paginador.jsp?docTP=TP&amp;docID=752437787" TargetMode="External"/><Relationship Id="rId65" Type="http://schemas.openxmlformats.org/officeDocument/2006/relationships/hyperlink" Target="https://www.planalto.gov.br/ccivil_03/leis/l5172compilado.htm" TargetMode="External"/><Relationship Id="rId73" Type="http://schemas.openxmlformats.org/officeDocument/2006/relationships/hyperlink" Target="https://portal.stf.jus.br/jurisprudenciaRepercussao/tema.asp?num=346" TargetMode="External"/><Relationship Id="rId78" Type="http://schemas.openxmlformats.org/officeDocument/2006/relationships/hyperlink" Target="https://www.planalto.gov.br/ccivil_03/leis/l9430.htm" TargetMode="External"/><Relationship Id="rId81" Type="http://schemas.openxmlformats.org/officeDocument/2006/relationships/hyperlink" Target="https://portal.stf.jus.br/processos/detalhe.asp?incidente=7254397" TargetMode="External"/><Relationship Id="rId86" Type="http://schemas.openxmlformats.org/officeDocument/2006/relationships/hyperlink" Target="https://redir.stf.jus.br/paginadorpub/paginador.jsp?docTP=TP&amp;docID=776865856" TargetMode="External"/><Relationship Id="rId94" Type="http://schemas.openxmlformats.org/officeDocument/2006/relationships/hyperlink" Target="mailto:codi@stf.jus.br?subject=Informativo%20STF"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processos/detalhe.asp?incidente=7544463" TargetMode="External"/><Relationship Id="rId18" Type="http://schemas.openxmlformats.org/officeDocument/2006/relationships/hyperlink" Target="https://drive.google.com/file/d/1qi3j_wBh6ctfcpvzDYPSv4oz7ig9QfVZ/view?usp=sharing" TargetMode="External"/><Relationship Id="rId39" Type="http://schemas.openxmlformats.org/officeDocument/2006/relationships/hyperlink" Target="https://portal.stf.jus.br/processos/detalhe.asp?incidente=7128831" TargetMode="External"/><Relationship Id="rId34" Type="http://schemas.openxmlformats.org/officeDocument/2006/relationships/hyperlink" Target="https://redir.stf.jus.br/paginadorpub/paginador.jsp?docTP=TP&amp;docID=752292117" TargetMode="External"/><Relationship Id="rId50" Type="http://schemas.openxmlformats.org/officeDocument/2006/relationships/hyperlink" Target="https://www.planalto.gov.br/ccivil_03/leis/lcp/lcp64.htm" TargetMode="External"/><Relationship Id="rId55" Type="http://schemas.openxmlformats.org/officeDocument/2006/relationships/hyperlink" Target="http://portal.stf.jus.br/hotsites/agenda-2030/index.html" TargetMode="External"/><Relationship Id="rId76" Type="http://schemas.openxmlformats.org/officeDocument/2006/relationships/hyperlink" Target="https://redir.stf.jus.br/paginadorpub/paginador.jsp?docTP=TP&amp;docID=13649375" TargetMode="External"/><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redir.stf.jus.br/paginadorpub/paginador.jsp?docTP=TP&amp;docID=5244622" TargetMode="External"/><Relationship Id="rId92" Type="http://schemas.openxmlformats.org/officeDocument/2006/relationships/hyperlink" Target="https://portal.stf.jus.br/textos/verTexto.asp?servico=codi&amp;pagina=Plenario_Virtual" TargetMode="External"/><Relationship Id="rId2" Type="http://schemas.openxmlformats.org/officeDocument/2006/relationships/numbering" Target="numbering.xml"/><Relationship Id="rId29" Type="http://schemas.openxmlformats.org/officeDocument/2006/relationships/hyperlink" Target="http://portal.stf.jus.br/hotsites/agenda-2030/index.html" TargetMode="External"/><Relationship Id="rId24" Type="http://schemas.openxmlformats.org/officeDocument/2006/relationships/hyperlink" Target="https://redir.stf.jus.br/paginadorpub/paginador.jsp?docTP=TP&amp;docID=749520355" TargetMode="External"/><Relationship Id="rId40" Type="http://schemas.openxmlformats.org/officeDocument/2006/relationships/hyperlink" Target="https://drive.google.com/file/d/1tbqz8otTJLU68ViHRlzCf6dgcOkiiOBa/view?usp=sharing" TargetMode="External"/><Relationship Id="rId45" Type="http://schemas.openxmlformats.org/officeDocument/2006/relationships/hyperlink" Target="https://redir.stf.jus.br/paginadorpub/paginador.jsp?docTP=TP&amp;docID=2243411" TargetMode="External"/><Relationship Id="rId66" Type="http://schemas.openxmlformats.org/officeDocument/2006/relationships/hyperlink" Target="https://www.planalto.gov.br/ccivil_03/leis/l5172compilado.htm" TargetMode="External"/><Relationship Id="rId87" Type="http://schemas.openxmlformats.org/officeDocument/2006/relationships/hyperlink" Target="https://redir.stf.jus.br/paginadorpub/paginador.jsp?docTP=TP&amp;docID=778317893" TargetMode="External"/><Relationship Id="rId61" Type="http://schemas.openxmlformats.org/officeDocument/2006/relationships/hyperlink" Target="https://portal.stf.jus.br/processos/detalhe.asp?incidente=6826100" TargetMode="External"/><Relationship Id="rId82" Type="http://schemas.openxmlformats.org/officeDocument/2006/relationships/hyperlink" Target="https://drive.google.com/file/d/1e-8aLLqWEA0v22Q-AU2g7QaK56eVe-5_/view?usp=sharing" TargetMode="External"/><Relationship Id="rId19" Type="http://schemas.openxmlformats.org/officeDocument/2006/relationships/image" Target="media/image1.png"/><Relationship Id="rId14" Type="http://schemas.openxmlformats.org/officeDocument/2006/relationships/hyperlink" Target="https://portal.stf.jus.br/processos/detalhe.asp?incidente=6826100" TargetMode="External"/><Relationship Id="rId30" Type="http://schemas.openxmlformats.org/officeDocument/2006/relationships/hyperlink" Target="https://www.planalto.gov.br/ccivil_03/_ato2015-2018/2018/lei/l13675.htm" TargetMode="External"/><Relationship Id="rId35" Type="http://schemas.openxmlformats.org/officeDocument/2006/relationships/hyperlink" Target="https://www.planalto.gov.br/ccivil_03/constituicao/constituicao.htm" TargetMode="External"/><Relationship Id="rId56" Type="http://schemas.openxmlformats.org/officeDocument/2006/relationships/hyperlink" Target="https://www.tse.jus.br/legislacao/codigo-eleitoral/normas-editadas-pelo-tse/resolucao-no-23-571-de-29-de-maio-de-2018-2013-brasilia-df" TargetMode="External"/><Relationship Id="rId77" Type="http://schemas.openxmlformats.org/officeDocument/2006/relationships/hyperlink" Target="https://portal.stf.jus.br/jurisprudenciaRepercussao/tema.asp?num=829"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www.planalto.gov.br/ccivil_03/leis/lcp/Lcp135.htm" TargetMode="External"/><Relationship Id="rId72" Type="http://schemas.openxmlformats.org/officeDocument/2006/relationships/hyperlink" Target="https://redir.stf.jus.br/paginadorpub/paginador.jsp?docTP=TP&amp;docID=753727949" TargetMode="External"/><Relationship Id="rId93" Type="http://schemas.openxmlformats.org/officeDocument/2006/relationships/image" Target="media/image3.png"/><Relationship Id="rId98"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12</Pages>
  <Words>3857</Words>
  <Characters>31383</Characters>
  <Application>Microsoft Office Word</Application>
  <DocSecurity>0</DocSecurity>
  <Lines>615</Lines>
  <Paragraphs>206</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20</cp:revision>
  <cp:lastPrinted>2016-10-21T18:20:00Z</cp:lastPrinted>
  <dcterms:created xsi:type="dcterms:W3CDTF">2026-09-18T13:11:00Z</dcterms:created>
  <dcterms:modified xsi:type="dcterms:W3CDTF">2026-09-21T21:36:00Z</dcterms:modified>
</cp:coreProperties>
</file>