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37FA9B94" w:rsidR="003346D4" w:rsidRPr="003172B4" w:rsidRDefault="003346D4" w:rsidP="00B20C84">
      <w:pPr>
        <w:pStyle w:val="Ttulo8"/>
        <w:tabs>
          <w:tab w:val="clear" w:pos="284"/>
        </w:tabs>
        <w:jc w:val="center"/>
      </w:pPr>
      <w:r w:rsidRPr="003172B4">
        <w:t xml:space="preserve">Nº </w:t>
      </w:r>
      <w:r w:rsidR="001D1002">
        <w:t>1231</w:t>
      </w:r>
      <w:r w:rsidRPr="003172B4">
        <w:t>/202</w:t>
      </w:r>
      <w:r w:rsidR="00DA0B30">
        <w:t>6</w:t>
      </w:r>
    </w:p>
    <w:p w14:paraId="1F688DFA" w14:textId="77777777" w:rsidR="003346D4" w:rsidRPr="003172B4" w:rsidRDefault="003346D4" w:rsidP="003346D4"/>
    <w:p w14:paraId="091B6C4B" w14:textId="47684980" w:rsidR="003346D4" w:rsidRPr="003172B4" w:rsidRDefault="00F80E44" w:rsidP="00B20C84">
      <w:pPr>
        <w:pStyle w:val="Ttulo8"/>
        <w:tabs>
          <w:tab w:val="clear" w:pos="284"/>
        </w:tabs>
        <w:jc w:val="center"/>
      </w:pPr>
      <w:r w:rsidRPr="003172B4">
        <w:t>Data de divulgação:</w:t>
      </w:r>
      <w:r w:rsidR="003346D4" w:rsidRPr="003172B4">
        <w:t xml:space="preserve"> </w:t>
      </w:r>
      <w:r w:rsidR="000F3871">
        <w:t>05</w:t>
      </w:r>
      <w:r w:rsidR="00F9702B">
        <w:t xml:space="preserve"> </w:t>
      </w:r>
      <w:r w:rsidR="00C37594" w:rsidRPr="003172B4">
        <w:t xml:space="preserve">de </w:t>
      </w:r>
      <w:r w:rsidR="000F3871">
        <w:t>outubro</w:t>
      </w:r>
      <w:r w:rsidR="006F26B3">
        <w:t xml:space="preserve"> </w:t>
      </w:r>
      <w:r w:rsidR="003346D4" w:rsidRPr="003172B4">
        <w:t>de 20</w:t>
      </w:r>
      <w:r w:rsidR="008D7621" w:rsidRPr="003172B4">
        <w:t>2</w:t>
      </w:r>
      <w:r w:rsidR="00DA0B30">
        <w:t>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50E743EE"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1D1002">
        <w:rPr>
          <w:b w:val="0"/>
          <w:sz w:val="16"/>
          <w:szCs w:val="16"/>
        </w:rPr>
        <w:t>1231</w:t>
      </w:r>
      <w:r w:rsidRPr="003172B4">
        <w:rPr>
          <w:b w:val="0"/>
          <w:sz w:val="16"/>
          <w:szCs w:val="16"/>
        </w:rPr>
        <w:t>/202</w:t>
      </w:r>
      <w:r w:rsidR="00DA0B30">
        <w:rPr>
          <w:b w:val="0"/>
          <w:sz w:val="16"/>
          <w:szCs w:val="16"/>
        </w:rPr>
        <w:t>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0F3871">
        <w:rPr>
          <w:b w:val="0"/>
          <w:sz w:val="16"/>
          <w:szCs w:val="16"/>
        </w:rPr>
        <w:t>05</w:t>
      </w:r>
      <w:r w:rsidR="00CA6E74">
        <w:rPr>
          <w:b w:val="0"/>
          <w:sz w:val="16"/>
          <w:szCs w:val="16"/>
        </w:rPr>
        <w:t xml:space="preserve"> </w:t>
      </w:r>
      <w:r w:rsidR="00D805B8" w:rsidRPr="00D805B8">
        <w:rPr>
          <w:b w:val="0"/>
          <w:sz w:val="16"/>
          <w:szCs w:val="16"/>
        </w:rPr>
        <w:t>de</w:t>
      </w:r>
      <w:r w:rsidR="00F9702B">
        <w:rPr>
          <w:b w:val="0"/>
          <w:sz w:val="16"/>
          <w:szCs w:val="16"/>
        </w:rPr>
        <w:t xml:space="preserve"> </w:t>
      </w:r>
      <w:r w:rsidR="000F3871">
        <w:rPr>
          <w:b w:val="0"/>
          <w:sz w:val="16"/>
          <w:szCs w:val="16"/>
        </w:rPr>
        <w:t xml:space="preserve">outubro </w:t>
      </w:r>
      <w:r w:rsidR="00D805B8" w:rsidRPr="00D805B8">
        <w:rPr>
          <w:b w:val="0"/>
          <w:sz w:val="16"/>
          <w:szCs w:val="16"/>
        </w:rPr>
        <w:t>de 202</w:t>
      </w:r>
      <w:r w:rsidR="00DA0B30">
        <w:rPr>
          <w:b w:val="0"/>
          <w:sz w:val="16"/>
          <w:szCs w:val="16"/>
        </w:rPr>
        <w:t>6</w:t>
      </w:r>
      <w:r w:rsidRPr="003172B4">
        <w:rPr>
          <w:b w:val="0"/>
          <w:sz w:val="16"/>
          <w:szCs w:val="16"/>
        </w:rPr>
        <w:t>.</w:t>
      </w:r>
    </w:p>
    <w:p w14:paraId="1819FCFD" w14:textId="3BA7C04E" w:rsidR="003346D4" w:rsidRPr="003172B4" w:rsidRDefault="000F3871" w:rsidP="003346D4">
      <w:pPr>
        <w:rPr>
          <w:sz w:val="20"/>
          <w:szCs w:val="20"/>
        </w:rPr>
      </w:pPr>
      <w:r>
        <w:rPr>
          <w:sz w:val="20"/>
          <w:szCs w:val="20"/>
        </w:rPr>
        <w:t>05</w:t>
      </w: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09AF6941"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Administrativo</w:t>
      </w:r>
    </w:p>
    <w:p w14:paraId="133C5FAB" w14:textId="73FC3F0D" w:rsidR="00181501" w:rsidRPr="00181501" w:rsidRDefault="00181501" w:rsidP="00181501">
      <w:pPr>
        <w:spacing w:line="360" w:lineRule="auto"/>
        <w:ind w:left="1418"/>
        <w:rPr>
          <w:sz w:val="24"/>
          <w:szCs w:val="24"/>
          <w:lang w:eastAsia="en-US"/>
        </w:rPr>
      </w:pPr>
      <w:r w:rsidRPr="00181501">
        <w:rPr>
          <w:sz w:val="24"/>
          <w:szCs w:val="24"/>
          <w:lang w:eastAsia="en-US"/>
        </w:rPr>
        <w:t xml:space="preserve">Licença-Maternidade; Gestantes </w:t>
      </w:r>
      <w:r>
        <w:rPr>
          <w:sz w:val="24"/>
          <w:szCs w:val="24"/>
          <w:lang w:eastAsia="en-US"/>
        </w:rPr>
        <w:t>e</w:t>
      </w:r>
      <w:r w:rsidRPr="00181501">
        <w:rPr>
          <w:sz w:val="24"/>
          <w:szCs w:val="24"/>
          <w:lang w:eastAsia="en-US"/>
        </w:rPr>
        <w:t xml:space="preserve"> Adotantes; Diferentes Vínculos Laborais; Critérios </w:t>
      </w:r>
      <w:r>
        <w:rPr>
          <w:sz w:val="24"/>
          <w:szCs w:val="24"/>
          <w:lang w:eastAsia="en-US"/>
        </w:rPr>
        <w:t>e</w:t>
      </w:r>
      <w:r w:rsidRPr="00181501">
        <w:rPr>
          <w:sz w:val="24"/>
          <w:szCs w:val="24"/>
          <w:lang w:eastAsia="en-US"/>
        </w:rPr>
        <w:t xml:space="preserve"> Prazos; Uniformização</w:t>
      </w:r>
    </w:p>
    <w:p w14:paraId="37D75211" w14:textId="2A53EB61" w:rsidR="00AD256D" w:rsidRPr="000F3871" w:rsidRDefault="00181501" w:rsidP="00181501">
      <w:pPr>
        <w:spacing w:line="360" w:lineRule="auto"/>
        <w:ind w:left="2126"/>
        <w:rPr>
          <w:color w:val="000000" w:themeColor="text1"/>
        </w:rPr>
      </w:pPr>
      <w:hyperlink w:anchor="Licença" w:history="1">
        <w:r w:rsidRPr="00181501">
          <w:rPr>
            <w:rStyle w:val="Hyperlink"/>
            <w:b/>
            <w:bCs/>
            <w:i/>
            <w:iCs/>
            <w:color w:val="auto"/>
            <w:sz w:val="24"/>
            <w:szCs w:val="24"/>
            <w:u w:val="none"/>
          </w:rPr>
          <w:t>Licença-maternidade: uniformização de prazos para as mães biológicas e adotantes em diferentes regimes de trabalho</w:t>
        </w:r>
      </w:hyperlink>
      <w:r w:rsidRPr="00181501">
        <w:rPr>
          <w:b/>
          <w:bCs/>
          <w:sz w:val="24"/>
          <w:szCs w:val="24"/>
        </w:rPr>
        <w:t xml:space="preserve"> </w:t>
      </w:r>
      <w:r w:rsidRPr="002137C1">
        <w:rPr>
          <w:sz w:val="24"/>
          <w:szCs w:val="24"/>
        </w:rPr>
        <w:t>–</w:t>
      </w:r>
      <w:r w:rsidRPr="00181501">
        <w:rPr>
          <w:b/>
          <w:bCs/>
          <w:sz w:val="24"/>
          <w:szCs w:val="24"/>
        </w:rPr>
        <w:t xml:space="preserve"> </w:t>
      </w:r>
      <w:hyperlink r:id="rId10" w:history="1">
        <w:r w:rsidRPr="000F3871">
          <w:rPr>
            <w:color w:val="000000" w:themeColor="text1"/>
            <w:sz w:val="24"/>
            <w:szCs w:val="24"/>
          </w:rPr>
          <w:t>ADI 7.495/DF</w:t>
        </w:r>
      </w:hyperlink>
      <w:r w:rsidR="00AD256D" w:rsidRPr="000F3871">
        <w:rPr>
          <w:b/>
          <w:bCs/>
          <w:i/>
          <w:iCs/>
          <w:color w:val="000000" w:themeColor="text1"/>
          <w:sz w:val="24"/>
          <w:szCs w:val="24"/>
          <w:lang w:eastAsia="en-US"/>
        </w:rPr>
        <w:t xml:space="preserve"> </w:t>
      </w:r>
      <w:r w:rsidR="00AD256D" w:rsidRPr="000F3871">
        <w:rPr>
          <w:color w:val="000000" w:themeColor="text1"/>
        </w:rPr>
        <w:t xml:space="preserve"> </w:t>
      </w:r>
    </w:p>
    <w:p w14:paraId="0E03B226" w14:textId="6F8A971A" w:rsidR="001A13F0" w:rsidRPr="003C4979" w:rsidRDefault="001A13F0" w:rsidP="001A13F0">
      <w:pPr>
        <w:spacing w:line="360" w:lineRule="auto"/>
        <w:ind w:left="1418"/>
        <w:rPr>
          <w:sz w:val="24"/>
          <w:szCs w:val="24"/>
          <w:lang w:eastAsia="en-US"/>
        </w:rPr>
      </w:pPr>
      <w:r w:rsidRPr="001A13F0">
        <w:rPr>
          <w:sz w:val="24"/>
          <w:szCs w:val="24"/>
          <w:lang w:eastAsia="en-US"/>
        </w:rPr>
        <w:t xml:space="preserve">Polícia Penal; Agentes </w:t>
      </w:r>
      <w:r>
        <w:rPr>
          <w:sz w:val="24"/>
          <w:szCs w:val="24"/>
          <w:lang w:eastAsia="en-US"/>
        </w:rPr>
        <w:t>d</w:t>
      </w:r>
      <w:r w:rsidRPr="001A13F0">
        <w:rPr>
          <w:sz w:val="24"/>
          <w:szCs w:val="24"/>
          <w:lang w:eastAsia="en-US"/>
        </w:rPr>
        <w:t>e Segurança Penitenciários; Contrato Temporário</w:t>
      </w:r>
    </w:p>
    <w:p w14:paraId="3ED620F7" w14:textId="7022508D" w:rsidR="001A13F0" w:rsidRDefault="001A13F0" w:rsidP="001A13F0">
      <w:pPr>
        <w:spacing w:line="360" w:lineRule="auto"/>
        <w:ind w:left="2126"/>
      </w:pPr>
      <w:hyperlink w:anchor="penitenciário" w:history="1">
        <w:r w:rsidRPr="00667A5E">
          <w:rPr>
            <w:rStyle w:val="Hyperlink"/>
            <w:b/>
            <w:bCs/>
            <w:i/>
            <w:iCs/>
            <w:color w:val="auto"/>
            <w:sz w:val="24"/>
            <w:szCs w:val="24"/>
            <w:u w:val="none"/>
            <w:lang w:eastAsia="en-US"/>
          </w:rPr>
          <w:t>Contra</w:t>
        </w:r>
        <w:r w:rsidRPr="00667A5E">
          <w:rPr>
            <w:rStyle w:val="Hyperlink"/>
            <w:b/>
            <w:bCs/>
            <w:i/>
            <w:iCs/>
            <w:color w:val="auto"/>
            <w:sz w:val="24"/>
            <w:szCs w:val="24"/>
            <w:u w:val="none"/>
            <w:lang w:eastAsia="en-US"/>
          </w:rPr>
          <w:t>t</w:t>
        </w:r>
        <w:r w:rsidRPr="00667A5E">
          <w:rPr>
            <w:rStyle w:val="Hyperlink"/>
            <w:b/>
            <w:bCs/>
            <w:i/>
            <w:iCs/>
            <w:color w:val="auto"/>
            <w:sz w:val="24"/>
            <w:szCs w:val="24"/>
            <w:u w:val="none"/>
            <w:lang w:eastAsia="en-US"/>
          </w:rPr>
          <w:t>ação de agentes temporários para o desempenho de atribuições da Polícia Penal</w:t>
        </w:r>
      </w:hyperlink>
      <w:r>
        <w:t xml:space="preserve"> </w:t>
      </w:r>
      <w:r w:rsidRPr="002137C1">
        <w:rPr>
          <w:sz w:val="24"/>
          <w:szCs w:val="24"/>
          <w:lang w:eastAsia="en-US"/>
        </w:rPr>
        <w:t>–</w:t>
      </w:r>
      <w:r w:rsidRPr="0043161C">
        <w:rPr>
          <w:sz w:val="24"/>
          <w:szCs w:val="24"/>
          <w:lang w:eastAsia="en-US"/>
        </w:rPr>
        <w:t xml:space="preserve"> </w:t>
      </w:r>
      <w:hyperlink r:id="rId11" w:history="1">
        <w:r w:rsidRPr="001A13F0">
          <w:rPr>
            <w:rStyle w:val="Hyperlink"/>
            <w:color w:val="auto"/>
            <w:sz w:val="24"/>
            <w:szCs w:val="24"/>
            <w:u w:val="none"/>
          </w:rPr>
          <w:t>ADI 7.069/GO</w:t>
        </w:r>
      </w:hyperlink>
    </w:p>
    <w:p w14:paraId="353CA051" w14:textId="77777777" w:rsidR="00AD256D" w:rsidRDefault="00AD256D" w:rsidP="00AD256D">
      <w:pPr>
        <w:spacing w:line="360" w:lineRule="auto"/>
        <w:ind w:left="709"/>
        <w:rPr>
          <w:b/>
          <w:sz w:val="24"/>
          <w:szCs w:val="24"/>
          <w:shd w:val="clear" w:color="auto" w:fill="FFFFFF"/>
          <w:lang w:eastAsia="en-US"/>
        </w:rPr>
      </w:pPr>
      <w:r w:rsidRPr="003C4979">
        <w:rPr>
          <w:b/>
          <w:sz w:val="24"/>
          <w:szCs w:val="24"/>
          <w:shd w:val="clear" w:color="auto" w:fill="FFFFFF"/>
          <w:lang w:eastAsia="en-US"/>
        </w:rPr>
        <w:t>Direito Tributário</w:t>
      </w:r>
    </w:p>
    <w:p w14:paraId="002DB78E" w14:textId="77777777" w:rsidR="00E73E8B" w:rsidRPr="003C4979" w:rsidRDefault="00E73E8B" w:rsidP="00E73E8B">
      <w:pPr>
        <w:spacing w:line="360" w:lineRule="auto"/>
        <w:ind w:left="1418"/>
        <w:rPr>
          <w:sz w:val="24"/>
          <w:szCs w:val="24"/>
          <w:lang w:eastAsia="en-US"/>
        </w:rPr>
      </w:pPr>
      <w:r w:rsidRPr="001638E7">
        <w:rPr>
          <w:sz w:val="24"/>
          <w:szCs w:val="24"/>
          <w:lang w:eastAsia="en-US"/>
        </w:rPr>
        <w:t>Impostos; ICMS; Base de Cálculo; Energia Elétrica</w:t>
      </w:r>
    </w:p>
    <w:p w14:paraId="74E76F04" w14:textId="77777777" w:rsidR="00E73E8B" w:rsidRPr="001638E7" w:rsidRDefault="00E73E8B" w:rsidP="00E73E8B">
      <w:pPr>
        <w:spacing w:line="360" w:lineRule="auto"/>
        <w:ind w:left="2126"/>
      </w:pPr>
      <w:hyperlink w:anchor="t1113RG" w:history="1">
        <w:r w:rsidRPr="00410E61">
          <w:rPr>
            <w:rStyle w:val="Hyperlink"/>
            <w:b/>
            <w:bCs/>
            <w:i/>
            <w:iCs/>
            <w:color w:val="auto"/>
            <w:sz w:val="24"/>
            <w:szCs w:val="24"/>
            <w:u w:val="none"/>
            <w:lang w:eastAsia="en-US"/>
          </w:rPr>
          <w:t>ICMS: i</w:t>
        </w:r>
        <w:r w:rsidRPr="00410E61">
          <w:rPr>
            <w:rStyle w:val="Hyperlink"/>
            <w:b/>
            <w:bCs/>
            <w:i/>
            <w:iCs/>
            <w:color w:val="auto"/>
            <w:sz w:val="24"/>
            <w:szCs w:val="24"/>
            <w:u w:val="none"/>
            <w:lang w:eastAsia="en-US"/>
          </w:rPr>
          <w:t>n</w:t>
        </w:r>
        <w:r w:rsidRPr="00410E61">
          <w:rPr>
            <w:rStyle w:val="Hyperlink"/>
            <w:b/>
            <w:bCs/>
            <w:i/>
            <w:iCs/>
            <w:color w:val="auto"/>
            <w:sz w:val="24"/>
            <w:szCs w:val="24"/>
            <w:u w:val="none"/>
            <w:lang w:eastAsia="en-US"/>
          </w:rPr>
          <w:t>clusão, na base de cálculo do imposto sobre energia elétrica, do valor da subvenção econômica da Lei nº 10.604/2002</w:t>
        </w:r>
      </w:hyperlink>
      <w:r w:rsidRPr="00410E61">
        <w:rPr>
          <w:sz w:val="24"/>
          <w:szCs w:val="24"/>
        </w:rPr>
        <w:t xml:space="preserve"> </w:t>
      </w:r>
      <w:r w:rsidRPr="00206A85">
        <w:rPr>
          <w:sz w:val="24"/>
          <w:szCs w:val="24"/>
        </w:rPr>
        <w:t>–</w:t>
      </w:r>
      <w:r w:rsidRPr="001638E7">
        <w:rPr>
          <w:sz w:val="24"/>
          <w:szCs w:val="24"/>
        </w:rPr>
        <w:t xml:space="preserve"> </w:t>
      </w:r>
      <w:hyperlink r:id="rId12" w:history="1">
        <w:r w:rsidRPr="001638E7">
          <w:rPr>
            <w:rStyle w:val="Hyperlink"/>
            <w:color w:val="auto"/>
            <w:sz w:val="24"/>
            <w:szCs w:val="24"/>
            <w:u w:val="none"/>
          </w:rPr>
          <w:t>RE 990.115/SP</w:t>
        </w:r>
      </w:hyperlink>
      <w:r w:rsidRPr="001638E7">
        <w:rPr>
          <w:sz w:val="24"/>
          <w:szCs w:val="24"/>
        </w:rPr>
        <w:t xml:space="preserve"> (</w:t>
      </w:r>
      <w:hyperlink r:id="rId13" w:history="1">
        <w:r w:rsidRPr="001638E7">
          <w:rPr>
            <w:rStyle w:val="Hyperlink"/>
            <w:color w:val="auto"/>
            <w:sz w:val="24"/>
            <w:szCs w:val="24"/>
          </w:rPr>
          <w:t>Tema 1.113 RG</w:t>
        </w:r>
      </w:hyperlink>
      <w:r w:rsidRPr="001638E7">
        <w:rPr>
          <w:sz w:val="24"/>
          <w:szCs w:val="24"/>
        </w:rPr>
        <w:t>)</w:t>
      </w:r>
    </w:p>
    <w:p w14:paraId="0231C0D6" w14:textId="4BE90894" w:rsidR="0054604F" w:rsidRPr="003C4979" w:rsidRDefault="001C31BB" w:rsidP="0054604F">
      <w:pPr>
        <w:spacing w:line="360" w:lineRule="auto"/>
        <w:ind w:left="1418"/>
        <w:rPr>
          <w:sz w:val="24"/>
          <w:szCs w:val="24"/>
          <w:lang w:eastAsia="en-US"/>
        </w:rPr>
      </w:pPr>
      <w:r>
        <w:rPr>
          <w:bCs/>
          <w:sz w:val="24"/>
          <w:szCs w:val="24"/>
          <w:lang w:eastAsia="en-US"/>
        </w:rPr>
        <w:t xml:space="preserve">Impostos; </w:t>
      </w:r>
      <w:r w:rsidR="0054604F" w:rsidRPr="0054604F">
        <w:rPr>
          <w:bCs/>
          <w:sz w:val="24"/>
          <w:szCs w:val="24"/>
          <w:lang w:eastAsia="en-US"/>
        </w:rPr>
        <w:t xml:space="preserve">ICMS; Crédito Tributário; Incentivos Fiscais; Isenção; Revogação Unilateral; Convênio </w:t>
      </w:r>
      <w:r>
        <w:rPr>
          <w:bCs/>
          <w:sz w:val="24"/>
          <w:szCs w:val="24"/>
          <w:lang w:eastAsia="en-US"/>
        </w:rPr>
        <w:t>CONFAZ</w:t>
      </w:r>
      <w:r w:rsidR="0054604F" w:rsidRPr="0054604F">
        <w:rPr>
          <w:bCs/>
          <w:sz w:val="24"/>
          <w:szCs w:val="24"/>
          <w:lang w:eastAsia="en-US"/>
        </w:rPr>
        <w:t>; Quórum</w:t>
      </w:r>
    </w:p>
    <w:p w14:paraId="17B119D4" w14:textId="6191EA95" w:rsidR="0054604F" w:rsidRPr="0054604F" w:rsidRDefault="0054604F" w:rsidP="0054604F">
      <w:pPr>
        <w:spacing w:line="360" w:lineRule="auto"/>
        <w:ind w:left="2126"/>
      </w:pPr>
      <w:hyperlink w:anchor="confaz" w:history="1">
        <w:r w:rsidRPr="0054604F">
          <w:rPr>
            <w:rStyle w:val="Hyperlink"/>
            <w:b/>
            <w:bCs/>
            <w:i/>
            <w:iCs/>
            <w:color w:val="auto"/>
            <w:sz w:val="24"/>
            <w:szCs w:val="24"/>
            <w:u w:val="none"/>
            <w:lang w:eastAsia="en-US"/>
          </w:rPr>
          <w:t>ICMS: l</w:t>
        </w:r>
        <w:r w:rsidRPr="0054604F">
          <w:rPr>
            <w:rStyle w:val="Hyperlink"/>
            <w:b/>
            <w:bCs/>
            <w:i/>
            <w:iCs/>
            <w:color w:val="auto"/>
            <w:sz w:val="24"/>
            <w:szCs w:val="24"/>
            <w:u w:val="none"/>
            <w:lang w:eastAsia="en-US"/>
          </w:rPr>
          <w:t>i</w:t>
        </w:r>
        <w:r w:rsidRPr="0054604F">
          <w:rPr>
            <w:rStyle w:val="Hyperlink"/>
            <w:b/>
            <w:bCs/>
            <w:i/>
            <w:iCs/>
            <w:color w:val="auto"/>
            <w:sz w:val="24"/>
            <w:szCs w:val="24"/>
            <w:u w:val="none"/>
            <w:lang w:eastAsia="en-US"/>
          </w:rPr>
          <w:t>m</w:t>
        </w:r>
        <w:r w:rsidRPr="0054604F">
          <w:rPr>
            <w:rStyle w:val="Hyperlink"/>
            <w:b/>
            <w:bCs/>
            <w:i/>
            <w:iCs/>
            <w:color w:val="auto"/>
            <w:sz w:val="24"/>
            <w:szCs w:val="24"/>
            <w:u w:val="none"/>
            <w:lang w:eastAsia="en-US"/>
          </w:rPr>
          <w:t>i</w:t>
        </w:r>
        <w:r w:rsidRPr="0054604F">
          <w:rPr>
            <w:rStyle w:val="Hyperlink"/>
            <w:b/>
            <w:bCs/>
            <w:i/>
            <w:iCs/>
            <w:color w:val="auto"/>
            <w:sz w:val="24"/>
            <w:szCs w:val="24"/>
            <w:u w:val="none"/>
            <w:lang w:eastAsia="en-US"/>
          </w:rPr>
          <w:t>tação de benefícios fiscais no âmbito estadual</w:t>
        </w:r>
      </w:hyperlink>
      <w:r w:rsidRPr="0054604F">
        <w:rPr>
          <w:b/>
          <w:bCs/>
          <w:i/>
          <w:iCs/>
          <w:sz w:val="24"/>
          <w:szCs w:val="24"/>
          <w:lang w:eastAsia="en-US"/>
        </w:rPr>
        <w:t xml:space="preserve"> </w:t>
      </w:r>
      <w:r w:rsidRPr="0054604F">
        <w:rPr>
          <w:sz w:val="24"/>
          <w:szCs w:val="24"/>
          <w:lang w:eastAsia="en-US"/>
        </w:rPr>
        <w:t xml:space="preserve">– </w:t>
      </w:r>
      <w:hyperlink r:id="rId14" w:history="1">
        <w:r w:rsidRPr="0054604F">
          <w:rPr>
            <w:sz w:val="24"/>
            <w:szCs w:val="24"/>
            <w:lang w:eastAsia="en-US"/>
          </w:rPr>
          <w:t>ADI 7.822/SP</w:t>
        </w:r>
      </w:hyperlink>
      <w:r w:rsidRPr="0054604F">
        <w:t>,</w:t>
      </w:r>
      <w:r w:rsidRPr="0054604F">
        <w:rPr>
          <w:sz w:val="24"/>
          <w:szCs w:val="24"/>
          <w:lang w:eastAsia="en-US"/>
        </w:rPr>
        <w:t xml:space="preserve"> </w:t>
      </w:r>
      <w:hyperlink r:id="rId15" w:history="1">
        <w:r w:rsidRPr="0054604F">
          <w:rPr>
            <w:sz w:val="24"/>
            <w:szCs w:val="24"/>
            <w:lang w:eastAsia="en-US"/>
          </w:rPr>
          <w:t>ADI 7.830/SP</w:t>
        </w:r>
      </w:hyperlink>
      <w:r w:rsidRPr="0054604F">
        <w:rPr>
          <w:sz w:val="24"/>
          <w:szCs w:val="24"/>
          <w:lang w:eastAsia="en-US"/>
        </w:rPr>
        <w:t xml:space="preserve">, </w:t>
      </w:r>
      <w:hyperlink r:id="rId16" w:history="1">
        <w:r w:rsidRPr="0054604F">
          <w:rPr>
            <w:sz w:val="24"/>
            <w:szCs w:val="24"/>
            <w:lang w:eastAsia="en-US"/>
          </w:rPr>
          <w:t>ADI 7.844/SP</w:t>
        </w:r>
      </w:hyperlink>
      <w:r w:rsidRPr="0054604F">
        <w:rPr>
          <w:sz w:val="24"/>
          <w:szCs w:val="24"/>
          <w:lang w:eastAsia="en-US"/>
        </w:rPr>
        <w:t xml:space="preserve"> e </w:t>
      </w:r>
      <w:hyperlink r:id="rId17" w:history="1">
        <w:r w:rsidRPr="0054604F">
          <w:rPr>
            <w:sz w:val="24"/>
            <w:szCs w:val="24"/>
            <w:lang w:eastAsia="en-US"/>
          </w:rPr>
          <w:t>ADI 7.848/SP</w:t>
        </w:r>
      </w:hyperlink>
      <w:r w:rsidRPr="00CA27F9">
        <w:rPr>
          <w:b/>
          <w:bCs/>
          <w:i/>
          <w:iCs/>
          <w:sz w:val="24"/>
          <w:szCs w:val="24"/>
          <w:lang w:eastAsia="en-US"/>
        </w:rPr>
        <w:t xml:space="preserve"> </w:t>
      </w:r>
      <w:r>
        <w:t xml:space="preserve"> </w:t>
      </w:r>
    </w:p>
    <w:p w14:paraId="0A5FB7E6" w14:textId="385DB5D8" w:rsidR="00E5318C" w:rsidRDefault="00E5318C" w:rsidP="00AD256D">
      <w:pPr>
        <w:spacing w:line="360" w:lineRule="auto"/>
        <w:ind w:left="1418"/>
        <w:rPr>
          <w:sz w:val="24"/>
          <w:szCs w:val="24"/>
          <w:lang w:eastAsia="en-US"/>
        </w:rPr>
      </w:pPr>
      <w:r>
        <w:rPr>
          <w:sz w:val="24"/>
          <w:szCs w:val="24"/>
        </w:rPr>
        <w:t xml:space="preserve">Impostos; ICMS; </w:t>
      </w:r>
      <w:r>
        <w:rPr>
          <w:sz w:val="24"/>
          <w:szCs w:val="24"/>
          <w:lang w:eastAsia="en-US"/>
        </w:rPr>
        <w:t>Subvenção de Tarifa de Energia Elétrica; Convênio; CONFAZ</w:t>
      </w:r>
    </w:p>
    <w:p w14:paraId="6BF35617" w14:textId="7A486514" w:rsidR="00E5318C" w:rsidRPr="00E5318C" w:rsidRDefault="00E5318C" w:rsidP="00E5318C">
      <w:pPr>
        <w:spacing w:line="360" w:lineRule="auto"/>
        <w:ind w:left="2126"/>
        <w:rPr>
          <w:sz w:val="24"/>
          <w:szCs w:val="24"/>
          <w:lang w:eastAsia="en-US"/>
        </w:rPr>
      </w:pPr>
      <w:hyperlink w:anchor="ICMS" w:history="1">
        <w:r w:rsidRPr="00E5318C">
          <w:rPr>
            <w:rStyle w:val="Hyperlink"/>
            <w:b/>
            <w:bCs/>
            <w:i/>
            <w:iCs/>
            <w:color w:val="auto"/>
            <w:sz w:val="24"/>
            <w:szCs w:val="24"/>
            <w:u w:val="none"/>
            <w:lang w:eastAsia="en-US"/>
          </w:rPr>
          <w:t>ICMS sobre a subvenção de tarifa de energia elétrica</w:t>
        </w:r>
      </w:hyperlink>
      <w:r w:rsidRPr="00E5318C">
        <w:rPr>
          <w:sz w:val="24"/>
          <w:szCs w:val="24"/>
          <w:lang w:eastAsia="en-US"/>
        </w:rPr>
        <w:t xml:space="preserve"> </w:t>
      </w:r>
      <w:r w:rsidRPr="002137C1">
        <w:rPr>
          <w:sz w:val="24"/>
          <w:szCs w:val="24"/>
          <w:lang w:eastAsia="en-US"/>
        </w:rPr>
        <w:t>–</w:t>
      </w:r>
      <w:r w:rsidRPr="00E5318C">
        <w:rPr>
          <w:b/>
          <w:bCs/>
          <w:sz w:val="24"/>
          <w:szCs w:val="24"/>
          <w:lang w:eastAsia="en-US"/>
        </w:rPr>
        <w:t xml:space="preserve"> </w:t>
      </w:r>
      <w:hyperlink r:id="rId18" w:history="1">
        <w:r w:rsidRPr="00E5318C">
          <w:rPr>
            <w:rStyle w:val="Hyperlink"/>
            <w:color w:val="auto"/>
            <w:sz w:val="24"/>
            <w:szCs w:val="24"/>
            <w:u w:val="none"/>
            <w:lang w:eastAsia="en-US"/>
          </w:rPr>
          <w:t>ADI 3.973/DF</w:t>
        </w:r>
      </w:hyperlink>
    </w:p>
    <w:p w14:paraId="71DF0BF4" w14:textId="753B98BE" w:rsidR="00AD256D" w:rsidRPr="003C4979" w:rsidRDefault="00EE3074" w:rsidP="00AD256D">
      <w:pPr>
        <w:spacing w:line="360" w:lineRule="auto"/>
        <w:ind w:left="1418"/>
        <w:rPr>
          <w:sz w:val="24"/>
          <w:szCs w:val="24"/>
          <w:lang w:eastAsia="en-US"/>
        </w:rPr>
      </w:pPr>
      <w:r w:rsidRPr="00EE3074">
        <w:rPr>
          <w:sz w:val="24"/>
          <w:szCs w:val="24"/>
          <w:lang w:eastAsia="en-US"/>
        </w:rPr>
        <w:t>Taxas; Custas Judiciais; Majoração; Anterioridade Nonagesimal</w:t>
      </w:r>
    </w:p>
    <w:p w14:paraId="14DA8941" w14:textId="3EF90994" w:rsidR="00AD256D" w:rsidRPr="00EE3074" w:rsidRDefault="00EE3074" w:rsidP="00AD256D">
      <w:pPr>
        <w:spacing w:line="360" w:lineRule="auto"/>
        <w:ind w:left="2126"/>
        <w:rPr>
          <w:sz w:val="24"/>
          <w:szCs w:val="24"/>
        </w:rPr>
      </w:pPr>
      <w:hyperlink w:anchor="custas" w:history="1">
        <w:r w:rsidRPr="00667A5E">
          <w:rPr>
            <w:rStyle w:val="Hyperlink"/>
            <w:b/>
            <w:bCs/>
            <w:i/>
            <w:iCs/>
            <w:color w:val="auto"/>
            <w:sz w:val="24"/>
            <w:szCs w:val="24"/>
            <w:u w:val="none"/>
            <w:lang w:eastAsia="en-US"/>
          </w:rPr>
          <w:t xml:space="preserve">Majoração de custas judiciais no </w:t>
        </w:r>
        <w:r w:rsidR="002D603F">
          <w:rPr>
            <w:rStyle w:val="Hyperlink"/>
            <w:b/>
            <w:bCs/>
            <w:i/>
            <w:iCs/>
            <w:color w:val="auto"/>
            <w:sz w:val="24"/>
            <w:szCs w:val="24"/>
            <w:u w:val="none"/>
            <w:lang w:eastAsia="en-US"/>
          </w:rPr>
          <w:t>e</w:t>
        </w:r>
        <w:r w:rsidRPr="00667A5E">
          <w:rPr>
            <w:rStyle w:val="Hyperlink"/>
            <w:b/>
            <w:bCs/>
            <w:i/>
            <w:iCs/>
            <w:color w:val="auto"/>
            <w:sz w:val="24"/>
            <w:szCs w:val="24"/>
            <w:u w:val="none"/>
            <w:lang w:eastAsia="en-US"/>
          </w:rPr>
          <w:t>stado do Espírito Santo e anterioridade nonagesimal</w:t>
        </w:r>
      </w:hyperlink>
      <w:r w:rsidRPr="00EE3074">
        <w:rPr>
          <w:b/>
          <w:bCs/>
          <w:i/>
          <w:iCs/>
          <w:sz w:val="24"/>
          <w:szCs w:val="24"/>
          <w:lang w:eastAsia="en-US"/>
        </w:rPr>
        <w:t>–</w:t>
      </w:r>
      <w:r w:rsidRPr="00EE3074">
        <w:rPr>
          <w:sz w:val="24"/>
          <w:szCs w:val="24"/>
          <w:lang w:eastAsia="en-US"/>
        </w:rPr>
        <w:t xml:space="preserve"> </w:t>
      </w:r>
      <w:hyperlink r:id="rId19" w:history="1">
        <w:r w:rsidRPr="00EE3074">
          <w:rPr>
            <w:rStyle w:val="Hyperlink"/>
            <w:color w:val="auto"/>
            <w:sz w:val="24"/>
            <w:szCs w:val="24"/>
            <w:u w:val="none"/>
          </w:rPr>
          <w:t>ADI 7.935/ES</w:t>
        </w:r>
      </w:hyperlink>
      <w:r w:rsidR="00AD256D" w:rsidRPr="00EE3074">
        <w:rPr>
          <w:sz w:val="24"/>
          <w:szCs w:val="24"/>
        </w:rPr>
        <w:t xml:space="preserve">  </w:t>
      </w:r>
    </w:p>
    <w:p w14:paraId="0562C0F1" w14:textId="77777777" w:rsidR="009156F8" w:rsidRPr="003C4979" w:rsidRDefault="009156F8" w:rsidP="00D13101">
      <w:pPr>
        <w:ind w:left="2126"/>
        <w:rPr>
          <w:b/>
          <w:bCs/>
          <w:i/>
          <w:iCs/>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0F3871" w:rsidRDefault="00046C7B" w:rsidP="00C1099A">
      <w:pPr>
        <w:contextualSpacing/>
        <w:rPr>
          <w:rStyle w:val="Hyperlink"/>
          <w:b/>
          <w:bCs/>
          <w:color w:val="000000" w:themeColor="text1"/>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t>1 PLENÁRIO</w:t>
      </w:r>
    </w:p>
    <w:p w14:paraId="7FDA6329" w14:textId="77777777" w:rsidR="00181501" w:rsidRPr="00181501" w:rsidRDefault="00181501" w:rsidP="00181501">
      <w:pPr>
        <w:rPr>
          <w:sz w:val="24"/>
          <w:szCs w:val="24"/>
          <w:lang w:eastAsia="en-US"/>
        </w:rPr>
      </w:pPr>
      <w:bookmarkStart w:id="2" w:name="_Hlk199424979"/>
      <w:bookmarkEnd w:id="1"/>
      <w:r w:rsidRPr="00181501">
        <w:rPr>
          <w:sz w:val="24"/>
          <w:szCs w:val="24"/>
          <w:lang w:eastAsia="en-US"/>
        </w:rPr>
        <w:t>DIREITO ADMINISTRATIVO – LICENÇA-MATERNIDADE; GESTANTES E ADOTANTES; DIFERENTES VÍNCULOS LABORAIS; CRITÉRIOS E PRAZOS; UNIFORMIZAÇÃO</w:t>
      </w:r>
    </w:p>
    <w:p w14:paraId="781B2203" w14:textId="77777777" w:rsidR="00181501" w:rsidRPr="00181501" w:rsidRDefault="00181501" w:rsidP="00181501">
      <w:pPr>
        <w:rPr>
          <w:sz w:val="24"/>
          <w:szCs w:val="24"/>
          <w:lang w:eastAsia="en-US"/>
        </w:rPr>
      </w:pPr>
      <w:r w:rsidRPr="00181501">
        <w:rPr>
          <w:sz w:val="24"/>
          <w:szCs w:val="24"/>
          <w:lang w:eastAsia="en-US"/>
        </w:rPr>
        <w:t>DIREITO CONSTITUCIONAL – IGUALDADE; FILHOS BIOLÓGICOS E ADOTIVOS; PROTEÇÃO À MATERNIDADE E À INFÂNCIA</w:t>
      </w:r>
    </w:p>
    <w:p w14:paraId="43F4D2B0" w14:textId="77777777" w:rsidR="00181501" w:rsidRPr="00181501" w:rsidRDefault="00181501" w:rsidP="00181501">
      <w:pPr>
        <w:rPr>
          <w:b/>
          <w:bCs/>
          <w:i/>
          <w:iCs/>
          <w:sz w:val="24"/>
          <w:szCs w:val="24"/>
          <w:highlight w:val="yellow"/>
          <w:lang w:eastAsia="en-US"/>
        </w:rPr>
      </w:pPr>
    </w:p>
    <w:p w14:paraId="22437EAF" w14:textId="77777777" w:rsidR="00181501" w:rsidRPr="00181501" w:rsidRDefault="00181501" w:rsidP="00181501">
      <w:pPr>
        <w:autoSpaceDE w:val="0"/>
        <w:autoSpaceDN w:val="0"/>
        <w:adjustRightInd w:val="0"/>
        <w:rPr>
          <w:b/>
          <w:bCs/>
          <w:sz w:val="24"/>
          <w:szCs w:val="24"/>
        </w:rPr>
      </w:pPr>
      <w:bookmarkStart w:id="3" w:name="Licença"/>
      <w:r w:rsidRPr="00181501">
        <w:rPr>
          <w:b/>
          <w:bCs/>
          <w:i/>
          <w:iCs/>
          <w:sz w:val="24"/>
          <w:szCs w:val="24"/>
        </w:rPr>
        <w:t>Licença-maternidade</w:t>
      </w:r>
      <w:bookmarkEnd w:id="3"/>
      <w:r w:rsidRPr="00181501">
        <w:rPr>
          <w:b/>
          <w:bCs/>
          <w:i/>
          <w:iCs/>
          <w:sz w:val="24"/>
          <w:szCs w:val="24"/>
        </w:rPr>
        <w:t>: uniformização de prazos para as mães biológicas e adotantes em diferentes regimes de trabalho</w:t>
      </w:r>
      <w:r w:rsidRPr="00181501">
        <w:rPr>
          <w:b/>
          <w:bCs/>
          <w:sz w:val="24"/>
          <w:szCs w:val="24"/>
        </w:rPr>
        <w:t xml:space="preserve"> </w:t>
      </w:r>
      <w:r w:rsidRPr="007503B0">
        <w:rPr>
          <w:sz w:val="24"/>
          <w:szCs w:val="24"/>
        </w:rPr>
        <w:t xml:space="preserve">– </w:t>
      </w:r>
      <w:hyperlink r:id="rId20" w:history="1">
        <w:r w:rsidRPr="007503B0">
          <w:rPr>
            <w:color w:val="000000" w:themeColor="text1"/>
            <w:sz w:val="24"/>
            <w:szCs w:val="24"/>
          </w:rPr>
          <w:t>ADI 7.495/DF</w:t>
        </w:r>
      </w:hyperlink>
      <w:r w:rsidRPr="00181501">
        <w:rPr>
          <w:b/>
          <w:bCs/>
          <w:sz w:val="24"/>
          <w:szCs w:val="24"/>
        </w:rPr>
        <w:t xml:space="preserve"> </w:t>
      </w:r>
      <w:r w:rsidRPr="00181501">
        <w:rPr>
          <w:rFonts w:ascii="Aptos" w:eastAsia="Aptos" w:hAnsi="Aptos"/>
          <w:noProof/>
          <w:kern w:val="2"/>
          <w:sz w:val="24"/>
          <w:szCs w:val="24"/>
          <w:lang w:eastAsia="en-US"/>
          <w14:ligatures w14:val="standardContextual"/>
        </w:rPr>
        <w:drawing>
          <wp:inline distT="0" distB="0" distL="0" distR="0" wp14:anchorId="30066DFC" wp14:editId="4612B60C">
            <wp:extent cx="1195705" cy="180975"/>
            <wp:effectExtent l="0" t="0" r="4445" b="9525"/>
            <wp:docPr id="17331043" name="Imagem 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25FC3C3" w14:textId="77777777" w:rsidR="00181501" w:rsidRPr="00181501" w:rsidRDefault="00181501" w:rsidP="00181501">
      <w:pPr>
        <w:autoSpaceDE w:val="0"/>
        <w:autoSpaceDN w:val="0"/>
        <w:adjustRightInd w:val="0"/>
        <w:spacing w:line="360" w:lineRule="auto"/>
        <w:rPr>
          <w:b/>
          <w:sz w:val="24"/>
          <w:szCs w:val="24"/>
        </w:rPr>
      </w:pPr>
    </w:p>
    <w:p w14:paraId="7EE5CE8D" w14:textId="77777777" w:rsidR="00181501" w:rsidRPr="00181501" w:rsidRDefault="00181501" w:rsidP="00181501">
      <w:pPr>
        <w:autoSpaceDE w:val="0"/>
        <w:autoSpaceDN w:val="0"/>
        <w:adjustRightInd w:val="0"/>
        <w:rPr>
          <w:color w:val="0000FF"/>
          <w:sz w:val="24"/>
          <w:szCs w:val="24"/>
          <w:lang w:eastAsia="en-US"/>
        </w:rPr>
      </w:pPr>
      <w:r w:rsidRPr="00181501">
        <w:rPr>
          <w:b/>
          <w:bCs/>
          <w:sz w:val="24"/>
          <w:szCs w:val="24"/>
          <w:lang w:eastAsia="en-US"/>
        </w:rPr>
        <w:t>ODS:</w:t>
      </w:r>
      <w:r w:rsidRPr="00181501">
        <w:rPr>
          <w:sz w:val="24"/>
          <w:szCs w:val="24"/>
          <w:lang w:eastAsia="en-US"/>
        </w:rPr>
        <w:t xml:space="preserve"> </w:t>
      </w:r>
      <w:hyperlink r:id="rId23" w:history="1">
        <w:r w:rsidRPr="00181501">
          <w:rPr>
            <w:color w:val="0000FF"/>
            <w:sz w:val="24"/>
            <w:szCs w:val="24"/>
            <w:u w:val="single"/>
            <w:lang w:eastAsia="en-US"/>
          </w:rPr>
          <w:t>3</w:t>
        </w:r>
      </w:hyperlink>
      <w:r w:rsidRPr="00181501">
        <w:rPr>
          <w:sz w:val="24"/>
          <w:szCs w:val="24"/>
          <w:lang w:eastAsia="en-US"/>
        </w:rPr>
        <w:t xml:space="preserve">, </w:t>
      </w:r>
      <w:hyperlink r:id="rId24" w:history="1">
        <w:r w:rsidRPr="00181501">
          <w:rPr>
            <w:color w:val="0000FF"/>
            <w:sz w:val="24"/>
            <w:szCs w:val="24"/>
            <w:u w:val="single"/>
            <w:lang w:eastAsia="en-US"/>
          </w:rPr>
          <w:t>10</w:t>
        </w:r>
      </w:hyperlink>
      <w:r w:rsidRPr="00181501">
        <w:rPr>
          <w:sz w:val="24"/>
          <w:szCs w:val="24"/>
          <w:lang w:eastAsia="en-US"/>
        </w:rPr>
        <w:t xml:space="preserve"> e </w:t>
      </w:r>
      <w:hyperlink r:id="rId25" w:history="1">
        <w:r w:rsidRPr="00181501">
          <w:rPr>
            <w:color w:val="0000FF"/>
            <w:sz w:val="24"/>
            <w:szCs w:val="24"/>
            <w:u w:val="single"/>
            <w:lang w:eastAsia="en-US"/>
          </w:rPr>
          <w:t>16</w:t>
        </w:r>
      </w:hyperlink>
    </w:p>
    <w:p w14:paraId="5131F8B3" w14:textId="77777777" w:rsidR="00181501" w:rsidRPr="00181501" w:rsidRDefault="00181501" w:rsidP="00181501">
      <w:pPr>
        <w:autoSpaceDE w:val="0"/>
        <w:autoSpaceDN w:val="0"/>
        <w:adjustRightInd w:val="0"/>
        <w:rPr>
          <w:sz w:val="24"/>
          <w:szCs w:val="24"/>
          <w:lang w:eastAsia="en-US"/>
        </w:rPr>
      </w:pPr>
    </w:p>
    <w:p w14:paraId="051EC013" w14:textId="77777777" w:rsidR="00181501" w:rsidRPr="00181501" w:rsidRDefault="00181501" w:rsidP="00181501">
      <w:pPr>
        <w:spacing w:line="360" w:lineRule="auto"/>
        <w:rPr>
          <w:sz w:val="24"/>
          <w:szCs w:val="24"/>
          <w:lang w:eastAsia="en-US"/>
        </w:rPr>
      </w:pPr>
      <w:r w:rsidRPr="00181501">
        <w:rPr>
          <w:sz w:val="24"/>
          <w:szCs w:val="24"/>
          <w:lang w:eastAsia="en-US"/>
        </w:rPr>
        <w:t>Resumo:</w:t>
      </w:r>
    </w:p>
    <w:p w14:paraId="07BB529A" w14:textId="77777777" w:rsidR="00181501" w:rsidRPr="00181501" w:rsidRDefault="00181501" w:rsidP="00181501">
      <w:pPr>
        <w:spacing w:line="360" w:lineRule="auto"/>
        <w:ind w:firstLine="709"/>
        <w:rPr>
          <w:b/>
          <w:bCs/>
          <w:kern w:val="2"/>
          <w:sz w:val="24"/>
          <w:szCs w:val="24"/>
          <w:lang w:eastAsia="en-US"/>
          <w14:ligatures w14:val="standardContextual"/>
        </w:rPr>
      </w:pPr>
      <w:bookmarkStart w:id="4" w:name="_Hlk120041969"/>
      <w:r w:rsidRPr="00181501">
        <w:rPr>
          <w:b/>
          <w:bCs/>
          <w:kern w:val="2"/>
          <w:sz w:val="24"/>
          <w:szCs w:val="24"/>
          <w:lang w:eastAsia="en-US"/>
          <w14:ligatures w14:val="standardContextual"/>
        </w:rPr>
        <w:t>A licença-maternidade deve ser assegurada de forma isonômica às mães biológicas e adotantes, vedada qualquer diferenciação fundada na idade da criança ou na natureza do vínculo laboral ou funcional da beneficiária.</w:t>
      </w:r>
    </w:p>
    <w:p w14:paraId="385C8C2D" w14:textId="77777777" w:rsidR="00181501" w:rsidRPr="00181501" w:rsidRDefault="00181501" w:rsidP="00181501">
      <w:pPr>
        <w:spacing w:line="360" w:lineRule="auto"/>
        <w:ind w:firstLine="709"/>
        <w:rPr>
          <w:kern w:val="2"/>
          <w:sz w:val="24"/>
          <w:szCs w:val="24"/>
          <w:lang w:eastAsia="en-US"/>
          <w14:ligatures w14:val="standardContextual"/>
        </w:rPr>
      </w:pPr>
      <w:r w:rsidRPr="00181501">
        <w:rPr>
          <w:kern w:val="2"/>
          <w:sz w:val="24"/>
          <w:szCs w:val="24"/>
          <w:lang w:eastAsia="en-US"/>
          <w14:ligatures w14:val="standardContextual"/>
        </w:rPr>
        <w:t>No caso, foram questionadas normas federais que estabelecem diferentes períodos e condições para a licença-maternidade e a licença decorrente de adoção, aplicáveis a empregadas regidas pela CLT, servidoras públicas, membros do Ministério Público e integrantes das Forças Armadas. A disciplina impugnada previa, em determinadas situações, prazo inferior para mães adotantes, redução do período de afastamento conforme a idade da criança adotada e distinções de acordo com o regime jurídico da beneficiária. Questionou-se, ainda, a possibilidade de compartilhamento da licença parental entre os integrantes do núcleo familiar.</w:t>
      </w:r>
    </w:p>
    <w:p w14:paraId="517A76F5" w14:textId="08D8F134" w:rsidR="00181501" w:rsidRPr="00181501" w:rsidRDefault="00181501" w:rsidP="00181501">
      <w:pPr>
        <w:spacing w:line="360" w:lineRule="auto"/>
        <w:ind w:firstLine="709"/>
        <w:rPr>
          <w:kern w:val="2"/>
          <w:sz w:val="24"/>
          <w:szCs w:val="24"/>
          <w:lang w:eastAsia="en-US"/>
          <w14:ligatures w14:val="standardContextual"/>
        </w:rPr>
      </w:pPr>
      <w:r w:rsidRPr="00181501">
        <w:rPr>
          <w:kern w:val="2"/>
          <w:sz w:val="24"/>
          <w:szCs w:val="24"/>
          <w:lang w:eastAsia="en-US"/>
          <w14:ligatures w14:val="standardContextual"/>
        </w:rPr>
        <w:t xml:space="preserve">A licença-maternidade visa à proteção da maternidade e da criança, proporcionando condições para o convívio, o fortalecimento do vínculo afetivo e a integração ao núcleo familiar. Por isso, não se admite tratamento distinto entre mães biológicas e adotantes nem a fixação de períodos distintos de licença em razão da idade da criança adotada ou da natureza do vínculo laboral ou funcional da beneficiária. </w:t>
      </w:r>
    </w:p>
    <w:p w14:paraId="62328253" w14:textId="77777777" w:rsidR="00181501" w:rsidRPr="00181501" w:rsidRDefault="00181501" w:rsidP="00181501">
      <w:pPr>
        <w:spacing w:line="360" w:lineRule="auto"/>
        <w:ind w:firstLine="709"/>
        <w:rPr>
          <w:rFonts w:eastAsia="Aptos"/>
          <w:kern w:val="2"/>
          <w:sz w:val="24"/>
          <w:szCs w:val="24"/>
          <w:lang w:eastAsia="en-US"/>
          <w14:ligatures w14:val="standardContextual"/>
        </w:rPr>
      </w:pPr>
      <w:r w:rsidRPr="00181501">
        <w:rPr>
          <w:kern w:val="2"/>
          <w:sz w:val="24"/>
          <w:szCs w:val="24"/>
          <w:lang w:eastAsia="en-US"/>
          <w14:ligatures w14:val="standardContextual"/>
        </w:rPr>
        <w:lastRenderedPageBreak/>
        <w:t xml:space="preserve">Assim, todas as mães, biológicas ou adotantes, fazem jus à licença-maternidade de idêntico conteúdo, consistente em afastamento remunerado de 120 dias, prorrogável por mais 60 dias, contado do nono mês de gestação, do parto, da adoção ou da obtenção da guarda para fins de adoção, bem como da alta hospitalar do recém-nascido ou da mãe, o que ocorrer por último. Por outro lado, quanto à pretensão de compartilhamento da licença parental, a ausência de modelo explícito na Constituição impõe o respeito à margem de conformação do legislador, a quem cabe disciplinar a matéria (1). </w:t>
      </w:r>
    </w:p>
    <w:p w14:paraId="46BE8484" w14:textId="77777777" w:rsidR="00181501" w:rsidRDefault="00181501" w:rsidP="00181501">
      <w:pPr>
        <w:spacing w:line="360" w:lineRule="auto"/>
        <w:ind w:firstLine="709"/>
        <w:rPr>
          <w:rFonts w:eastAsia="Aptos"/>
          <w:kern w:val="2"/>
          <w:sz w:val="24"/>
          <w:szCs w:val="24"/>
          <w:lang w:eastAsia="en-US"/>
          <w14:ligatures w14:val="standardContextual"/>
        </w:rPr>
      </w:pPr>
      <w:r w:rsidRPr="00181501">
        <w:rPr>
          <w:rFonts w:eastAsia="Aptos"/>
          <w:kern w:val="2"/>
          <w:sz w:val="24"/>
          <w:szCs w:val="24"/>
          <w:lang w:eastAsia="en-US"/>
          <w14:ligatures w14:val="standardContextual"/>
        </w:rPr>
        <w:t xml:space="preserve">Com base nesses e em outros entendimentos, o Plenário, por unanimidade, conheceu da ação direta e julgou parcialmente procedente o pedido para: (i) declarar a inconstitucionalidade, com nulidade parcial, do art. 210, </w:t>
      </w:r>
      <w:r w:rsidRPr="00181501">
        <w:rPr>
          <w:rFonts w:eastAsia="Aptos"/>
          <w:i/>
          <w:iCs/>
          <w:kern w:val="2"/>
          <w:sz w:val="24"/>
          <w:szCs w:val="24"/>
          <w:lang w:eastAsia="en-US"/>
          <w14:ligatures w14:val="standardContextual"/>
        </w:rPr>
        <w:t>caput</w:t>
      </w:r>
      <w:r w:rsidRPr="00181501">
        <w:rPr>
          <w:rFonts w:eastAsia="Aptos"/>
          <w:kern w:val="2"/>
          <w:sz w:val="24"/>
          <w:szCs w:val="24"/>
          <w:lang w:eastAsia="en-US"/>
          <w14:ligatures w14:val="standardContextual"/>
        </w:rPr>
        <w:t xml:space="preserve"> e parágrafo único, da </w:t>
      </w:r>
      <w:hyperlink r:id="rId26" w:anchor=":~:text=de%20meia%20hora.-,Art.%C2%A0210.,-%C3%80%20servidora%20que" w:history="1">
        <w:r w:rsidRPr="00181501">
          <w:rPr>
            <w:rFonts w:eastAsia="Aptos"/>
            <w:color w:val="0000FF"/>
            <w:kern w:val="2"/>
            <w:sz w:val="24"/>
            <w:szCs w:val="24"/>
            <w:u w:val="single"/>
            <w:lang w:eastAsia="en-US"/>
            <w14:ligatures w14:val="standardContextual"/>
          </w:rPr>
          <w:t>Lei nº 8.112/1990</w:t>
        </w:r>
      </w:hyperlink>
      <w:r w:rsidRPr="00181501">
        <w:rPr>
          <w:rFonts w:eastAsia="Aptos"/>
          <w:kern w:val="2"/>
          <w:sz w:val="24"/>
          <w:szCs w:val="24"/>
          <w:lang w:eastAsia="en-US"/>
          <w14:ligatures w14:val="standardContextual"/>
        </w:rPr>
        <w:t xml:space="preserve">, e do art. 223, V, da </w:t>
      </w:r>
      <w:hyperlink r:id="rId27" w:anchor=":~:text=considerada%20como%20prorroga%C3%A7%C3%A3o.-,Art.%20223.,-Conceder%2Dse%2D%C3%A1" w:history="1">
        <w:r w:rsidRPr="00181501">
          <w:rPr>
            <w:rFonts w:eastAsia="Aptos"/>
            <w:color w:val="0000FF"/>
            <w:kern w:val="2"/>
            <w:sz w:val="24"/>
            <w:szCs w:val="24"/>
            <w:u w:val="single"/>
            <w:lang w:eastAsia="en-US"/>
            <w14:ligatures w14:val="standardContextual"/>
          </w:rPr>
          <w:t>Lei Complementar nº 75/1993</w:t>
        </w:r>
      </w:hyperlink>
      <w:r w:rsidRPr="00181501">
        <w:rPr>
          <w:rFonts w:eastAsia="Aptos"/>
          <w:kern w:val="2"/>
          <w:sz w:val="24"/>
          <w:szCs w:val="24"/>
          <w:lang w:eastAsia="en-US"/>
          <w14:ligatures w14:val="standardContextual"/>
        </w:rPr>
        <w:t>; e (</w:t>
      </w:r>
      <w:proofErr w:type="spellStart"/>
      <w:r w:rsidRPr="00181501">
        <w:rPr>
          <w:rFonts w:eastAsia="Aptos"/>
          <w:kern w:val="2"/>
          <w:sz w:val="24"/>
          <w:szCs w:val="24"/>
          <w:lang w:eastAsia="en-US"/>
          <w14:ligatures w14:val="standardContextual"/>
        </w:rPr>
        <w:t>ii</w:t>
      </w:r>
      <w:proofErr w:type="spellEnd"/>
      <w:r w:rsidRPr="00181501">
        <w:rPr>
          <w:rFonts w:eastAsia="Aptos"/>
          <w:kern w:val="2"/>
          <w:sz w:val="24"/>
          <w:szCs w:val="24"/>
          <w:lang w:eastAsia="en-US"/>
          <w14:ligatures w14:val="standardContextual"/>
        </w:rPr>
        <w:t xml:space="preserve">) conferir interpretação conforme à Constituição aos </w:t>
      </w:r>
      <w:proofErr w:type="spellStart"/>
      <w:r w:rsidRPr="00181501">
        <w:rPr>
          <w:rFonts w:eastAsia="Aptos"/>
          <w:kern w:val="2"/>
          <w:sz w:val="24"/>
          <w:szCs w:val="24"/>
          <w:lang w:eastAsia="en-US"/>
          <w14:ligatures w14:val="standardContextual"/>
        </w:rPr>
        <w:t>arts</w:t>
      </w:r>
      <w:proofErr w:type="spellEnd"/>
      <w:r w:rsidRPr="00181501">
        <w:rPr>
          <w:rFonts w:eastAsia="Aptos"/>
          <w:kern w:val="2"/>
          <w:sz w:val="24"/>
          <w:szCs w:val="24"/>
          <w:lang w:eastAsia="en-US"/>
          <w14:ligatures w14:val="standardContextual"/>
        </w:rPr>
        <w:t xml:space="preserve">. 392, </w:t>
      </w:r>
      <w:r w:rsidRPr="00181501">
        <w:rPr>
          <w:rFonts w:eastAsia="Aptos"/>
          <w:i/>
          <w:iCs/>
          <w:kern w:val="2"/>
          <w:sz w:val="24"/>
          <w:szCs w:val="24"/>
          <w:lang w:eastAsia="en-US"/>
          <w14:ligatures w14:val="standardContextual"/>
        </w:rPr>
        <w:t>caput</w:t>
      </w:r>
      <w:r w:rsidRPr="00181501">
        <w:rPr>
          <w:rFonts w:eastAsia="Aptos"/>
          <w:kern w:val="2"/>
          <w:sz w:val="24"/>
          <w:szCs w:val="24"/>
          <w:lang w:eastAsia="en-US"/>
          <w14:ligatures w14:val="standardContextual"/>
        </w:rPr>
        <w:t xml:space="preserve"> e §§ 1º a 3º, 392-A, </w:t>
      </w:r>
      <w:r w:rsidRPr="00181501">
        <w:rPr>
          <w:rFonts w:eastAsia="Aptos"/>
          <w:i/>
          <w:iCs/>
          <w:kern w:val="2"/>
          <w:sz w:val="24"/>
          <w:szCs w:val="24"/>
          <w:lang w:eastAsia="en-US"/>
          <w14:ligatures w14:val="standardContextual"/>
        </w:rPr>
        <w:t>caput</w:t>
      </w:r>
      <w:r w:rsidRPr="00181501">
        <w:rPr>
          <w:rFonts w:eastAsia="Aptos"/>
          <w:kern w:val="2"/>
          <w:sz w:val="24"/>
          <w:szCs w:val="24"/>
          <w:lang w:eastAsia="en-US"/>
          <w14:ligatures w14:val="standardContextual"/>
        </w:rPr>
        <w:t xml:space="preserve"> e §§ 4º e 5º, 392-B e 392-C da </w:t>
      </w:r>
      <w:hyperlink r:id="rId28" w:anchor=":~:text=9.799%2C%20de%201999)-,Art.%20392,-.%20A%20empregada%20gestante" w:history="1">
        <w:r w:rsidRPr="00181501">
          <w:rPr>
            <w:rFonts w:eastAsia="Aptos"/>
            <w:color w:val="0000FF"/>
            <w:kern w:val="2"/>
            <w:sz w:val="24"/>
            <w:szCs w:val="24"/>
            <w:u w:val="single"/>
            <w:lang w:eastAsia="en-US"/>
            <w14:ligatures w14:val="standardContextual"/>
          </w:rPr>
          <w:t>CLT</w:t>
        </w:r>
      </w:hyperlink>
      <w:r w:rsidRPr="00181501">
        <w:rPr>
          <w:rFonts w:eastAsia="Aptos"/>
          <w:kern w:val="2"/>
          <w:sz w:val="24"/>
          <w:szCs w:val="24"/>
          <w:lang w:eastAsia="en-US"/>
          <w14:ligatures w14:val="standardContextual"/>
        </w:rPr>
        <w:t xml:space="preserve">; ao art. 207 da </w:t>
      </w:r>
      <w:hyperlink r:id="rId29" w:anchor=":~:text=da%20Licen%C3%A7a%2DPaternidade-,Art.%C2%A0207,-.%C2%A0%C2%A0Ser%C3%A1%20concedida%20licen%C3%A7a" w:history="1">
        <w:r w:rsidRPr="00181501">
          <w:rPr>
            <w:rFonts w:eastAsia="Aptos"/>
            <w:color w:val="0000FF"/>
            <w:kern w:val="2"/>
            <w:sz w:val="24"/>
            <w:szCs w:val="24"/>
            <w:u w:val="single"/>
            <w:lang w:eastAsia="en-US"/>
            <w14:ligatures w14:val="standardContextual"/>
          </w:rPr>
          <w:t>Lei nº 8.112/1990</w:t>
        </w:r>
      </w:hyperlink>
      <w:r w:rsidRPr="00181501">
        <w:rPr>
          <w:rFonts w:eastAsia="Aptos"/>
          <w:kern w:val="2"/>
          <w:sz w:val="24"/>
          <w:szCs w:val="24"/>
          <w:lang w:eastAsia="en-US"/>
          <w14:ligatures w14:val="standardContextual"/>
        </w:rPr>
        <w:t xml:space="preserve">; ao art. 223, III, da </w:t>
      </w:r>
      <w:hyperlink r:id="rId30" w:anchor=":~:text=considerada%20como%20prorroga%C3%A7%C3%A3o.-,Art.%20223.,-Conceder%2Dse%2D%C3%A1" w:history="1">
        <w:r w:rsidRPr="00181501">
          <w:rPr>
            <w:rFonts w:eastAsia="Aptos"/>
            <w:color w:val="0000FF"/>
            <w:kern w:val="2"/>
            <w:sz w:val="24"/>
            <w:szCs w:val="24"/>
            <w:u w:val="single"/>
            <w:lang w:eastAsia="en-US"/>
            <w14:ligatures w14:val="standardContextual"/>
          </w:rPr>
          <w:t>Lei Complementar nº 75/1993</w:t>
        </w:r>
      </w:hyperlink>
      <w:r w:rsidRPr="00181501">
        <w:rPr>
          <w:rFonts w:eastAsia="Aptos"/>
          <w:kern w:val="2"/>
          <w:sz w:val="24"/>
          <w:szCs w:val="24"/>
          <w:lang w:eastAsia="en-US"/>
          <w14:ligatures w14:val="standardContextual"/>
        </w:rPr>
        <w:t xml:space="preserve">; ao art. 1º da </w:t>
      </w:r>
      <w:hyperlink r:id="rId31" w:history="1">
        <w:r w:rsidRPr="00181501">
          <w:rPr>
            <w:rFonts w:eastAsia="Aptos"/>
            <w:color w:val="0000FF"/>
            <w:kern w:val="2"/>
            <w:sz w:val="24"/>
            <w:szCs w:val="24"/>
            <w:u w:val="single"/>
            <w:lang w:eastAsia="en-US"/>
            <w14:ligatures w14:val="standardContextual"/>
          </w:rPr>
          <w:t>Lei nº 13.109/2015</w:t>
        </w:r>
      </w:hyperlink>
      <w:r w:rsidRPr="00181501">
        <w:rPr>
          <w:rFonts w:eastAsia="Aptos"/>
          <w:kern w:val="2"/>
          <w:sz w:val="24"/>
          <w:szCs w:val="24"/>
          <w:lang w:eastAsia="en-US"/>
          <w14:ligatures w14:val="standardContextual"/>
        </w:rPr>
        <w:t xml:space="preserve">; e ao art. 1º, I, da </w:t>
      </w:r>
      <w:hyperlink r:id="rId32" w:history="1">
        <w:r w:rsidRPr="00181501">
          <w:rPr>
            <w:rFonts w:eastAsia="Aptos"/>
            <w:color w:val="0000FF"/>
            <w:kern w:val="2"/>
            <w:sz w:val="24"/>
            <w:szCs w:val="24"/>
            <w:u w:val="single"/>
            <w:lang w:eastAsia="en-US"/>
            <w14:ligatures w14:val="standardContextual"/>
          </w:rPr>
          <w:t>Lei nº 11.770/2008</w:t>
        </w:r>
      </w:hyperlink>
      <w:r w:rsidRPr="00181501">
        <w:rPr>
          <w:rFonts w:eastAsia="Aptos"/>
          <w:kern w:val="2"/>
          <w:sz w:val="24"/>
          <w:szCs w:val="24"/>
          <w:lang w:eastAsia="en-US"/>
          <w14:ligatures w14:val="standardContextual"/>
        </w:rPr>
        <w:t>, para assegurar às mães biológicas e adotantes licença de igual duração e conteúdo, independentemente do vínculo laboral ou funcional. Determinou, ainda, a aplicação do entendimento às licenças futuras e àquelas em curso na data do julgamento, 23.09.2026, sem alcançar as já encerradas.</w:t>
      </w:r>
    </w:p>
    <w:p w14:paraId="2CB43CBB" w14:textId="77777777" w:rsidR="006904C0" w:rsidRPr="00181501" w:rsidRDefault="006904C0" w:rsidP="00181501">
      <w:pPr>
        <w:spacing w:line="360" w:lineRule="auto"/>
        <w:ind w:firstLine="709"/>
        <w:rPr>
          <w:rFonts w:eastAsia="Aptos"/>
          <w:kern w:val="2"/>
          <w:sz w:val="24"/>
          <w:szCs w:val="24"/>
          <w:lang w:eastAsia="en-US"/>
          <w14:ligatures w14:val="standardContextual"/>
        </w:rPr>
      </w:pPr>
    </w:p>
    <w:p w14:paraId="15EE980B" w14:textId="77777777" w:rsidR="00181501" w:rsidRPr="00181501" w:rsidRDefault="00181501" w:rsidP="00181501">
      <w:pPr>
        <w:spacing w:line="360" w:lineRule="auto"/>
        <w:ind w:firstLine="709"/>
        <w:rPr>
          <w:vanish/>
          <w:sz w:val="24"/>
          <w:szCs w:val="24"/>
          <w:lang w:eastAsia="en-US"/>
        </w:rPr>
      </w:pPr>
    </w:p>
    <w:p w14:paraId="7D4B9A89" w14:textId="7991B8F9" w:rsidR="00181501" w:rsidRPr="00907902" w:rsidRDefault="00181501" w:rsidP="00907902">
      <w:pPr>
        <w:pStyle w:val="PargrafodaLista"/>
        <w:numPr>
          <w:ilvl w:val="0"/>
          <w:numId w:val="28"/>
        </w:numPr>
        <w:tabs>
          <w:tab w:val="left" w:pos="2868"/>
        </w:tabs>
        <w:spacing w:after="120"/>
        <w:contextualSpacing/>
        <w:rPr>
          <w:rFonts w:ascii="Aptos" w:eastAsia="Aptos" w:hAnsi="Aptos"/>
          <w:kern w:val="2"/>
          <w:sz w:val="22"/>
          <w:szCs w:val="22"/>
          <w:lang w:eastAsia="en-US"/>
          <w14:ligatures w14:val="standardContextual"/>
        </w:rPr>
      </w:pPr>
      <w:r w:rsidRPr="00907902">
        <w:rPr>
          <w:rFonts w:ascii="Arial" w:hAnsi="Arial" w:cs="Arial"/>
          <w:sz w:val="20"/>
          <w:szCs w:val="20"/>
        </w:rPr>
        <w:t xml:space="preserve">Precedentes citados: </w:t>
      </w:r>
      <w:hyperlink r:id="rId33" w:history="1">
        <w:r w:rsidRPr="00907902">
          <w:rPr>
            <w:rFonts w:ascii="Aptos" w:eastAsia="Aptos" w:hAnsi="Aptos"/>
            <w:color w:val="0000FF"/>
            <w:kern w:val="2"/>
            <w:sz w:val="22"/>
            <w:szCs w:val="22"/>
            <w:u w:val="single"/>
            <w:lang w:eastAsia="en-US"/>
            <w14:ligatures w14:val="standardContextual"/>
          </w:rPr>
          <w:t>ADO 20</w:t>
        </w:r>
      </w:hyperlink>
      <w:r w:rsidRPr="00907902">
        <w:rPr>
          <w:rFonts w:ascii="Aptos" w:eastAsia="Aptos" w:hAnsi="Aptos"/>
          <w:kern w:val="2"/>
          <w:sz w:val="22"/>
          <w:szCs w:val="22"/>
          <w:lang w:eastAsia="en-US"/>
          <w14:ligatures w14:val="standardContextual"/>
        </w:rPr>
        <w:t xml:space="preserve"> e </w:t>
      </w:r>
      <w:hyperlink r:id="rId34" w:history="1">
        <w:r w:rsidRPr="00907902">
          <w:rPr>
            <w:rFonts w:ascii="Aptos" w:eastAsia="Aptos" w:hAnsi="Aptos"/>
            <w:color w:val="0000FF"/>
            <w:kern w:val="2"/>
            <w:sz w:val="22"/>
            <w:szCs w:val="22"/>
            <w:u w:val="single"/>
            <w:lang w:eastAsia="en-US"/>
            <w14:ligatures w14:val="standardContextual"/>
          </w:rPr>
          <w:t>ADI 7.518</w:t>
        </w:r>
      </w:hyperlink>
      <w:r w:rsidRPr="00907902">
        <w:rPr>
          <w:rFonts w:ascii="Aptos" w:eastAsia="Aptos" w:hAnsi="Aptos"/>
          <w:kern w:val="2"/>
          <w:sz w:val="22"/>
          <w:szCs w:val="22"/>
          <w:lang w:eastAsia="en-US"/>
          <w14:ligatures w14:val="standardContextual"/>
        </w:rPr>
        <w:t>.</w:t>
      </w:r>
    </w:p>
    <w:p w14:paraId="587470FB" w14:textId="77777777" w:rsidR="00181501" w:rsidRPr="00907902" w:rsidRDefault="00181501" w:rsidP="00181501">
      <w:pPr>
        <w:tabs>
          <w:tab w:val="left" w:pos="2868"/>
        </w:tabs>
        <w:spacing w:after="120"/>
        <w:ind w:left="1068"/>
        <w:contextualSpacing/>
        <w:rPr>
          <w:sz w:val="24"/>
          <w:szCs w:val="24"/>
        </w:rPr>
      </w:pPr>
      <w:r w:rsidRPr="00181501">
        <w:rPr>
          <w:rFonts w:ascii="Aptos" w:eastAsia="Aptos" w:hAnsi="Aptos"/>
          <w:color w:val="0000FF"/>
          <w:kern w:val="2"/>
          <w:sz w:val="22"/>
          <w:szCs w:val="22"/>
          <w:lang w:eastAsia="en-US"/>
          <w14:ligatures w14:val="standardContextual"/>
        </w:rPr>
        <w:t xml:space="preserve"> </w:t>
      </w:r>
    </w:p>
    <w:bookmarkEnd w:id="4"/>
    <w:p w14:paraId="061F26BA" w14:textId="77777777" w:rsidR="00181501" w:rsidRPr="00181501" w:rsidRDefault="00181501" w:rsidP="00181501">
      <w:pPr>
        <w:spacing w:line="360" w:lineRule="auto"/>
        <w:rPr>
          <w:color w:val="0000FF"/>
          <w:sz w:val="24"/>
          <w:szCs w:val="24"/>
          <w:u w:val="single"/>
          <w:lang w:eastAsia="en-US"/>
        </w:rPr>
      </w:pPr>
      <w:r w:rsidRPr="00181501">
        <w:rPr>
          <w:color w:val="0000FF"/>
          <w:sz w:val="24"/>
          <w:szCs w:val="24"/>
          <w:u w:val="single"/>
          <w:lang w:eastAsia="en-US"/>
        </w:rPr>
        <w:fldChar w:fldCharType="begin"/>
      </w:r>
      <w:r w:rsidRPr="00181501">
        <w:rPr>
          <w:color w:val="0000FF"/>
          <w:sz w:val="24"/>
          <w:szCs w:val="24"/>
          <w:u w:val="single"/>
          <w:lang w:eastAsia="en-US"/>
        </w:rPr>
        <w:instrText>HYPERLINK "https://portal.stf.jus.br/processos/detalhe.asp?incidente=6775231"</w:instrText>
      </w:r>
      <w:r w:rsidRPr="00181501">
        <w:rPr>
          <w:color w:val="0000FF"/>
          <w:sz w:val="24"/>
          <w:szCs w:val="24"/>
          <w:u w:val="single"/>
          <w:lang w:eastAsia="en-US"/>
        </w:rPr>
      </w:r>
      <w:r w:rsidRPr="00181501">
        <w:rPr>
          <w:color w:val="0000FF"/>
          <w:sz w:val="24"/>
          <w:szCs w:val="24"/>
          <w:u w:val="single"/>
          <w:lang w:eastAsia="en-US"/>
        </w:rPr>
        <w:fldChar w:fldCharType="separate"/>
      </w:r>
      <w:r w:rsidRPr="00181501">
        <w:rPr>
          <w:color w:val="0000FF"/>
          <w:sz w:val="24"/>
          <w:szCs w:val="24"/>
          <w:u w:val="single"/>
          <w:lang w:eastAsia="en-US"/>
        </w:rPr>
        <w:t>ADI 7.495/DF, relator Ministro Alexandre de Moraes, julgamento finalizado em 23.09.2026 (quarta-feira)</w:t>
      </w:r>
      <w:r w:rsidRPr="00181501">
        <w:rPr>
          <w:color w:val="0000FF"/>
          <w:sz w:val="24"/>
          <w:szCs w:val="24"/>
          <w:u w:val="single"/>
          <w:lang w:eastAsia="en-US"/>
        </w:rPr>
        <w:fldChar w:fldCharType="end"/>
      </w:r>
    </w:p>
    <w:p w14:paraId="741D635E" w14:textId="77777777" w:rsidR="00181501" w:rsidRPr="00181501" w:rsidRDefault="00181501" w:rsidP="00181501">
      <w:pPr>
        <w:rPr>
          <w:rFonts w:ascii="Aptos" w:eastAsia="Aptos" w:hAnsi="Aptos"/>
          <w:noProof/>
          <w:kern w:val="2"/>
          <w:sz w:val="22"/>
          <w:szCs w:val="22"/>
          <w:lang w:eastAsia="en-US"/>
          <w14:ligatures w14:val="standardContextual"/>
        </w:rPr>
      </w:pPr>
      <w:r w:rsidRPr="00181501">
        <w:rPr>
          <w:rFonts w:ascii="Aptos" w:eastAsia="Aptos" w:hAnsi="Aptos"/>
          <w:noProof/>
          <w:kern w:val="2"/>
          <w:sz w:val="22"/>
          <w:szCs w:val="22"/>
          <w:lang w:eastAsia="en-US"/>
          <w14:ligatures w14:val="standardContextual"/>
        </w:rPr>
        <w:drawing>
          <wp:inline distT="0" distB="0" distL="0" distR="0" wp14:anchorId="419CDBD3" wp14:editId="39AA076B">
            <wp:extent cx="1186180" cy="123825"/>
            <wp:effectExtent l="0" t="0" r="0" b="9525"/>
            <wp:docPr id="406898668" name="Imagem 2" descr="P:\Informativos\Imagens\03_18px.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8668" name="Imagem 2" descr="P:\Informativos\Imagens\03_18px.png">
                      <a:hlinkClick r:id="rId35"/>
                    </pic:cNvPr>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514F7B38" w14:textId="2679F706" w:rsidR="00181501" w:rsidRDefault="00181501" w:rsidP="00181501">
      <w:pPr>
        <w:autoSpaceDE w:val="0"/>
        <w:autoSpaceDN w:val="0"/>
        <w:adjustRightInd w:val="0"/>
      </w:pPr>
      <w:r w:rsidRPr="00181501">
        <w:rPr>
          <w:rFonts w:ascii="Aptos" w:eastAsia="Aptos" w:hAnsi="Aptos"/>
          <w:noProof/>
          <w:kern w:val="2"/>
          <w:sz w:val="22"/>
          <w:szCs w:val="22"/>
          <w:lang w:eastAsia="en-US"/>
          <w14:ligatures w14:val="standardContextual"/>
        </w:rPr>
        <w:drawing>
          <wp:inline distT="0" distB="0" distL="0" distR="0" wp14:anchorId="4AEB7594" wp14:editId="460A8336">
            <wp:extent cx="1186180" cy="123825"/>
            <wp:effectExtent l="0" t="0" r="0" b="9525"/>
            <wp:docPr id="2068770161" name="Imagem 2" descr="P:\Informativos\Imagens\03_18px.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70161" name="Imagem 2" descr="P:\Informativos\Imagens\03_18px.png">
                      <a:hlinkClick r:id="rId37"/>
                    </pic:cNvPr>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3E4DD5E5" w14:textId="77777777" w:rsidR="00181501" w:rsidRPr="001A13F0" w:rsidRDefault="00181501" w:rsidP="00181501">
      <w:pPr>
        <w:autoSpaceDE w:val="0"/>
        <w:autoSpaceDN w:val="0"/>
        <w:adjustRightInd w:val="0"/>
      </w:pPr>
    </w:p>
    <w:bookmarkEnd w:id="2"/>
    <w:p w14:paraId="19EAEC63" w14:textId="1975354A" w:rsidR="00E317FB" w:rsidRDefault="001A13F0" w:rsidP="001A13F0">
      <w:pPr>
        <w:contextualSpacing/>
        <w:jc w:val="right"/>
      </w:pPr>
      <w:r>
        <w:fldChar w:fldCharType="begin"/>
      </w:r>
      <w:r>
        <w:instrText>HYPERLINK \l "SUMÁRIO"</w:instrText>
      </w:r>
      <w:r>
        <w:fldChar w:fldCharType="separate"/>
      </w:r>
      <w:r w:rsidRPr="003172B4">
        <w:rPr>
          <w:rStyle w:val="Hyperlink"/>
          <w:sz w:val="16"/>
          <w:szCs w:val="16"/>
        </w:rPr>
        <w:t>S</w:t>
      </w:r>
      <w:r w:rsidRPr="003172B4">
        <w:rPr>
          <w:rStyle w:val="Hyperlink"/>
          <w:sz w:val="16"/>
          <w:szCs w:val="16"/>
        </w:rPr>
        <w:t>u</w:t>
      </w:r>
      <w:r w:rsidRPr="003172B4">
        <w:rPr>
          <w:rStyle w:val="Hyperlink"/>
          <w:sz w:val="16"/>
          <w:szCs w:val="16"/>
        </w:rPr>
        <w:t>mário</w:t>
      </w:r>
      <w:r>
        <w:fldChar w:fldCharType="end"/>
      </w:r>
    </w:p>
    <w:p w14:paraId="53B6AC70" w14:textId="77777777" w:rsidR="001A13F0" w:rsidRPr="001A13F0" w:rsidRDefault="001A13F0" w:rsidP="00C1099A">
      <w:pPr>
        <w:contextualSpacing/>
        <w:rPr>
          <w:rStyle w:val="Hyperlink"/>
          <w:b/>
          <w:bCs/>
          <w:color w:val="auto"/>
          <w:sz w:val="24"/>
          <w:szCs w:val="24"/>
          <w:shd w:val="clear" w:color="auto" w:fill="FFFFFF"/>
        </w:rPr>
      </w:pPr>
    </w:p>
    <w:p w14:paraId="2C654D0E" w14:textId="77777777" w:rsidR="001A13F0" w:rsidRPr="001A13F0" w:rsidRDefault="001A13F0" w:rsidP="001A13F0">
      <w:pPr>
        <w:rPr>
          <w:sz w:val="24"/>
          <w:szCs w:val="24"/>
          <w:lang w:eastAsia="en-US"/>
        </w:rPr>
      </w:pPr>
      <w:r w:rsidRPr="001A13F0">
        <w:rPr>
          <w:sz w:val="24"/>
          <w:szCs w:val="24"/>
          <w:lang w:eastAsia="en-US"/>
        </w:rPr>
        <w:t xml:space="preserve">DIREITO ADMINISTRATIVO – </w:t>
      </w:r>
      <w:bookmarkStart w:id="5" w:name="_Hlk241833912"/>
      <w:r w:rsidRPr="001A13F0">
        <w:rPr>
          <w:sz w:val="24"/>
          <w:szCs w:val="24"/>
          <w:lang w:eastAsia="en-US"/>
        </w:rPr>
        <w:t xml:space="preserve">POLÍCIA PENAL; </w:t>
      </w:r>
      <w:r w:rsidRPr="001A13F0">
        <w:rPr>
          <w:sz w:val="24"/>
          <w:szCs w:val="24"/>
        </w:rPr>
        <w:t xml:space="preserve">AGENTES DE SEGURANÇA PENITENCIÁRIOS; </w:t>
      </w:r>
      <w:r w:rsidRPr="001A13F0">
        <w:rPr>
          <w:sz w:val="24"/>
          <w:szCs w:val="24"/>
          <w:lang w:eastAsia="en-US"/>
        </w:rPr>
        <w:t>CONTRATO TEMPORÁRIO</w:t>
      </w:r>
      <w:bookmarkEnd w:id="5"/>
    </w:p>
    <w:p w14:paraId="47CFA1E7" w14:textId="77777777" w:rsidR="001A13F0" w:rsidRPr="001A13F0" w:rsidRDefault="001A13F0" w:rsidP="001A13F0">
      <w:pPr>
        <w:rPr>
          <w:sz w:val="24"/>
          <w:szCs w:val="24"/>
          <w:lang w:eastAsia="en-US"/>
        </w:rPr>
      </w:pPr>
    </w:p>
    <w:p w14:paraId="4549D752" w14:textId="77777777" w:rsidR="001A13F0" w:rsidRPr="001A13F0" w:rsidRDefault="001A13F0" w:rsidP="001A13F0">
      <w:pPr>
        <w:autoSpaceDE w:val="0"/>
        <w:autoSpaceDN w:val="0"/>
        <w:adjustRightInd w:val="0"/>
        <w:rPr>
          <w:sz w:val="24"/>
          <w:szCs w:val="24"/>
          <w:lang w:eastAsia="en-US"/>
        </w:rPr>
      </w:pPr>
      <w:bookmarkStart w:id="6" w:name="Restrição"/>
      <w:bookmarkStart w:id="7" w:name="penitenciário"/>
      <w:bookmarkStart w:id="8" w:name="_Hlk241833946"/>
      <w:bookmarkEnd w:id="6"/>
      <w:bookmarkEnd w:id="7"/>
      <w:r w:rsidRPr="001A13F0">
        <w:rPr>
          <w:b/>
          <w:bCs/>
          <w:i/>
          <w:iCs/>
          <w:sz w:val="24"/>
          <w:szCs w:val="24"/>
          <w:lang w:eastAsia="en-US"/>
        </w:rPr>
        <w:t>Contratação de agentes temporários para o desempenho de atribuições da Polícia Penal</w:t>
      </w:r>
      <w:bookmarkEnd w:id="8"/>
      <w:r w:rsidRPr="001A13F0">
        <w:rPr>
          <w:b/>
          <w:bCs/>
          <w:i/>
          <w:iCs/>
          <w:sz w:val="24"/>
          <w:szCs w:val="24"/>
          <w:lang w:eastAsia="en-US"/>
        </w:rPr>
        <w:t xml:space="preserve"> </w:t>
      </w:r>
      <w:bookmarkStart w:id="9" w:name="_Hlk241833965"/>
      <w:r w:rsidRPr="001A13F0">
        <w:rPr>
          <w:b/>
          <w:bCs/>
          <w:i/>
          <w:iCs/>
          <w:sz w:val="24"/>
          <w:szCs w:val="24"/>
          <w:lang w:eastAsia="en-US"/>
        </w:rPr>
        <w:t>–</w:t>
      </w:r>
      <w:r w:rsidRPr="001A13F0">
        <w:rPr>
          <w:sz w:val="24"/>
          <w:szCs w:val="24"/>
          <w:lang w:eastAsia="en-US"/>
        </w:rPr>
        <w:t xml:space="preserve"> </w:t>
      </w:r>
      <w:hyperlink r:id="rId38" w:history="1">
        <w:r w:rsidRPr="00EE3074">
          <w:rPr>
            <w:rStyle w:val="Hyperlink"/>
            <w:color w:val="auto"/>
            <w:sz w:val="24"/>
            <w:szCs w:val="24"/>
            <w:u w:val="none"/>
          </w:rPr>
          <w:t>ADI 7.069/GO</w:t>
        </w:r>
      </w:hyperlink>
      <w:bookmarkEnd w:id="9"/>
      <w:r w:rsidRPr="001A13F0">
        <w:rPr>
          <w:sz w:val="24"/>
          <w:szCs w:val="24"/>
          <w:lang w:eastAsia="en-US"/>
        </w:rPr>
        <w:t xml:space="preserve"> </w:t>
      </w:r>
      <w:r w:rsidRPr="001A13F0">
        <w:rPr>
          <w:noProof/>
          <w:sz w:val="24"/>
          <w:szCs w:val="24"/>
        </w:rPr>
        <w:drawing>
          <wp:inline distT="0" distB="0" distL="0" distR="0" wp14:anchorId="38DA6ABF" wp14:editId="2E3E014C">
            <wp:extent cx="1195705" cy="180975"/>
            <wp:effectExtent l="0" t="0" r="4445" b="9525"/>
            <wp:docPr id="1474631096" name="Imagem 4">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39"/>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CD63856" w14:textId="77777777" w:rsidR="001A13F0" w:rsidRPr="001A13F0" w:rsidRDefault="001A13F0" w:rsidP="001A13F0">
      <w:pPr>
        <w:autoSpaceDE w:val="0"/>
        <w:autoSpaceDN w:val="0"/>
        <w:adjustRightInd w:val="0"/>
        <w:rPr>
          <w:sz w:val="24"/>
          <w:szCs w:val="24"/>
        </w:rPr>
      </w:pPr>
    </w:p>
    <w:p w14:paraId="013C0307" w14:textId="77777777" w:rsidR="001A13F0" w:rsidRPr="001A13F0" w:rsidRDefault="001A13F0" w:rsidP="001A13F0">
      <w:pPr>
        <w:rPr>
          <w:sz w:val="24"/>
          <w:szCs w:val="24"/>
        </w:rPr>
      </w:pPr>
      <w:r w:rsidRPr="001A13F0">
        <w:rPr>
          <w:b/>
          <w:bCs/>
          <w:sz w:val="24"/>
          <w:szCs w:val="24"/>
        </w:rPr>
        <w:t>ODS:</w:t>
      </w:r>
      <w:r w:rsidRPr="001A13F0">
        <w:rPr>
          <w:sz w:val="24"/>
          <w:szCs w:val="24"/>
        </w:rPr>
        <w:t xml:space="preserve"> </w:t>
      </w:r>
      <w:hyperlink r:id="rId40" w:history="1">
        <w:r w:rsidRPr="001A13F0">
          <w:rPr>
            <w:rStyle w:val="Hyperlink"/>
            <w:sz w:val="24"/>
            <w:szCs w:val="24"/>
          </w:rPr>
          <w:t>8</w:t>
        </w:r>
      </w:hyperlink>
      <w:r w:rsidRPr="001A13F0">
        <w:rPr>
          <w:sz w:val="24"/>
          <w:szCs w:val="24"/>
        </w:rPr>
        <w:t xml:space="preserve"> e </w:t>
      </w:r>
      <w:hyperlink r:id="rId41" w:history="1">
        <w:r w:rsidRPr="001A13F0">
          <w:rPr>
            <w:rStyle w:val="Hyperlink"/>
            <w:sz w:val="24"/>
            <w:szCs w:val="24"/>
          </w:rPr>
          <w:t>16</w:t>
        </w:r>
      </w:hyperlink>
    </w:p>
    <w:p w14:paraId="764CD777" w14:textId="77777777" w:rsidR="001A13F0" w:rsidRPr="001A13F0" w:rsidRDefault="001A13F0" w:rsidP="001A13F0">
      <w:pPr>
        <w:autoSpaceDE w:val="0"/>
        <w:autoSpaceDN w:val="0"/>
        <w:adjustRightInd w:val="0"/>
        <w:spacing w:line="360" w:lineRule="auto"/>
        <w:rPr>
          <w:sz w:val="24"/>
          <w:szCs w:val="24"/>
          <w:lang w:eastAsia="en-US"/>
        </w:rPr>
      </w:pPr>
    </w:p>
    <w:p w14:paraId="7CF2EBB6" w14:textId="77777777" w:rsidR="001A13F0" w:rsidRPr="001A13F0" w:rsidRDefault="001A13F0" w:rsidP="001A13F0">
      <w:pPr>
        <w:spacing w:line="360" w:lineRule="auto"/>
        <w:rPr>
          <w:sz w:val="24"/>
          <w:szCs w:val="24"/>
          <w:lang w:eastAsia="en-US"/>
        </w:rPr>
      </w:pPr>
      <w:r w:rsidRPr="001A13F0">
        <w:rPr>
          <w:sz w:val="24"/>
          <w:szCs w:val="24"/>
          <w:lang w:eastAsia="en-US"/>
        </w:rPr>
        <w:t>Resumo:</w:t>
      </w:r>
    </w:p>
    <w:p w14:paraId="0E4997B0" w14:textId="77777777" w:rsidR="001A13F0" w:rsidRPr="001A13F0" w:rsidRDefault="001A13F0" w:rsidP="001A13F0">
      <w:pPr>
        <w:spacing w:line="360" w:lineRule="auto"/>
        <w:ind w:firstLine="708"/>
        <w:rPr>
          <w:b/>
          <w:bCs/>
          <w:sz w:val="24"/>
          <w:szCs w:val="24"/>
          <w:lang w:eastAsia="en-US"/>
        </w:rPr>
      </w:pPr>
      <w:r w:rsidRPr="001A13F0">
        <w:rPr>
          <w:b/>
          <w:bCs/>
          <w:sz w:val="24"/>
          <w:szCs w:val="24"/>
          <w:lang w:eastAsia="en-US"/>
        </w:rPr>
        <w:lastRenderedPageBreak/>
        <w:t>É inconstitucional – por violar a exigência de concurso público e a regra específica do art. 4º da EC nº 104/2019 – a contratação de agentes temporários para o desempenho de atribuições próprias da Polícia Penal.</w:t>
      </w:r>
    </w:p>
    <w:p w14:paraId="384CE413" w14:textId="77777777" w:rsidR="001A13F0" w:rsidRPr="001A13F0" w:rsidRDefault="001A13F0" w:rsidP="001A13F0">
      <w:pPr>
        <w:spacing w:line="360" w:lineRule="auto"/>
        <w:ind w:firstLine="708"/>
        <w:rPr>
          <w:sz w:val="24"/>
          <w:szCs w:val="24"/>
          <w:lang w:eastAsia="en-US"/>
        </w:rPr>
      </w:pPr>
      <w:r w:rsidRPr="001A13F0">
        <w:rPr>
          <w:sz w:val="24"/>
          <w:szCs w:val="24"/>
          <w:lang w:eastAsia="en-US"/>
        </w:rPr>
        <w:t xml:space="preserve">A Constituição Federal estabelece que a investidura em cargo ou emprego público, como regra, depende de prévia aprovação em concurso público, constituindo a contratação por tempo determinado uma exceção condicionada ao atendimento de necessidade temporária de excepcional interesse público (1). Com a promulgação da Emenda Constitucional nº 104/2019, as polícias penais foram inseridas no rol dos órgãos de segurança pública encarregados da segurança dos estabelecimentos penais (2), prevendo-se expressamente que o preenchimento de seus quadros ocorrerá, exclusivamente, mediante concurso público ou pela transformação dos cargos preexistentes (3). </w:t>
      </w:r>
    </w:p>
    <w:p w14:paraId="78D67C06" w14:textId="77777777" w:rsidR="001A13F0" w:rsidRPr="001A13F0" w:rsidRDefault="001A13F0" w:rsidP="001A13F0">
      <w:pPr>
        <w:spacing w:line="360" w:lineRule="auto"/>
        <w:ind w:firstLine="708"/>
        <w:rPr>
          <w:sz w:val="24"/>
          <w:szCs w:val="24"/>
          <w:lang w:eastAsia="en-US"/>
        </w:rPr>
      </w:pPr>
      <w:r w:rsidRPr="001A13F0">
        <w:rPr>
          <w:sz w:val="24"/>
          <w:szCs w:val="24"/>
          <w:lang w:eastAsia="en-US"/>
        </w:rPr>
        <w:t xml:space="preserve">Conforme a jurisprudência desta Corte (4), a carência ordinária ou estrutural de pessoal não autoriza o uso continuado de vínculos temporários para suprir funções estatais permanentes e essenciais. As atividades de vigilância e segurança penitenciária envolvem o exercício direto do poder de polícia sobre pessoas custodiadas pelo Estado, exigindo desempenho exclusivo pelo quadro efetivo. Dessa forma, a mera denominação formal de “vigilante penitenciário” não descaracteriza o exercício de atribuições próprias da Polícia Penal, tornando inconstitucional a incidência de hipóteses genéricas de contratação temporária para esse fim. </w:t>
      </w:r>
    </w:p>
    <w:p w14:paraId="5760EB30" w14:textId="77777777" w:rsidR="001A13F0" w:rsidRPr="001A13F0" w:rsidRDefault="001A13F0" w:rsidP="001A13F0">
      <w:pPr>
        <w:spacing w:line="360" w:lineRule="auto"/>
        <w:ind w:firstLine="708"/>
        <w:rPr>
          <w:sz w:val="24"/>
          <w:szCs w:val="24"/>
          <w:lang w:eastAsia="en-US"/>
        </w:rPr>
      </w:pPr>
      <w:r w:rsidRPr="001A13F0">
        <w:rPr>
          <w:sz w:val="24"/>
          <w:szCs w:val="24"/>
          <w:lang w:eastAsia="en-US"/>
        </w:rPr>
        <w:t>Com o objetivo de assegurar a continuidade do serviço público essencial e viabilizar a adequação do quadro funcional mediante a realização de concurso público, é cabível a atribuição de eficácia prospectiva à declaração de inconstitucionalidade. Assim, fixa-se o prazo de dois anos, contados da publicação da ata de julgamento, para que o Estado promova a regularização de seu pessoal no âmbito do sistema prisional.</w:t>
      </w:r>
    </w:p>
    <w:p w14:paraId="3C2B77C4" w14:textId="7C98FB5A" w:rsidR="001A13F0" w:rsidRPr="001A13F0" w:rsidRDefault="001A13F0" w:rsidP="001A13F0">
      <w:pPr>
        <w:spacing w:line="360" w:lineRule="auto"/>
        <w:ind w:firstLine="708"/>
        <w:rPr>
          <w:sz w:val="24"/>
          <w:szCs w:val="24"/>
          <w:lang w:eastAsia="en-US"/>
        </w:rPr>
      </w:pPr>
      <w:r w:rsidRPr="001A13F0">
        <w:rPr>
          <w:sz w:val="24"/>
          <w:szCs w:val="24"/>
          <w:lang w:eastAsia="en-US"/>
        </w:rPr>
        <w:t xml:space="preserve">Com base nesses e em outros entendimentos, o Plenário, por unanimidade, conheceu parcialmente da ação direta e, nessa extensão, julgou procedente o pedido para declarar a inconstitucionalidade, sem redução de texto, da aplicação da expressão “segurança pública”, constante do </w:t>
      </w:r>
      <w:hyperlink r:id="rId42" w:history="1">
        <w:r w:rsidRPr="001A13F0">
          <w:rPr>
            <w:rStyle w:val="Hyperlink"/>
            <w:sz w:val="24"/>
            <w:szCs w:val="24"/>
            <w:lang w:eastAsia="en-US"/>
          </w:rPr>
          <w:t xml:space="preserve">art. 2º, inciso VI, alínea </w:t>
        </w:r>
        <w:r w:rsidRPr="002137C1">
          <w:rPr>
            <w:rStyle w:val="Hyperlink"/>
            <w:i/>
            <w:iCs/>
            <w:sz w:val="24"/>
            <w:szCs w:val="24"/>
            <w:lang w:eastAsia="en-US"/>
          </w:rPr>
          <w:t>a</w:t>
        </w:r>
        <w:r w:rsidRPr="001A13F0">
          <w:rPr>
            <w:rStyle w:val="Hyperlink"/>
            <w:sz w:val="24"/>
            <w:szCs w:val="24"/>
            <w:lang w:eastAsia="en-US"/>
          </w:rPr>
          <w:t xml:space="preserve">, da Lei nº 20.918/2020 do </w:t>
        </w:r>
        <w:r w:rsidR="00B422AC">
          <w:rPr>
            <w:rStyle w:val="Hyperlink"/>
            <w:sz w:val="24"/>
            <w:szCs w:val="24"/>
            <w:lang w:eastAsia="en-US"/>
          </w:rPr>
          <w:t>E</w:t>
        </w:r>
        <w:r w:rsidRPr="001A13F0">
          <w:rPr>
            <w:rStyle w:val="Hyperlink"/>
            <w:sz w:val="24"/>
            <w:szCs w:val="24"/>
            <w:lang w:eastAsia="en-US"/>
          </w:rPr>
          <w:t>stado de Goiás</w:t>
        </w:r>
      </w:hyperlink>
      <w:r w:rsidRPr="001A13F0">
        <w:rPr>
          <w:sz w:val="24"/>
          <w:szCs w:val="24"/>
          <w:lang w:eastAsia="en-US"/>
        </w:rPr>
        <w:t xml:space="preserve"> (5), à contratação temporária de vigilantes penitenciários para o desempenho de atribuições próprias da Polícia Penal, bem como, por arrastamento, do </w:t>
      </w:r>
      <w:hyperlink r:id="rId43" w:history="1">
        <w:r w:rsidRPr="001A13F0">
          <w:rPr>
            <w:rStyle w:val="Hyperlink"/>
            <w:sz w:val="24"/>
            <w:szCs w:val="24"/>
            <w:lang w:eastAsia="en-US"/>
          </w:rPr>
          <w:t xml:space="preserve">art. 1º do Decreto nº 9.812/2021 do </w:t>
        </w:r>
        <w:r w:rsidR="00B422AC">
          <w:rPr>
            <w:rStyle w:val="Hyperlink"/>
            <w:sz w:val="24"/>
            <w:szCs w:val="24"/>
            <w:lang w:eastAsia="en-US"/>
          </w:rPr>
          <w:t>E</w:t>
        </w:r>
        <w:r w:rsidRPr="001A13F0">
          <w:rPr>
            <w:rStyle w:val="Hyperlink"/>
            <w:sz w:val="24"/>
            <w:szCs w:val="24"/>
            <w:lang w:eastAsia="en-US"/>
          </w:rPr>
          <w:t>stado de Goiás</w:t>
        </w:r>
      </w:hyperlink>
      <w:r w:rsidRPr="001A13F0">
        <w:rPr>
          <w:sz w:val="24"/>
          <w:szCs w:val="24"/>
          <w:lang w:eastAsia="en-US"/>
        </w:rPr>
        <w:t xml:space="preserve"> (6)</w:t>
      </w:r>
      <w:r w:rsidRPr="001A13F0">
        <w:rPr>
          <w:kern w:val="1"/>
          <w:sz w:val="24"/>
          <w:szCs w:val="24"/>
          <w:lang w:eastAsia="en-US"/>
          <w14:ligatures w14:val="standardContextual"/>
        </w:rPr>
        <w:t>. Modul</w:t>
      </w:r>
      <w:r w:rsidR="00EF0AC6">
        <w:rPr>
          <w:kern w:val="1"/>
          <w:sz w:val="24"/>
          <w:szCs w:val="24"/>
          <w:lang w:eastAsia="en-US"/>
          <w14:ligatures w14:val="standardContextual"/>
        </w:rPr>
        <w:t>aram</w:t>
      </w:r>
      <w:r w:rsidRPr="001A13F0">
        <w:rPr>
          <w:kern w:val="1"/>
          <w:sz w:val="24"/>
          <w:szCs w:val="24"/>
          <w:lang w:eastAsia="en-US"/>
          <w14:ligatures w14:val="standardContextual"/>
        </w:rPr>
        <w:t>-se os efeitos da decisão para após o transcurso de dois anos da publicação da ata de julgamento, para adoção das providências necessárias à regularização do quadro de pessoal.</w:t>
      </w:r>
      <w:r w:rsidRPr="001A13F0">
        <w:rPr>
          <w:sz w:val="24"/>
          <w:szCs w:val="24"/>
          <w:lang w:eastAsia="en-US"/>
        </w:rPr>
        <w:t xml:space="preserve"> </w:t>
      </w:r>
    </w:p>
    <w:p w14:paraId="6A9E602F" w14:textId="77777777" w:rsidR="001A13F0" w:rsidRPr="00524D20" w:rsidRDefault="001A13F0" w:rsidP="001A13F0">
      <w:pPr>
        <w:spacing w:after="120"/>
        <w:ind w:firstLine="708"/>
        <w:rPr>
          <w:sz w:val="24"/>
          <w:szCs w:val="24"/>
        </w:rPr>
      </w:pPr>
    </w:p>
    <w:p w14:paraId="58DCDDF0" w14:textId="0EDCC91B" w:rsidR="001A13F0" w:rsidRPr="001A13F0" w:rsidRDefault="001A13F0" w:rsidP="001A13F0">
      <w:pPr>
        <w:spacing w:after="120"/>
        <w:ind w:firstLine="709"/>
        <w:rPr>
          <w:rFonts w:ascii="Arial" w:hAnsi="Arial" w:cs="Arial"/>
          <w:sz w:val="20"/>
          <w:szCs w:val="20"/>
        </w:rPr>
      </w:pPr>
      <w:r w:rsidRPr="001A13F0">
        <w:rPr>
          <w:rFonts w:ascii="Arial" w:hAnsi="Arial" w:cs="Arial"/>
          <w:sz w:val="20"/>
          <w:szCs w:val="20"/>
        </w:rPr>
        <w:lastRenderedPageBreak/>
        <w:t xml:space="preserve">(1) </w:t>
      </w:r>
      <w:hyperlink r:id="rId44" w:anchor=":~:text=19%2C%20de%201998)-,II,-%2D%20a%20investidura%20em" w:history="1">
        <w:r w:rsidRPr="001A13F0">
          <w:rPr>
            <w:rStyle w:val="Hyperlink"/>
            <w:rFonts w:ascii="Arial" w:hAnsi="Arial" w:cs="Arial"/>
            <w:sz w:val="20"/>
            <w:szCs w:val="20"/>
          </w:rPr>
          <w:t>CF/1988</w:t>
        </w:r>
      </w:hyperlink>
      <w:r w:rsidRPr="001A13F0">
        <w:rPr>
          <w:rFonts w:ascii="Arial" w:hAnsi="Arial" w:cs="Arial"/>
          <w:sz w:val="20"/>
          <w:szCs w:val="20"/>
        </w:rPr>
        <w:t xml:space="preserve">: “Art. 37. </w:t>
      </w:r>
      <w:r w:rsidRPr="001A13F0">
        <w:rPr>
          <w:rFonts w:ascii="Arial" w:hAnsi="Arial" w:cs="Arial"/>
          <w:color w:val="000000"/>
          <w:sz w:val="20"/>
          <w:szCs w:val="20"/>
          <w:shd w:val="clear" w:color="auto" w:fill="FFFFFF"/>
        </w:rPr>
        <w:t xml:space="preserve">A administração pública direta e indireta de qualquer dos Poderes da União, dos </w:t>
      </w:r>
      <w:r w:rsidR="002D603F">
        <w:rPr>
          <w:rFonts w:ascii="Arial" w:hAnsi="Arial" w:cs="Arial"/>
          <w:color w:val="000000"/>
          <w:sz w:val="20"/>
          <w:szCs w:val="20"/>
          <w:shd w:val="clear" w:color="auto" w:fill="FFFFFF"/>
        </w:rPr>
        <w:t>e</w:t>
      </w:r>
      <w:r w:rsidRPr="001A13F0">
        <w:rPr>
          <w:rFonts w:ascii="Arial" w:hAnsi="Arial" w:cs="Arial"/>
          <w:color w:val="000000"/>
          <w:sz w:val="20"/>
          <w:szCs w:val="20"/>
          <w:shd w:val="clear" w:color="auto" w:fill="FFFFFF"/>
        </w:rPr>
        <w:t>stados, do Distrito Federal e dos Municípios obedecerá aos princípios de legalidade, impessoalidade, moralidade, publicidade e eficiência e, também, ao seguinte:</w:t>
      </w:r>
      <w:r w:rsidRPr="001A13F0" w:rsidDel="00DD29D8">
        <w:rPr>
          <w:rFonts w:ascii="Arial" w:hAnsi="Arial" w:cs="Arial"/>
          <w:sz w:val="20"/>
          <w:szCs w:val="20"/>
        </w:rPr>
        <w:t xml:space="preserve"> </w:t>
      </w:r>
      <w:r w:rsidR="002137C1">
        <w:rPr>
          <w:rFonts w:ascii="Arial" w:hAnsi="Arial" w:cs="Arial"/>
          <w:sz w:val="20"/>
          <w:szCs w:val="20"/>
        </w:rPr>
        <w:t>(</w:t>
      </w:r>
      <w:r w:rsidRPr="001A13F0">
        <w:rPr>
          <w:rFonts w:ascii="Arial" w:hAnsi="Arial" w:cs="Arial"/>
          <w:sz w:val="20"/>
          <w:szCs w:val="20"/>
        </w:rPr>
        <w:t>...</w:t>
      </w:r>
      <w:r w:rsidR="002137C1">
        <w:rPr>
          <w:rFonts w:ascii="Arial" w:hAnsi="Arial" w:cs="Arial"/>
          <w:sz w:val="20"/>
          <w:szCs w:val="20"/>
        </w:rPr>
        <w:t>)</w:t>
      </w:r>
      <w:r w:rsidRPr="001A13F0">
        <w:rPr>
          <w:rFonts w:ascii="Arial" w:hAnsi="Arial" w:cs="Arial"/>
          <w:sz w:val="20"/>
          <w:szCs w:val="20"/>
        </w:rPr>
        <w:t xml:space="preserve"> 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w:t>
      </w:r>
      <w:r w:rsidR="002137C1">
        <w:rPr>
          <w:rFonts w:ascii="Arial" w:hAnsi="Arial" w:cs="Arial"/>
          <w:sz w:val="20"/>
          <w:szCs w:val="20"/>
        </w:rPr>
        <w:t>(</w:t>
      </w:r>
      <w:r w:rsidRPr="001A13F0">
        <w:rPr>
          <w:rFonts w:ascii="Arial" w:hAnsi="Arial" w:cs="Arial"/>
          <w:sz w:val="20"/>
          <w:szCs w:val="20"/>
        </w:rPr>
        <w:t>...</w:t>
      </w:r>
      <w:r w:rsidR="002137C1">
        <w:rPr>
          <w:rFonts w:ascii="Arial" w:hAnsi="Arial" w:cs="Arial"/>
          <w:sz w:val="20"/>
          <w:szCs w:val="20"/>
        </w:rPr>
        <w:t>)</w:t>
      </w:r>
      <w:r w:rsidRPr="001A13F0">
        <w:rPr>
          <w:rFonts w:ascii="Arial" w:hAnsi="Arial" w:cs="Arial"/>
          <w:sz w:val="20"/>
          <w:szCs w:val="20"/>
        </w:rPr>
        <w:t xml:space="preserve"> IX - a lei estabelecerá os casos de contratação por tempo determinado para atender a necessidade temporária de excepcional interesse público;”</w:t>
      </w:r>
    </w:p>
    <w:p w14:paraId="2C3B2B7D" w14:textId="1F3E8AF9" w:rsidR="001A13F0" w:rsidRPr="001A13F0" w:rsidRDefault="001A13F0" w:rsidP="001A13F0">
      <w:pPr>
        <w:spacing w:after="120"/>
        <w:ind w:firstLine="709"/>
        <w:rPr>
          <w:rFonts w:ascii="Arial" w:hAnsi="Arial" w:cs="Arial"/>
          <w:sz w:val="20"/>
          <w:szCs w:val="20"/>
        </w:rPr>
      </w:pPr>
      <w:r w:rsidRPr="001A13F0">
        <w:rPr>
          <w:rFonts w:ascii="Arial" w:hAnsi="Arial" w:cs="Arial"/>
          <w:sz w:val="20"/>
          <w:szCs w:val="20"/>
        </w:rPr>
        <w:t xml:space="preserve">(2) </w:t>
      </w:r>
      <w:hyperlink r:id="rId45" w:anchor=":~:text=de%20defesa%20civil.-,%C2%A7%205%C2%BA%2DA,-.%20%C3%80s%20pol%C3%ADcias%20penais" w:history="1">
        <w:r w:rsidRPr="001A13F0">
          <w:rPr>
            <w:rStyle w:val="Hyperlink"/>
            <w:rFonts w:ascii="Arial" w:hAnsi="Arial" w:cs="Arial"/>
            <w:sz w:val="20"/>
            <w:szCs w:val="20"/>
          </w:rPr>
          <w:t>CF/1988</w:t>
        </w:r>
      </w:hyperlink>
      <w:r w:rsidRPr="001A13F0">
        <w:rPr>
          <w:rFonts w:ascii="Arial" w:hAnsi="Arial" w:cs="Arial"/>
          <w:sz w:val="20"/>
          <w:szCs w:val="20"/>
        </w:rPr>
        <w:t xml:space="preserve">: “Art. 144. </w:t>
      </w:r>
      <w:r w:rsidRPr="001A13F0">
        <w:rPr>
          <w:rFonts w:ascii="Arial" w:hAnsi="Arial" w:cs="Arial"/>
          <w:color w:val="000000"/>
          <w:sz w:val="20"/>
          <w:szCs w:val="20"/>
          <w:shd w:val="clear" w:color="auto" w:fill="FFFFFF"/>
        </w:rPr>
        <w:t xml:space="preserve">A segurança pública, dever do </w:t>
      </w:r>
      <w:r w:rsidR="002D603F">
        <w:rPr>
          <w:rFonts w:ascii="Arial" w:hAnsi="Arial" w:cs="Arial"/>
          <w:color w:val="000000"/>
          <w:sz w:val="20"/>
          <w:szCs w:val="20"/>
          <w:shd w:val="clear" w:color="auto" w:fill="FFFFFF"/>
        </w:rPr>
        <w:t>e</w:t>
      </w:r>
      <w:r w:rsidRPr="001A13F0">
        <w:rPr>
          <w:rFonts w:ascii="Arial" w:hAnsi="Arial" w:cs="Arial"/>
          <w:color w:val="000000"/>
          <w:sz w:val="20"/>
          <w:szCs w:val="20"/>
          <w:shd w:val="clear" w:color="auto" w:fill="FFFFFF"/>
        </w:rPr>
        <w:t>stado, direito e responsabilidade de todos, é exercida para a preservação da ordem pública e da incolumidade das pessoas e do patrimônio, através dos seguintes órgãos:</w:t>
      </w:r>
      <w:r w:rsidRPr="001A13F0">
        <w:rPr>
          <w:rFonts w:ascii="Arial" w:hAnsi="Arial" w:cs="Arial"/>
          <w:sz w:val="20"/>
          <w:szCs w:val="20"/>
        </w:rPr>
        <w:t xml:space="preserve"> </w:t>
      </w:r>
      <w:r w:rsidR="00B422AC">
        <w:rPr>
          <w:rFonts w:ascii="Arial" w:hAnsi="Arial" w:cs="Arial"/>
          <w:sz w:val="20"/>
          <w:szCs w:val="20"/>
        </w:rPr>
        <w:t>(</w:t>
      </w:r>
      <w:r w:rsidRPr="001A13F0">
        <w:rPr>
          <w:rFonts w:ascii="Arial" w:hAnsi="Arial" w:cs="Arial"/>
          <w:sz w:val="20"/>
          <w:szCs w:val="20"/>
        </w:rPr>
        <w:t>...</w:t>
      </w:r>
      <w:r w:rsidR="00B422AC">
        <w:rPr>
          <w:rFonts w:ascii="Arial" w:hAnsi="Arial" w:cs="Arial"/>
          <w:sz w:val="20"/>
          <w:szCs w:val="20"/>
        </w:rPr>
        <w:t>)</w:t>
      </w:r>
      <w:r w:rsidRPr="001A13F0">
        <w:rPr>
          <w:rFonts w:ascii="Arial" w:hAnsi="Arial" w:cs="Arial"/>
          <w:sz w:val="20"/>
          <w:szCs w:val="20"/>
        </w:rPr>
        <w:t xml:space="preserve"> § 5º-A Às polícias penais, vinculadas ao órgão administrador do sistema penal da unidade federativa a que pertencem, cabe a segurança dos estabelecimentos penais.”</w:t>
      </w:r>
    </w:p>
    <w:p w14:paraId="75001214" w14:textId="77777777" w:rsidR="001A13F0" w:rsidRPr="001A13F0" w:rsidRDefault="001A13F0" w:rsidP="001A13F0">
      <w:pPr>
        <w:spacing w:after="120"/>
        <w:ind w:firstLine="709"/>
        <w:rPr>
          <w:rFonts w:ascii="Arial" w:hAnsi="Arial" w:cs="Arial"/>
          <w:sz w:val="20"/>
          <w:szCs w:val="20"/>
        </w:rPr>
      </w:pPr>
      <w:r w:rsidRPr="001A13F0">
        <w:rPr>
          <w:rFonts w:ascii="Arial" w:hAnsi="Arial" w:cs="Arial"/>
          <w:sz w:val="20"/>
          <w:szCs w:val="20"/>
        </w:rPr>
        <w:t xml:space="preserve">(3) </w:t>
      </w:r>
      <w:hyperlink r:id="rId46" w:anchor="art3:~:text=..................................................................................................................................%22%20(NR)-,Art.%204%C2%BA,-O%20preenchimento%20do" w:history="1">
        <w:r w:rsidRPr="001A13F0">
          <w:rPr>
            <w:rStyle w:val="Hyperlink"/>
            <w:rFonts w:ascii="Arial" w:hAnsi="Arial" w:cs="Arial"/>
            <w:sz w:val="20"/>
            <w:szCs w:val="20"/>
          </w:rPr>
          <w:t>EC nº 104/2019</w:t>
        </w:r>
      </w:hyperlink>
      <w:r w:rsidRPr="001A13F0">
        <w:rPr>
          <w:rFonts w:ascii="Arial" w:hAnsi="Arial" w:cs="Arial"/>
          <w:sz w:val="20"/>
          <w:szCs w:val="20"/>
        </w:rPr>
        <w:t>: “Art. 4º O preenchimento do quadro de servidores das polícias penais será feito, exclusivamente, por meio de concurso público e por meio da transformação dos cargos isolados, dos cargos de carreira dos atuais agentes penitenciários e dos cargos públicos equivalentes.”</w:t>
      </w:r>
    </w:p>
    <w:p w14:paraId="1EC287E6" w14:textId="77777777" w:rsidR="001A13F0" w:rsidRPr="001A13F0" w:rsidRDefault="001A13F0" w:rsidP="001A13F0">
      <w:pPr>
        <w:spacing w:after="120"/>
        <w:ind w:firstLine="709"/>
        <w:rPr>
          <w:rFonts w:ascii="Arial" w:hAnsi="Arial" w:cs="Arial"/>
          <w:sz w:val="20"/>
          <w:szCs w:val="20"/>
        </w:rPr>
      </w:pPr>
      <w:r w:rsidRPr="001A13F0">
        <w:rPr>
          <w:rFonts w:ascii="Arial" w:hAnsi="Arial" w:cs="Arial"/>
          <w:sz w:val="20"/>
          <w:szCs w:val="20"/>
        </w:rPr>
        <w:t xml:space="preserve">(4) Precedentes citados: </w:t>
      </w:r>
      <w:hyperlink r:id="rId47" w:history="1">
        <w:r w:rsidRPr="001A13F0">
          <w:rPr>
            <w:rStyle w:val="Hyperlink"/>
            <w:rFonts w:ascii="Arial" w:hAnsi="Arial" w:cs="Arial"/>
            <w:sz w:val="20"/>
            <w:szCs w:val="20"/>
          </w:rPr>
          <w:t>RE 658.026</w:t>
        </w:r>
      </w:hyperlink>
      <w:r w:rsidRPr="001A13F0">
        <w:rPr>
          <w:rFonts w:ascii="Arial" w:hAnsi="Arial" w:cs="Arial"/>
          <w:sz w:val="20"/>
          <w:szCs w:val="20"/>
        </w:rPr>
        <w:t xml:space="preserve"> (</w:t>
      </w:r>
      <w:hyperlink r:id="rId48" w:history="1">
        <w:r w:rsidRPr="00C239D3">
          <w:rPr>
            <w:rStyle w:val="Hyperlink"/>
            <w:rFonts w:ascii="Arial" w:hAnsi="Arial" w:cs="Arial"/>
            <w:sz w:val="20"/>
            <w:szCs w:val="20"/>
          </w:rPr>
          <w:t>Tema 612 RG</w:t>
        </w:r>
      </w:hyperlink>
      <w:r w:rsidRPr="001A13F0">
        <w:rPr>
          <w:rFonts w:ascii="Arial" w:hAnsi="Arial" w:cs="Arial"/>
          <w:sz w:val="20"/>
          <w:szCs w:val="20"/>
        </w:rPr>
        <w:t xml:space="preserve">), </w:t>
      </w:r>
      <w:hyperlink r:id="rId49" w:history="1">
        <w:r w:rsidRPr="001A13F0">
          <w:rPr>
            <w:rStyle w:val="Hyperlink"/>
            <w:rFonts w:ascii="Arial" w:hAnsi="Arial" w:cs="Arial"/>
            <w:sz w:val="20"/>
            <w:szCs w:val="20"/>
          </w:rPr>
          <w:t>ADI 3.222</w:t>
        </w:r>
      </w:hyperlink>
      <w:r w:rsidRPr="001A13F0">
        <w:rPr>
          <w:rFonts w:ascii="Arial" w:hAnsi="Arial" w:cs="Arial"/>
          <w:sz w:val="20"/>
          <w:szCs w:val="20"/>
        </w:rPr>
        <w:t xml:space="preserve">, </w:t>
      </w:r>
      <w:hyperlink r:id="rId50" w:history="1">
        <w:r w:rsidRPr="001A13F0">
          <w:rPr>
            <w:rStyle w:val="Hyperlink"/>
            <w:rFonts w:ascii="Arial" w:hAnsi="Arial" w:cs="Arial"/>
            <w:sz w:val="20"/>
            <w:szCs w:val="20"/>
          </w:rPr>
          <w:t>ADI 7.098</w:t>
        </w:r>
      </w:hyperlink>
      <w:r w:rsidRPr="001A13F0">
        <w:rPr>
          <w:rFonts w:ascii="Arial" w:hAnsi="Arial" w:cs="Arial"/>
          <w:sz w:val="20"/>
          <w:szCs w:val="20"/>
        </w:rPr>
        <w:t xml:space="preserve"> e </w:t>
      </w:r>
      <w:hyperlink r:id="rId51" w:history="1">
        <w:r w:rsidRPr="001A13F0">
          <w:rPr>
            <w:rStyle w:val="Hyperlink"/>
            <w:rFonts w:ascii="Arial" w:hAnsi="Arial" w:cs="Arial"/>
            <w:sz w:val="20"/>
            <w:szCs w:val="20"/>
          </w:rPr>
          <w:t>ADI 7.505</w:t>
        </w:r>
      </w:hyperlink>
      <w:r w:rsidRPr="001A13F0">
        <w:rPr>
          <w:rFonts w:ascii="Arial" w:hAnsi="Arial" w:cs="Arial"/>
          <w:sz w:val="20"/>
          <w:szCs w:val="20"/>
        </w:rPr>
        <w:t>.</w:t>
      </w:r>
    </w:p>
    <w:p w14:paraId="27E43522" w14:textId="714F1899" w:rsidR="001A13F0" w:rsidRPr="001A13F0" w:rsidRDefault="001A13F0" w:rsidP="001A13F0">
      <w:pPr>
        <w:spacing w:after="120"/>
        <w:ind w:firstLine="709"/>
        <w:rPr>
          <w:rFonts w:ascii="Arial" w:hAnsi="Arial" w:cs="Arial"/>
          <w:sz w:val="20"/>
          <w:szCs w:val="20"/>
        </w:rPr>
      </w:pPr>
      <w:r w:rsidRPr="001A13F0">
        <w:rPr>
          <w:rFonts w:ascii="Arial" w:hAnsi="Arial" w:cs="Arial"/>
          <w:sz w:val="20"/>
          <w:szCs w:val="20"/>
        </w:rPr>
        <w:t xml:space="preserve">(5) </w:t>
      </w:r>
      <w:hyperlink r:id="rId52" w:history="1">
        <w:r w:rsidRPr="001A13F0">
          <w:rPr>
            <w:rStyle w:val="Hyperlink"/>
            <w:rFonts w:ascii="Arial" w:hAnsi="Arial" w:cs="Arial"/>
            <w:sz w:val="20"/>
            <w:szCs w:val="20"/>
          </w:rPr>
          <w:t xml:space="preserve">Lei nº 20.918/2020 do </w:t>
        </w:r>
        <w:r w:rsidR="00B422AC">
          <w:rPr>
            <w:rStyle w:val="Hyperlink"/>
            <w:rFonts w:ascii="Arial" w:hAnsi="Arial" w:cs="Arial"/>
            <w:sz w:val="20"/>
            <w:szCs w:val="20"/>
          </w:rPr>
          <w:t>E</w:t>
        </w:r>
        <w:r w:rsidRPr="001A13F0">
          <w:rPr>
            <w:rStyle w:val="Hyperlink"/>
            <w:rFonts w:ascii="Arial" w:hAnsi="Arial" w:cs="Arial"/>
            <w:sz w:val="20"/>
            <w:szCs w:val="20"/>
          </w:rPr>
          <w:t>stado de Goiás</w:t>
        </w:r>
      </w:hyperlink>
      <w:r w:rsidRPr="001A13F0">
        <w:rPr>
          <w:rFonts w:ascii="Arial" w:hAnsi="Arial" w:cs="Arial"/>
          <w:sz w:val="20"/>
          <w:szCs w:val="20"/>
        </w:rPr>
        <w:t xml:space="preserve">: “Art. 2º Considera-se necessidade temporária de excepcional interesse público aquela que compromete a prestação contínua e eficiente dos serviços próprios da administração pública, nos casos: </w:t>
      </w:r>
      <w:r w:rsidR="00BD5524">
        <w:rPr>
          <w:rFonts w:ascii="Arial" w:hAnsi="Arial" w:cs="Arial"/>
          <w:sz w:val="20"/>
          <w:szCs w:val="20"/>
        </w:rPr>
        <w:t>(</w:t>
      </w:r>
      <w:r w:rsidRPr="001A13F0">
        <w:rPr>
          <w:rFonts w:ascii="Arial" w:hAnsi="Arial" w:cs="Arial"/>
          <w:sz w:val="20"/>
          <w:szCs w:val="20"/>
        </w:rPr>
        <w:t>...</w:t>
      </w:r>
      <w:r w:rsidR="00BD5524">
        <w:rPr>
          <w:rFonts w:ascii="Arial" w:hAnsi="Arial" w:cs="Arial"/>
          <w:sz w:val="20"/>
          <w:szCs w:val="20"/>
        </w:rPr>
        <w:t>)</w:t>
      </w:r>
      <w:r w:rsidRPr="001A13F0">
        <w:rPr>
          <w:rFonts w:ascii="Arial" w:hAnsi="Arial" w:cs="Arial"/>
          <w:sz w:val="20"/>
          <w:szCs w:val="20"/>
        </w:rPr>
        <w:t xml:space="preserve"> VI - de atendimento urgente às exigências do serviço, com o período de contratação em decorrência da falta de pessoal efetivo ou enquanto perdurar necessidade transitória, para evitar o colapso nas atividades: máxima de 3 (três) anos e a possibilidade de ser prorrogado até o prazo total de 5 (cinco) anos; a) relacionadas aos setores de educação, cultura, esporte e lazer, segurança pública, trânsito, transporte e obras públicas, assistência previdenciária, comunicação e regulação, controle e fiscalização dos serviços públicos;”</w:t>
      </w:r>
    </w:p>
    <w:p w14:paraId="78D72420" w14:textId="6D1ABB00" w:rsidR="001A13F0" w:rsidRPr="001A13F0" w:rsidRDefault="001A13F0" w:rsidP="001A13F0">
      <w:pPr>
        <w:spacing w:after="120"/>
        <w:ind w:firstLine="709"/>
        <w:rPr>
          <w:rFonts w:ascii="Arial" w:hAnsi="Arial" w:cs="Arial"/>
          <w:sz w:val="20"/>
          <w:szCs w:val="20"/>
        </w:rPr>
      </w:pPr>
      <w:r w:rsidRPr="001A13F0">
        <w:rPr>
          <w:rFonts w:ascii="Arial" w:hAnsi="Arial" w:cs="Arial"/>
          <w:sz w:val="20"/>
          <w:szCs w:val="20"/>
        </w:rPr>
        <w:t xml:space="preserve">(6) </w:t>
      </w:r>
      <w:hyperlink r:id="rId53" w:history="1">
        <w:r w:rsidRPr="001A13F0">
          <w:rPr>
            <w:rStyle w:val="Hyperlink"/>
            <w:rFonts w:ascii="Arial" w:hAnsi="Arial" w:cs="Arial"/>
            <w:sz w:val="20"/>
            <w:szCs w:val="20"/>
          </w:rPr>
          <w:t xml:space="preserve">Decreto nº 9.812/2021 do </w:t>
        </w:r>
        <w:r w:rsidR="00B422AC">
          <w:rPr>
            <w:rStyle w:val="Hyperlink"/>
            <w:rFonts w:ascii="Arial" w:hAnsi="Arial" w:cs="Arial"/>
            <w:sz w:val="20"/>
            <w:szCs w:val="20"/>
          </w:rPr>
          <w:t>E</w:t>
        </w:r>
        <w:r w:rsidRPr="001A13F0">
          <w:rPr>
            <w:rStyle w:val="Hyperlink"/>
            <w:rFonts w:ascii="Arial" w:hAnsi="Arial" w:cs="Arial"/>
            <w:sz w:val="20"/>
            <w:szCs w:val="20"/>
          </w:rPr>
          <w:t>stado de Goiás</w:t>
        </w:r>
      </w:hyperlink>
      <w:r w:rsidRPr="001A13F0">
        <w:rPr>
          <w:rFonts w:ascii="Arial" w:hAnsi="Arial" w:cs="Arial"/>
          <w:sz w:val="20"/>
          <w:szCs w:val="20"/>
        </w:rPr>
        <w:t xml:space="preserve">: “Art. 1º. O art. 1º do Decreto estadual nº </w:t>
      </w:r>
      <w:hyperlink r:id="rId54" w:tgtFrame="_blank" w:history="1">
        <w:r w:rsidRPr="001A13F0">
          <w:rPr>
            <w:rStyle w:val="Hyperlink"/>
            <w:rFonts w:ascii="Arial" w:hAnsi="Arial" w:cs="Arial"/>
            <w:sz w:val="20"/>
            <w:szCs w:val="20"/>
          </w:rPr>
          <w:t>7.474</w:t>
        </w:r>
      </w:hyperlink>
      <w:r w:rsidRPr="001A13F0">
        <w:rPr>
          <w:rFonts w:ascii="Arial" w:hAnsi="Arial" w:cs="Arial"/>
          <w:sz w:val="20"/>
          <w:szCs w:val="20"/>
        </w:rPr>
        <w:t>, de 3 de novembro de 2011, passa a vigorar com a seguinte alteração: ‘Art. 1º Fica a Diretoria-Geral de Administração Penitenciária - DGAP autorizada a manter até 2.335 (dois mil trezentos e trinta e cinco) contratos temporários para a função de Vigilante Penitenciário, mediante permanência do pessoal já contratado e/ou prorrogação dos ajustes cuja vigência tenha-se expirado ou vier a expirar-se, bem como a celebração de novos instrumentos, nos termos da Lei estadual nº 13.664, de 27 de julho de 2000’.”</w:t>
      </w:r>
    </w:p>
    <w:p w14:paraId="7091EA77" w14:textId="77777777" w:rsidR="001A13F0" w:rsidRPr="00AE5D5D" w:rsidRDefault="001A13F0" w:rsidP="001A13F0">
      <w:pPr>
        <w:ind w:firstLine="709"/>
        <w:contextualSpacing/>
        <w:rPr>
          <w:sz w:val="24"/>
          <w:szCs w:val="24"/>
          <w:lang w:eastAsia="en-US"/>
        </w:rPr>
      </w:pPr>
    </w:p>
    <w:p w14:paraId="28DCC766" w14:textId="77777777" w:rsidR="001A13F0" w:rsidRPr="001A13F0" w:rsidRDefault="001A13F0" w:rsidP="001A13F0">
      <w:pPr>
        <w:spacing w:line="360" w:lineRule="auto"/>
        <w:rPr>
          <w:sz w:val="24"/>
          <w:szCs w:val="24"/>
        </w:rPr>
      </w:pPr>
      <w:hyperlink r:id="rId55" w:history="1">
        <w:r w:rsidRPr="001A13F0">
          <w:rPr>
            <w:rStyle w:val="Hyperlink"/>
            <w:sz w:val="24"/>
            <w:szCs w:val="24"/>
          </w:rPr>
          <w:t>ADI 7.069/GO, relator Ministro Nunes Marques, julgamento virtual finalizado em 25.09.2026 (sexta-feira), às 23:59</w:t>
        </w:r>
      </w:hyperlink>
    </w:p>
    <w:p w14:paraId="12DF7F9A" w14:textId="77777777" w:rsidR="00E5318C" w:rsidRDefault="00E5318C" w:rsidP="00E5318C">
      <w:pPr>
        <w:contextualSpacing/>
        <w:jc w:val="right"/>
      </w:pPr>
      <w:hyperlink w:anchor="SUMÁRIO" w:history="1">
        <w:r w:rsidRPr="003172B4">
          <w:rPr>
            <w:rStyle w:val="Hyperlink"/>
            <w:sz w:val="16"/>
            <w:szCs w:val="16"/>
          </w:rPr>
          <w:t>Sumário</w:t>
        </w:r>
      </w:hyperlink>
    </w:p>
    <w:p w14:paraId="540F155B" w14:textId="77777777" w:rsidR="001A13F0" w:rsidRDefault="001A13F0" w:rsidP="001A13F0">
      <w:pPr>
        <w:autoSpaceDE w:val="0"/>
        <w:autoSpaceDN w:val="0"/>
        <w:adjustRightInd w:val="0"/>
      </w:pPr>
    </w:p>
    <w:p w14:paraId="7FE88156" w14:textId="77777777" w:rsidR="005E3474" w:rsidRPr="005E3474" w:rsidRDefault="005E3474" w:rsidP="005E3474">
      <w:pPr>
        <w:autoSpaceDE w:val="0"/>
        <w:autoSpaceDN w:val="0"/>
        <w:adjustRightInd w:val="0"/>
        <w:rPr>
          <w:color w:val="000000"/>
          <w:sz w:val="24"/>
          <w:szCs w:val="24"/>
        </w:rPr>
      </w:pPr>
      <w:r w:rsidRPr="005E3474">
        <w:rPr>
          <w:color w:val="000000"/>
          <w:sz w:val="24"/>
          <w:szCs w:val="24"/>
        </w:rPr>
        <w:t xml:space="preserve">DIREITO TRIBUTÁRIO – IMPOSTOS; ICMS; BASE DE CÁLCULO; ENERGIA ELÉTRICA </w:t>
      </w:r>
    </w:p>
    <w:p w14:paraId="15B6C5D8" w14:textId="77777777" w:rsidR="005E3474" w:rsidRPr="005E3474" w:rsidRDefault="005E3474" w:rsidP="005E3474">
      <w:pPr>
        <w:autoSpaceDE w:val="0"/>
        <w:autoSpaceDN w:val="0"/>
        <w:adjustRightInd w:val="0"/>
        <w:rPr>
          <w:color w:val="000000"/>
          <w:sz w:val="24"/>
          <w:szCs w:val="24"/>
        </w:rPr>
      </w:pPr>
      <w:r w:rsidRPr="005E3474">
        <w:rPr>
          <w:color w:val="000000"/>
          <w:sz w:val="24"/>
          <w:szCs w:val="24"/>
        </w:rPr>
        <w:t>DIREITO ADMINISTRATIVO – SERVIÇOS PÚBLICOS; SUBVENÇÃO ECONÔMICA; CONSUMIDORES DE BAIXA RENDA; CONTRATOS ADMINISTRATIVOS; EQUILÍBRIO ECONÔMICO-FINANCEIRO</w:t>
      </w:r>
    </w:p>
    <w:p w14:paraId="1FD09DDA" w14:textId="77777777" w:rsidR="005E3474" w:rsidRPr="005E3474" w:rsidRDefault="005E3474" w:rsidP="005E3474">
      <w:pPr>
        <w:autoSpaceDE w:val="0"/>
        <w:autoSpaceDN w:val="0"/>
        <w:adjustRightInd w:val="0"/>
        <w:rPr>
          <w:color w:val="000000"/>
          <w:sz w:val="24"/>
          <w:szCs w:val="24"/>
        </w:rPr>
      </w:pPr>
    </w:p>
    <w:p w14:paraId="21447862" w14:textId="77777777" w:rsidR="005E3474" w:rsidRPr="005E3474" w:rsidRDefault="005E3474" w:rsidP="005E3474">
      <w:pPr>
        <w:autoSpaceDE w:val="0"/>
        <w:autoSpaceDN w:val="0"/>
        <w:adjustRightInd w:val="0"/>
        <w:rPr>
          <w:sz w:val="24"/>
          <w:szCs w:val="24"/>
        </w:rPr>
      </w:pPr>
      <w:bookmarkStart w:id="10" w:name="t1113RG"/>
      <w:r w:rsidRPr="005E3474">
        <w:rPr>
          <w:b/>
          <w:bCs/>
          <w:i/>
          <w:iCs/>
          <w:sz w:val="24"/>
          <w:szCs w:val="24"/>
        </w:rPr>
        <w:t>ICMS: inclusão, na base de cálculo do imposto sobre energia elétrica, do valor da subvenção econômica da Lei nº 10.604/2002</w:t>
      </w:r>
      <w:bookmarkEnd w:id="10"/>
      <w:r w:rsidRPr="005E3474">
        <w:rPr>
          <w:b/>
          <w:bCs/>
          <w:i/>
          <w:iCs/>
          <w:sz w:val="24"/>
          <w:szCs w:val="24"/>
        </w:rPr>
        <w:t xml:space="preserve"> </w:t>
      </w:r>
      <w:r w:rsidRPr="005E3474">
        <w:rPr>
          <w:sz w:val="24"/>
          <w:szCs w:val="24"/>
        </w:rPr>
        <w:t xml:space="preserve">– </w:t>
      </w:r>
      <w:hyperlink r:id="rId56" w:history="1">
        <w:r w:rsidRPr="005E3474">
          <w:rPr>
            <w:sz w:val="24"/>
            <w:szCs w:val="24"/>
          </w:rPr>
          <w:t>RE 990.115/SP</w:t>
        </w:r>
      </w:hyperlink>
      <w:r w:rsidRPr="005E3474">
        <w:rPr>
          <w:sz w:val="24"/>
          <w:szCs w:val="24"/>
        </w:rPr>
        <w:t xml:space="preserve"> (</w:t>
      </w:r>
      <w:hyperlink r:id="rId57" w:history="1">
        <w:r w:rsidRPr="005E3474">
          <w:rPr>
            <w:sz w:val="24"/>
            <w:szCs w:val="24"/>
            <w:u w:val="single"/>
          </w:rPr>
          <w:t>Tema 1.113 RG</w:t>
        </w:r>
      </w:hyperlink>
      <w:r w:rsidRPr="005E3474">
        <w:rPr>
          <w:sz w:val="24"/>
          <w:szCs w:val="24"/>
        </w:rPr>
        <w:t xml:space="preserve">) </w:t>
      </w:r>
      <w:r w:rsidRPr="005E3474">
        <w:rPr>
          <w:b/>
          <w:bCs/>
          <w:i/>
          <w:iCs/>
          <w:noProof/>
          <w:sz w:val="24"/>
          <w:szCs w:val="24"/>
        </w:rPr>
        <w:drawing>
          <wp:inline distT="0" distB="0" distL="0" distR="0" wp14:anchorId="2C313510" wp14:editId="76CD8093">
            <wp:extent cx="1219200" cy="180975"/>
            <wp:effectExtent l="0" t="0" r="0" b="9525"/>
            <wp:docPr id="804356745" name="Imagem 1">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58"/>
                    </pic:cNvPr>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ACB0651" w14:textId="77777777" w:rsidR="005E3474" w:rsidRPr="005E3474" w:rsidRDefault="005E3474" w:rsidP="005E3474">
      <w:pPr>
        <w:autoSpaceDE w:val="0"/>
        <w:autoSpaceDN w:val="0"/>
        <w:adjustRightInd w:val="0"/>
        <w:rPr>
          <w:sz w:val="24"/>
          <w:szCs w:val="24"/>
        </w:rPr>
      </w:pPr>
    </w:p>
    <w:p w14:paraId="39BE2C8A" w14:textId="77777777" w:rsidR="005E3474" w:rsidRPr="005E3474" w:rsidRDefault="005E3474" w:rsidP="005E3474">
      <w:pPr>
        <w:autoSpaceDE w:val="0"/>
        <w:autoSpaceDN w:val="0"/>
        <w:adjustRightInd w:val="0"/>
        <w:rPr>
          <w:sz w:val="24"/>
          <w:szCs w:val="24"/>
        </w:rPr>
      </w:pPr>
      <w:r w:rsidRPr="005E3474">
        <w:rPr>
          <w:b/>
          <w:bCs/>
          <w:sz w:val="24"/>
          <w:szCs w:val="24"/>
        </w:rPr>
        <w:t>ODS:</w:t>
      </w:r>
      <w:r w:rsidRPr="005E3474">
        <w:rPr>
          <w:sz w:val="24"/>
          <w:szCs w:val="24"/>
        </w:rPr>
        <w:t xml:space="preserve"> </w:t>
      </w:r>
      <w:hyperlink r:id="rId60" w:history="1">
        <w:r w:rsidRPr="005E3474">
          <w:rPr>
            <w:color w:val="0000FF"/>
            <w:sz w:val="24"/>
            <w:szCs w:val="24"/>
            <w:u w:val="single"/>
          </w:rPr>
          <w:t>1</w:t>
        </w:r>
      </w:hyperlink>
      <w:r w:rsidRPr="005E3474">
        <w:rPr>
          <w:sz w:val="24"/>
          <w:szCs w:val="24"/>
        </w:rPr>
        <w:t xml:space="preserve"> e </w:t>
      </w:r>
      <w:hyperlink r:id="rId61" w:history="1">
        <w:r w:rsidRPr="005E3474">
          <w:rPr>
            <w:color w:val="0000FF"/>
            <w:sz w:val="24"/>
            <w:szCs w:val="24"/>
            <w:u w:val="single"/>
          </w:rPr>
          <w:t>7</w:t>
        </w:r>
      </w:hyperlink>
      <w:r w:rsidRPr="005E3474">
        <w:rPr>
          <w:sz w:val="24"/>
          <w:szCs w:val="24"/>
        </w:rPr>
        <w:t xml:space="preserve"> </w:t>
      </w:r>
    </w:p>
    <w:p w14:paraId="4FBF7F2D" w14:textId="77777777" w:rsidR="005E3474" w:rsidRPr="005E3474" w:rsidRDefault="005E3474" w:rsidP="005E3474">
      <w:pPr>
        <w:autoSpaceDE w:val="0"/>
        <w:autoSpaceDN w:val="0"/>
        <w:adjustRightInd w:val="0"/>
        <w:rPr>
          <w:sz w:val="24"/>
          <w:szCs w:val="24"/>
        </w:rPr>
      </w:pPr>
    </w:p>
    <w:p w14:paraId="007EC169" w14:textId="77777777" w:rsidR="005E3474" w:rsidRPr="005E3474" w:rsidRDefault="005E3474" w:rsidP="005E3474">
      <w:pPr>
        <w:autoSpaceDE w:val="0"/>
        <w:autoSpaceDN w:val="0"/>
        <w:adjustRightInd w:val="0"/>
        <w:spacing w:line="360" w:lineRule="auto"/>
        <w:rPr>
          <w:sz w:val="24"/>
          <w:szCs w:val="24"/>
        </w:rPr>
      </w:pPr>
      <w:r w:rsidRPr="005E3474">
        <w:rPr>
          <w:sz w:val="24"/>
          <w:szCs w:val="24"/>
        </w:rPr>
        <w:t xml:space="preserve">Tese fixada: </w:t>
      </w:r>
    </w:p>
    <w:p w14:paraId="19CE8761" w14:textId="77777777" w:rsidR="005E3474" w:rsidRPr="005E3474" w:rsidRDefault="005E3474" w:rsidP="005E3474">
      <w:pPr>
        <w:autoSpaceDE w:val="0"/>
        <w:autoSpaceDN w:val="0"/>
        <w:adjustRightInd w:val="0"/>
        <w:spacing w:line="360" w:lineRule="auto"/>
        <w:ind w:firstLine="709"/>
        <w:rPr>
          <w:b/>
          <w:bCs/>
          <w:sz w:val="24"/>
          <w:szCs w:val="24"/>
        </w:rPr>
      </w:pPr>
      <w:r w:rsidRPr="005E3474">
        <w:rPr>
          <w:b/>
          <w:bCs/>
          <w:sz w:val="24"/>
          <w:szCs w:val="24"/>
        </w:rPr>
        <w:lastRenderedPageBreak/>
        <w:t>“Não incide ICMS sobre a subvenção econômica destinada à modicidade da tarifa de fornecimento de energia elétrica aos consumidores finais integrantes da Subclasse Residencial Baixa Renda a que se refere a Lei nº 10.438/2002.”</w:t>
      </w:r>
    </w:p>
    <w:p w14:paraId="232C4A7D" w14:textId="77777777" w:rsidR="005E3474" w:rsidRPr="005E3474" w:rsidRDefault="005E3474" w:rsidP="005E3474">
      <w:pPr>
        <w:autoSpaceDE w:val="0"/>
        <w:autoSpaceDN w:val="0"/>
        <w:adjustRightInd w:val="0"/>
        <w:spacing w:line="360" w:lineRule="auto"/>
        <w:ind w:firstLine="709"/>
        <w:rPr>
          <w:sz w:val="24"/>
          <w:szCs w:val="24"/>
        </w:rPr>
      </w:pPr>
    </w:p>
    <w:p w14:paraId="75326FDE" w14:textId="77777777" w:rsidR="005E3474" w:rsidRPr="005E3474" w:rsidRDefault="005E3474" w:rsidP="005E3474">
      <w:pPr>
        <w:autoSpaceDE w:val="0"/>
        <w:autoSpaceDN w:val="0"/>
        <w:adjustRightInd w:val="0"/>
        <w:spacing w:line="360" w:lineRule="auto"/>
        <w:rPr>
          <w:sz w:val="24"/>
          <w:szCs w:val="24"/>
        </w:rPr>
      </w:pPr>
      <w:r w:rsidRPr="005E3474">
        <w:rPr>
          <w:sz w:val="24"/>
          <w:szCs w:val="24"/>
        </w:rPr>
        <w:t>Resumo:</w:t>
      </w:r>
    </w:p>
    <w:p w14:paraId="2AFA80A9" w14:textId="77777777" w:rsidR="005E3474" w:rsidRPr="005E3474" w:rsidRDefault="005E3474" w:rsidP="005E3474">
      <w:pPr>
        <w:autoSpaceDE w:val="0"/>
        <w:autoSpaceDN w:val="0"/>
        <w:adjustRightInd w:val="0"/>
        <w:spacing w:line="360" w:lineRule="auto"/>
        <w:ind w:firstLine="709"/>
        <w:rPr>
          <w:b/>
          <w:bCs/>
          <w:sz w:val="24"/>
          <w:szCs w:val="24"/>
        </w:rPr>
      </w:pPr>
      <w:r w:rsidRPr="005E3474">
        <w:rPr>
          <w:b/>
          <w:bCs/>
          <w:sz w:val="24"/>
          <w:szCs w:val="24"/>
        </w:rPr>
        <w:t>É inconstitucional – por violar o art. 155, II e § 3º, da CF/1988, e o art. 34, § 9º, do ADCT – a incidência de ICMS sobre os recursos financeiros repassados pela União às empresas prestadoras de serviço público de energia elétrica, a título de subvenção econômica (Lei nº 10.604/2002, art. 5º), com a finalidade de contribuir para a modicidade da tarifa de fornecimento de energia elétrica aos consumidores finais integrantes da “</w:t>
      </w:r>
      <w:r w:rsidRPr="005E3474">
        <w:rPr>
          <w:b/>
          <w:bCs/>
          <w:i/>
          <w:iCs/>
          <w:sz w:val="24"/>
          <w:szCs w:val="24"/>
        </w:rPr>
        <w:t>Subclasse Residencial Baixa Renda</w:t>
      </w:r>
      <w:r w:rsidRPr="005E3474">
        <w:rPr>
          <w:b/>
          <w:bCs/>
          <w:sz w:val="24"/>
          <w:szCs w:val="24"/>
        </w:rPr>
        <w:t>” (Lei nº 10.438/2002).</w:t>
      </w:r>
    </w:p>
    <w:p w14:paraId="6726AFEE" w14:textId="77777777" w:rsidR="005E3474" w:rsidRPr="005E3474" w:rsidRDefault="005E3474" w:rsidP="005E3474">
      <w:pPr>
        <w:autoSpaceDE w:val="0"/>
        <w:autoSpaceDN w:val="0"/>
        <w:adjustRightInd w:val="0"/>
        <w:spacing w:line="360" w:lineRule="auto"/>
        <w:ind w:firstLine="709"/>
        <w:rPr>
          <w:sz w:val="24"/>
          <w:szCs w:val="24"/>
        </w:rPr>
      </w:pPr>
      <w:r w:rsidRPr="005E3474">
        <w:rPr>
          <w:sz w:val="24"/>
          <w:szCs w:val="24"/>
        </w:rPr>
        <w:t xml:space="preserve">Há afronta ao texto constitucional (1) (2), pois a aludida subvenção não é alcançada pela hipótese de incidência do ICMS e os valores repassados às empresas prestadoras do serviço não integram a base de cálculo do imposto. </w:t>
      </w:r>
    </w:p>
    <w:p w14:paraId="523823D0" w14:textId="5ACE7920" w:rsidR="005E3474" w:rsidRPr="005E3474" w:rsidRDefault="005E3474" w:rsidP="005E3474">
      <w:pPr>
        <w:autoSpaceDE w:val="0"/>
        <w:autoSpaceDN w:val="0"/>
        <w:adjustRightInd w:val="0"/>
        <w:spacing w:line="360" w:lineRule="auto"/>
        <w:ind w:firstLine="709"/>
        <w:rPr>
          <w:sz w:val="24"/>
          <w:szCs w:val="24"/>
        </w:rPr>
      </w:pPr>
      <w:r w:rsidRPr="005E3474">
        <w:rPr>
          <w:sz w:val="24"/>
          <w:szCs w:val="24"/>
        </w:rPr>
        <w:t xml:space="preserve">A subvenção econômica que subsidia a Tarifa Social de Energia Elétrica (TSEE) (3) não representa preço, tarifa nem receita própria da operação mercantil (circulação de mercadoria), que se dá entre prestadoras do serviço e consumidor. Não constitui elemento integrante do negócio jurídico de fornecimento de energia elétrica. Os valores não são recebidos como contraprestação pelo consumo de energia, mas como verba de recomposição do equilíbrio econômico-financeiro do contrato administrativo firmado com a União, diante dos reflexos desfavoráveis da política social estabelecida pelo legislador ao alterar os critérios de enquadramento da classe de consumidores beneficiários (Lei nº 10.438/2002). A ocorrência de fato do príncipe impõe ao </w:t>
      </w:r>
      <w:r w:rsidR="009A451B">
        <w:rPr>
          <w:sz w:val="24"/>
          <w:szCs w:val="24"/>
        </w:rPr>
        <w:t>p</w:t>
      </w:r>
      <w:r w:rsidRPr="005E3474">
        <w:rPr>
          <w:sz w:val="24"/>
          <w:szCs w:val="24"/>
        </w:rPr>
        <w:t xml:space="preserve">oder </w:t>
      </w:r>
      <w:r w:rsidR="009A451B">
        <w:rPr>
          <w:sz w:val="24"/>
          <w:szCs w:val="24"/>
        </w:rPr>
        <w:t>p</w:t>
      </w:r>
      <w:r w:rsidRPr="005E3474">
        <w:rPr>
          <w:sz w:val="24"/>
          <w:szCs w:val="24"/>
        </w:rPr>
        <w:t>úblico o dever de promover a recomposição da equação pactuada originalmente.</w:t>
      </w:r>
    </w:p>
    <w:p w14:paraId="4EC2C10C" w14:textId="77777777" w:rsidR="005E3474" w:rsidRPr="005E3474" w:rsidRDefault="005E3474" w:rsidP="005E3474">
      <w:pPr>
        <w:autoSpaceDE w:val="0"/>
        <w:autoSpaceDN w:val="0"/>
        <w:adjustRightInd w:val="0"/>
        <w:spacing w:line="360" w:lineRule="auto"/>
        <w:ind w:firstLine="709"/>
        <w:rPr>
          <w:sz w:val="24"/>
          <w:szCs w:val="24"/>
        </w:rPr>
      </w:pPr>
      <w:r w:rsidRPr="005E3474">
        <w:rPr>
          <w:sz w:val="24"/>
          <w:szCs w:val="24"/>
        </w:rPr>
        <w:t>Trata-se de receita alheia à operação de circulação de mercadoria.</w:t>
      </w:r>
      <w:r w:rsidRPr="005E3474">
        <w:rPr>
          <w:sz w:val="20"/>
          <w:szCs w:val="20"/>
        </w:rPr>
        <w:t xml:space="preserve"> </w:t>
      </w:r>
      <w:r w:rsidRPr="005E3474">
        <w:rPr>
          <w:sz w:val="24"/>
          <w:szCs w:val="24"/>
        </w:rPr>
        <w:t xml:space="preserve">A subvenção tem natureza de contribuição pecuniária e, embora seu valor corresponda à diferença de receita que as prestadoras deixaram de auferir, poderia, legitimamente, ser dimensionada e vertida de outras formas. Ademais, o critério de cálculo da subvenção econômica não lhe altera a natureza jurídica regulatória nem a converte em parcela da tarifa decorrente da operação mercantil. Ela permanece no domínio da atribuição regulatória da União. </w:t>
      </w:r>
    </w:p>
    <w:p w14:paraId="2074C513" w14:textId="3E50EDA1" w:rsidR="005E3474" w:rsidRPr="005E3474" w:rsidRDefault="005E3474" w:rsidP="005E3474">
      <w:pPr>
        <w:autoSpaceDE w:val="0"/>
        <w:autoSpaceDN w:val="0"/>
        <w:adjustRightInd w:val="0"/>
        <w:spacing w:line="360" w:lineRule="auto"/>
        <w:ind w:firstLine="709"/>
        <w:rPr>
          <w:sz w:val="24"/>
          <w:szCs w:val="24"/>
        </w:rPr>
      </w:pPr>
      <w:r w:rsidRPr="005E3474">
        <w:rPr>
          <w:sz w:val="24"/>
          <w:szCs w:val="24"/>
        </w:rPr>
        <w:t xml:space="preserve">Também não é possível concluir que se configura desconto concedido sob condição (Lei Complementar nº 87/1996, art. 13, § 1º, II, </w:t>
      </w:r>
      <w:r w:rsidRPr="005E3474">
        <w:rPr>
          <w:i/>
          <w:iCs/>
          <w:sz w:val="24"/>
          <w:szCs w:val="24"/>
        </w:rPr>
        <w:t>a</w:t>
      </w:r>
      <w:r w:rsidRPr="005E3474">
        <w:rPr>
          <w:sz w:val="24"/>
          <w:szCs w:val="24"/>
        </w:rPr>
        <w:t xml:space="preserve">), para fins de caracterização da base de cálculo do ICMS, pois não há condição. Não é dado às prestadoras de serviço público de energia elétrica </w:t>
      </w:r>
      <w:r w:rsidRPr="005E3474">
        <w:rPr>
          <w:sz w:val="24"/>
          <w:szCs w:val="24"/>
        </w:rPr>
        <w:lastRenderedPageBreak/>
        <w:t xml:space="preserve">escolher entre oferecer a tarifa social ou deixar de fazê-lo, e renunciar à subvenção. A tarifa social (descontada) é o preço determinado pelo </w:t>
      </w:r>
      <w:r w:rsidR="009A451B">
        <w:rPr>
          <w:sz w:val="24"/>
          <w:szCs w:val="24"/>
        </w:rPr>
        <w:t>p</w:t>
      </w:r>
      <w:r w:rsidRPr="005E3474">
        <w:rPr>
          <w:sz w:val="24"/>
          <w:szCs w:val="24"/>
        </w:rPr>
        <w:t xml:space="preserve">oder </w:t>
      </w:r>
      <w:r w:rsidR="009A451B">
        <w:rPr>
          <w:sz w:val="24"/>
          <w:szCs w:val="24"/>
        </w:rPr>
        <w:t>p</w:t>
      </w:r>
      <w:r w:rsidRPr="005E3474">
        <w:rPr>
          <w:sz w:val="24"/>
          <w:szCs w:val="24"/>
        </w:rPr>
        <w:t xml:space="preserve">úblico. </w:t>
      </w:r>
    </w:p>
    <w:p w14:paraId="3AB929F7" w14:textId="77777777" w:rsidR="005E3474" w:rsidRPr="005E3474" w:rsidRDefault="005E3474" w:rsidP="005E3474">
      <w:pPr>
        <w:autoSpaceDE w:val="0"/>
        <w:autoSpaceDN w:val="0"/>
        <w:adjustRightInd w:val="0"/>
        <w:spacing w:line="360" w:lineRule="auto"/>
        <w:ind w:firstLine="709"/>
        <w:rPr>
          <w:sz w:val="24"/>
          <w:szCs w:val="24"/>
        </w:rPr>
      </w:pPr>
      <w:r w:rsidRPr="005E3474">
        <w:rPr>
          <w:sz w:val="24"/>
          <w:szCs w:val="24"/>
        </w:rPr>
        <w:t>Desse modo, o repasse efetuado a título de subvenção econômica insere-se, exclusivamente, na relação de direito administrativo entre a União e as empresas prestadoras do serviço, e não guarda pertinência com a competência tributária dos estados referente à circulação de mercadorias, à qual interessa apenas a TSEE, ou seja, o valor da operação comercial realizada entre as prestadoras e os consumidores de baixa renda.</w:t>
      </w:r>
    </w:p>
    <w:p w14:paraId="6C8BCE2E" w14:textId="5734BEFA" w:rsidR="005E3474" w:rsidRPr="005E3474" w:rsidRDefault="005E3474" w:rsidP="005E3474">
      <w:pPr>
        <w:autoSpaceDE w:val="0"/>
        <w:autoSpaceDN w:val="0"/>
        <w:adjustRightInd w:val="0"/>
        <w:spacing w:line="360" w:lineRule="auto"/>
        <w:ind w:firstLine="709"/>
        <w:rPr>
          <w:sz w:val="24"/>
          <w:szCs w:val="24"/>
        </w:rPr>
      </w:pPr>
      <w:r w:rsidRPr="005E3474">
        <w:rPr>
          <w:sz w:val="24"/>
          <w:szCs w:val="24"/>
        </w:rPr>
        <w:t xml:space="preserve">Na espécie, o Sindicato da Indústria da Energia no </w:t>
      </w:r>
      <w:r w:rsidR="002D603F">
        <w:rPr>
          <w:sz w:val="24"/>
          <w:szCs w:val="24"/>
        </w:rPr>
        <w:t>e</w:t>
      </w:r>
      <w:r w:rsidRPr="005E3474">
        <w:rPr>
          <w:sz w:val="24"/>
          <w:szCs w:val="24"/>
        </w:rPr>
        <w:t>stado de São Paulo (S</w:t>
      </w:r>
      <w:r w:rsidR="004E3621">
        <w:rPr>
          <w:sz w:val="24"/>
          <w:szCs w:val="24"/>
        </w:rPr>
        <w:t>IESP</w:t>
      </w:r>
      <w:r w:rsidRPr="005E3474">
        <w:rPr>
          <w:sz w:val="24"/>
          <w:szCs w:val="24"/>
        </w:rPr>
        <w:t xml:space="preserve">) interpôs recursos extraordinários contra acórdãos que concluíram pela inclusão da referida subvenção na base de cálculo do ICMS. O primeiro foi apresentado contra a decisão do Tribunal de Justiça do </w:t>
      </w:r>
      <w:r w:rsidR="000465D0">
        <w:rPr>
          <w:sz w:val="24"/>
          <w:szCs w:val="24"/>
        </w:rPr>
        <w:t>E</w:t>
      </w:r>
      <w:r w:rsidRPr="005E3474">
        <w:rPr>
          <w:sz w:val="24"/>
          <w:szCs w:val="24"/>
        </w:rPr>
        <w:t xml:space="preserve">stado de São Paulo que, ao apreciar as apelações, denegou a segurança, considerando que a subvenção não possuiria natureza indenizatória. Inadmitido na origem, ensejou a interposição de agravo. O segundo foi interposto contra o acórdão do STJ que negou provimento ao recurso especial. O STJ compreendeu que a subvenção comporia o valor total da operação por integrar o preço final da tarifa, que a exclusão dependeria de convênio autorizativo e que a manutenção do equilíbrio econômico-financeiro dos contratos com as concessionárias não interferiria na relação jurídico-tributária entre elas e os estados federados. </w:t>
      </w:r>
    </w:p>
    <w:p w14:paraId="4A71B8AA" w14:textId="19D2E8C0" w:rsidR="005E3474" w:rsidRPr="005E3474" w:rsidRDefault="005E3474" w:rsidP="005E3474">
      <w:pPr>
        <w:autoSpaceDE w:val="0"/>
        <w:autoSpaceDN w:val="0"/>
        <w:adjustRightInd w:val="0"/>
        <w:spacing w:line="360" w:lineRule="auto"/>
        <w:ind w:firstLine="709"/>
        <w:rPr>
          <w:sz w:val="24"/>
          <w:szCs w:val="24"/>
        </w:rPr>
      </w:pPr>
      <w:bookmarkStart w:id="11" w:name="_Hlk134103137"/>
      <w:r w:rsidRPr="005E3474">
        <w:rPr>
          <w:sz w:val="24"/>
          <w:szCs w:val="24"/>
        </w:rPr>
        <w:t xml:space="preserve">Com base nesses e em outros entendimentos, o Plenário, por maioria, ao apreciar o </w:t>
      </w:r>
      <w:hyperlink r:id="rId62" w:history="1">
        <w:r w:rsidRPr="005E3474">
          <w:rPr>
            <w:color w:val="0000FF"/>
            <w:sz w:val="24"/>
            <w:szCs w:val="24"/>
            <w:u w:val="single"/>
          </w:rPr>
          <w:t>Tema 1.113 da repercussão geral</w:t>
        </w:r>
      </w:hyperlink>
      <w:r w:rsidRPr="005E3474">
        <w:rPr>
          <w:sz w:val="24"/>
          <w:szCs w:val="24"/>
        </w:rPr>
        <w:t>, (i) conheceu em parte do recurso extraordinário interposto pelo S</w:t>
      </w:r>
      <w:r w:rsidR="004E3621">
        <w:rPr>
          <w:sz w:val="24"/>
          <w:szCs w:val="24"/>
        </w:rPr>
        <w:t>IESP</w:t>
      </w:r>
      <w:r w:rsidRPr="005E3474">
        <w:rPr>
          <w:sz w:val="24"/>
          <w:szCs w:val="24"/>
        </w:rPr>
        <w:t xml:space="preserve"> contra o acórdão do STJ e, nessa extensão, deu-lhe provimento para reformar a decisão recorrida e conceder a segurança</w:t>
      </w:r>
      <w:r w:rsidR="00C82CCB">
        <w:rPr>
          <w:sz w:val="24"/>
          <w:szCs w:val="24"/>
        </w:rPr>
        <w:t>,</w:t>
      </w:r>
      <w:r w:rsidRPr="005E3474">
        <w:rPr>
          <w:sz w:val="24"/>
          <w:szCs w:val="24"/>
        </w:rPr>
        <w:t xml:space="preserve"> a fim de afastar a incidência de ICMS sobre as parcelas de subvenção econômica recebidas pelas distribuidoras de energia elétrica filiadas ao recorrente, em decorrência da alteração do critério de classificação do consumidor de baixa renda pela </w:t>
      </w:r>
      <w:hyperlink r:id="rId63" w:anchor=":~:text=%C2%A7%201o%20O,12.212%2C%20de%202010)" w:history="1">
        <w:r w:rsidRPr="005E3474">
          <w:rPr>
            <w:color w:val="0000FF"/>
            <w:sz w:val="24"/>
            <w:szCs w:val="24"/>
            <w:u w:val="single"/>
          </w:rPr>
          <w:t>Lei nº 10.438/2002</w:t>
        </w:r>
      </w:hyperlink>
      <w:r w:rsidRPr="005E3474">
        <w:rPr>
          <w:sz w:val="24"/>
          <w:szCs w:val="24"/>
        </w:rPr>
        <w:t>; (</w:t>
      </w:r>
      <w:proofErr w:type="spellStart"/>
      <w:r w:rsidRPr="005E3474">
        <w:rPr>
          <w:sz w:val="24"/>
          <w:szCs w:val="24"/>
        </w:rPr>
        <w:t>ii</w:t>
      </w:r>
      <w:proofErr w:type="spellEnd"/>
      <w:r w:rsidRPr="005E3474">
        <w:rPr>
          <w:sz w:val="24"/>
          <w:szCs w:val="24"/>
        </w:rPr>
        <w:t>) julgou prejudicado o recurso extraordinário com agravo; e (</w:t>
      </w:r>
      <w:proofErr w:type="spellStart"/>
      <w:r w:rsidRPr="005E3474">
        <w:rPr>
          <w:sz w:val="24"/>
          <w:szCs w:val="24"/>
        </w:rPr>
        <w:t>iii</w:t>
      </w:r>
      <w:proofErr w:type="spellEnd"/>
      <w:r w:rsidRPr="005E3474">
        <w:rPr>
          <w:sz w:val="24"/>
          <w:szCs w:val="24"/>
        </w:rPr>
        <w:t>) fixou a tese anteriormente citada.</w:t>
      </w:r>
    </w:p>
    <w:p w14:paraId="07C638A3" w14:textId="77777777" w:rsidR="005E3474" w:rsidRPr="005E3474" w:rsidRDefault="005E3474" w:rsidP="005E3474">
      <w:pPr>
        <w:autoSpaceDE w:val="0"/>
        <w:autoSpaceDN w:val="0"/>
        <w:adjustRightInd w:val="0"/>
        <w:spacing w:line="360" w:lineRule="auto"/>
        <w:ind w:firstLine="709"/>
        <w:rPr>
          <w:sz w:val="24"/>
          <w:szCs w:val="24"/>
        </w:rPr>
      </w:pPr>
      <w:bookmarkStart w:id="12" w:name="_Hlk167388033"/>
    </w:p>
    <w:p w14:paraId="5A7787C0" w14:textId="2055538D" w:rsidR="005E3474" w:rsidRPr="005E3474" w:rsidRDefault="005E3474" w:rsidP="000465D0">
      <w:pPr>
        <w:tabs>
          <w:tab w:val="left" w:pos="993"/>
        </w:tabs>
        <w:spacing w:after="120"/>
        <w:ind w:firstLine="709"/>
        <w:rPr>
          <w:rFonts w:ascii="Arial" w:hAnsi="Arial" w:cs="Arial"/>
          <w:sz w:val="20"/>
          <w:szCs w:val="20"/>
        </w:rPr>
      </w:pPr>
      <w:r w:rsidRPr="005E3474">
        <w:rPr>
          <w:rFonts w:ascii="Arial" w:hAnsi="Arial" w:cs="Arial"/>
          <w:sz w:val="20"/>
          <w:szCs w:val="20"/>
        </w:rPr>
        <w:t xml:space="preserve">(1) </w:t>
      </w:r>
      <w:hyperlink r:id="rId64" w:anchor="adct:~:text=Art.%20155.%20Compete%20aos%20Estados%20e%20ao%20Distrito%20Federal%20instituir%20impostos%20sobre%3A%C2%A0%C2%A0%C2%A0%C2%A0%C2%A0%C2%A0" w:history="1">
        <w:r w:rsidRPr="005E3474">
          <w:rPr>
            <w:rFonts w:ascii="Arial" w:hAnsi="Arial" w:cs="Arial"/>
            <w:color w:val="0000FF"/>
            <w:sz w:val="20"/>
            <w:szCs w:val="20"/>
            <w:u w:val="single"/>
          </w:rPr>
          <w:t>CF/1988</w:t>
        </w:r>
      </w:hyperlink>
      <w:r w:rsidRPr="005E3474">
        <w:rPr>
          <w:rFonts w:ascii="Arial" w:hAnsi="Arial" w:cs="Arial"/>
          <w:sz w:val="20"/>
          <w:szCs w:val="20"/>
        </w:rPr>
        <w:t xml:space="preserve">: “Art. 155. Compete aos </w:t>
      </w:r>
      <w:r w:rsidR="002D603F">
        <w:rPr>
          <w:rFonts w:ascii="Arial" w:hAnsi="Arial" w:cs="Arial"/>
          <w:sz w:val="20"/>
          <w:szCs w:val="20"/>
        </w:rPr>
        <w:t>e</w:t>
      </w:r>
      <w:r w:rsidRPr="005E3474">
        <w:rPr>
          <w:rFonts w:ascii="Arial" w:hAnsi="Arial" w:cs="Arial"/>
          <w:sz w:val="20"/>
          <w:szCs w:val="20"/>
        </w:rPr>
        <w:t xml:space="preserve">stados e ao Distrito Federal instituir impostos sobre: (...) II – operações relativas à circulação de mercadorias e sobre prestações de serviços de transporte interestadual e intermunicipal e de comunicação, ainda que as operações e as prestações se iniciem no exterior; (...) § 3º À exceção dos impostos de que tratam o inciso II do </w:t>
      </w:r>
      <w:r w:rsidRPr="005E3474">
        <w:rPr>
          <w:rFonts w:ascii="Arial" w:hAnsi="Arial" w:cs="Arial"/>
          <w:i/>
          <w:iCs/>
          <w:sz w:val="20"/>
          <w:szCs w:val="20"/>
        </w:rPr>
        <w:t>caput</w:t>
      </w:r>
      <w:r w:rsidRPr="005E3474">
        <w:rPr>
          <w:rFonts w:ascii="Arial" w:hAnsi="Arial" w:cs="Arial"/>
          <w:sz w:val="20"/>
          <w:szCs w:val="20"/>
        </w:rPr>
        <w:t xml:space="preserve"> deste artigo e os </w:t>
      </w:r>
      <w:proofErr w:type="spellStart"/>
      <w:r w:rsidRPr="005E3474">
        <w:rPr>
          <w:rFonts w:ascii="Arial" w:hAnsi="Arial" w:cs="Arial"/>
          <w:sz w:val="20"/>
          <w:szCs w:val="20"/>
        </w:rPr>
        <w:t>arts</w:t>
      </w:r>
      <w:proofErr w:type="spellEnd"/>
      <w:r w:rsidRPr="005E3474">
        <w:rPr>
          <w:rFonts w:ascii="Arial" w:hAnsi="Arial" w:cs="Arial"/>
          <w:sz w:val="20"/>
          <w:szCs w:val="20"/>
        </w:rPr>
        <w:t xml:space="preserve">. 153, I e II, e 156-A, nenhum outro imposto poderá incidir sobre operações relativas </w:t>
      </w:r>
      <w:proofErr w:type="gramStart"/>
      <w:r w:rsidRPr="005E3474">
        <w:rPr>
          <w:rFonts w:ascii="Arial" w:hAnsi="Arial" w:cs="Arial"/>
          <w:sz w:val="20"/>
          <w:szCs w:val="20"/>
        </w:rPr>
        <w:t>a</w:t>
      </w:r>
      <w:proofErr w:type="gramEnd"/>
      <w:r w:rsidRPr="005E3474">
        <w:rPr>
          <w:rFonts w:ascii="Arial" w:hAnsi="Arial" w:cs="Arial"/>
          <w:sz w:val="20"/>
          <w:szCs w:val="20"/>
        </w:rPr>
        <w:t xml:space="preserve"> energia elétrica e serviços de telecomunicações e, à exceção destes e do previsto no art. 153, VIII, nenhum outro imposto poderá incidir sobre operações relativas a derivados de petróleo, combustíveis e minerais do País</w:t>
      </w:r>
      <w:r w:rsidR="000465D0">
        <w:rPr>
          <w:rFonts w:ascii="Arial" w:hAnsi="Arial" w:cs="Arial"/>
          <w:sz w:val="20"/>
          <w:szCs w:val="20"/>
        </w:rPr>
        <w:t>.</w:t>
      </w:r>
      <w:r w:rsidRPr="005E3474">
        <w:rPr>
          <w:rFonts w:ascii="Arial" w:hAnsi="Arial" w:cs="Arial"/>
          <w:sz w:val="20"/>
          <w:szCs w:val="20"/>
        </w:rPr>
        <w:t>”</w:t>
      </w:r>
    </w:p>
    <w:p w14:paraId="369FB5FB" w14:textId="190750B7" w:rsidR="005E3474" w:rsidRPr="005E3474" w:rsidRDefault="005E3474" w:rsidP="000465D0">
      <w:pPr>
        <w:tabs>
          <w:tab w:val="left" w:pos="993"/>
        </w:tabs>
        <w:spacing w:after="120"/>
        <w:ind w:firstLine="709"/>
        <w:rPr>
          <w:rFonts w:ascii="Arial" w:hAnsi="Arial" w:cs="Arial"/>
          <w:sz w:val="20"/>
          <w:szCs w:val="20"/>
        </w:rPr>
      </w:pPr>
      <w:r w:rsidRPr="005E3474">
        <w:rPr>
          <w:rFonts w:ascii="Arial" w:hAnsi="Arial" w:cs="Arial"/>
          <w:sz w:val="20"/>
          <w:szCs w:val="20"/>
        </w:rPr>
        <w:t xml:space="preserve">(2) </w:t>
      </w:r>
      <w:hyperlink r:id="rId65" w:anchor="adct:~:text=%C2%A7%209%C2%BA%C2%A0%20At%C3%A9%20que,ocorrer%20essa%20opera%C3%A7%C3%A3o." w:history="1">
        <w:r w:rsidRPr="005E3474">
          <w:rPr>
            <w:rFonts w:ascii="Arial" w:hAnsi="Arial" w:cs="Arial"/>
            <w:color w:val="0000FF"/>
            <w:sz w:val="20"/>
            <w:szCs w:val="20"/>
            <w:u w:val="single"/>
          </w:rPr>
          <w:t>ADCT</w:t>
        </w:r>
      </w:hyperlink>
      <w:r w:rsidRPr="005E3474">
        <w:rPr>
          <w:rFonts w:ascii="Arial" w:hAnsi="Arial" w:cs="Arial"/>
          <w:sz w:val="20"/>
          <w:szCs w:val="20"/>
        </w:rPr>
        <w:t xml:space="preserve">: “Art. 34. O sistema tributário nacional entrará em vigor a partir do primeiro dia do quinto mês seguinte ao da promulgação da Constituição, mantido, até então, o da Constituição de 1967, com a redação dada pela Emenda nº 1, de 1969, e pelas posteriores. (...) § 9º Até que lei complementar disponha sobre a matéria, as empresas distribuidoras de energia elétrica, na condição de contribuintes ou de substitutos tributários, serão as responsáveis, por ocasião da saída do produto de seus estabelecimentos, ainda que destinado a outra unidade da Federação, pelo pagamento do imposto </w:t>
      </w:r>
      <w:r w:rsidRPr="005E3474">
        <w:rPr>
          <w:rFonts w:ascii="Arial" w:hAnsi="Arial" w:cs="Arial"/>
          <w:sz w:val="20"/>
          <w:szCs w:val="20"/>
        </w:rPr>
        <w:lastRenderedPageBreak/>
        <w:t xml:space="preserve">sobre operações relativas à circulação de mercadorias incidente sobre energia elétrica, desde a produção ou importação até a última operação, calculado o imposto sobre o preço então praticado na operação final e assegurado seu recolhimento ao </w:t>
      </w:r>
      <w:r w:rsidR="002D603F">
        <w:rPr>
          <w:rFonts w:ascii="Arial" w:hAnsi="Arial" w:cs="Arial"/>
          <w:sz w:val="20"/>
          <w:szCs w:val="20"/>
        </w:rPr>
        <w:t>e</w:t>
      </w:r>
      <w:r w:rsidRPr="005E3474">
        <w:rPr>
          <w:rFonts w:ascii="Arial" w:hAnsi="Arial" w:cs="Arial"/>
          <w:sz w:val="20"/>
          <w:szCs w:val="20"/>
        </w:rPr>
        <w:t>stado ou ao Distrito Federal, conforme o local onde deva ocorrer essa operação</w:t>
      </w:r>
      <w:r w:rsidR="000F3871">
        <w:rPr>
          <w:rFonts w:ascii="Arial" w:hAnsi="Arial" w:cs="Arial"/>
          <w:sz w:val="20"/>
          <w:szCs w:val="20"/>
        </w:rPr>
        <w:t>.</w:t>
      </w:r>
      <w:r w:rsidRPr="005E3474">
        <w:rPr>
          <w:rFonts w:ascii="Arial" w:hAnsi="Arial" w:cs="Arial"/>
          <w:sz w:val="20"/>
          <w:szCs w:val="20"/>
        </w:rPr>
        <w:t>”</w:t>
      </w:r>
    </w:p>
    <w:p w14:paraId="281520DF" w14:textId="5DC609F3" w:rsidR="005E3474" w:rsidRPr="005E3474" w:rsidRDefault="005E3474" w:rsidP="005E3474">
      <w:pPr>
        <w:tabs>
          <w:tab w:val="left" w:pos="993"/>
        </w:tabs>
        <w:spacing w:after="120"/>
        <w:ind w:firstLine="709"/>
        <w:contextualSpacing/>
        <w:rPr>
          <w:rFonts w:ascii="Arial" w:hAnsi="Arial" w:cs="Arial"/>
          <w:sz w:val="20"/>
          <w:szCs w:val="20"/>
        </w:rPr>
      </w:pPr>
      <w:r w:rsidRPr="005E3474">
        <w:rPr>
          <w:rFonts w:ascii="Arial" w:hAnsi="Arial" w:cs="Arial"/>
          <w:sz w:val="20"/>
          <w:szCs w:val="20"/>
        </w:rPr>
        <w:t xml:space="preserve">(3) </w:t>
      </w:r>
      <w:hyperlink r:id="rId66" w:anchor=":~:text=Art.%205o,referida%20neste%20artigo." w:history="1">
        <w:r w:rsidRPr="005E3474">
          <w:rPr>
            <w:rFonts w:ascii="Arial" w:hAnsi="Arial" w:cs="Arial"/>
            <w:color w:val="0000FF"/>
            <w:sz w:val="20"/>
            <w:szCs w:val="20"/>
            <w:u w:val="single"/>
          </w:rPr>
          <w:t>Lei nº 10.604/2002</w:t>
        </w:r>
      </w:hyperlink>
      <w:r w:rsidRPr="005E3474">
        <w:rPr>
          <w:rFonts w:ascii="Arial" w:hAnsi="Arial" w:cs="Arial"/>
          <w:sz w:val="20"/>
          <w:szCs w:val="20"/>
        </w:rPr>
        <w:t>: “Art. 5º Fica autorizada a concessão de subvenção econômica com a finalidade de contribuir para a modicidade da tarifa de fornecimento de energia elétrica aos consumidores finais integrantes da Subclasse Residencial Baixa Renda a que se refere a Lei nº 10.438, de 2002, com efeito a partir da data de sua publicação. (...)”</w:t>
      </w:r>
    </w:p>
    <w:bookmarkEnd w:id="12"/>
    <w:p w14:paraId="4D9AD7D0" w14:textId="77777777" w:rsidR="005E3474" w:rsidRPr="005E3474" w:rsidRDefault="005E3474" w:rsidP="005E3474">
      <w:pPr>
        <w:autoSpaceDE w:val="0"/>
        <w:autoSpaceDN w:val="0"/>
        <w:adjustRightInd w:val="0"/>
        <w:spacing w:line="360" w:lineRule="auto"/>
        <w:ind w:firstLine="709"/>
        <w:rPr>
          <w:sz w:val="24"/>
          <w:szCs w:val="24"/>
        </w:rPr>
      </w:pPr>
    </w:p>
    <w:bookmarkEnd w:id="11"/>
    <w:p w14:paraId="4856275F" w14:textId="77777777" w:rsidR="005E3474" w:rsidRPr="005E3474" w:rsidRDefault="005E3474" w:rsidP="005E3474">
      <w:pPr>
        <w:autoSpaceDE w:val="0"/>
        <w:autoSpaceDN w:val="0"/>
        <w:adjustRightInd w:val="0"/>
        <w:spacing w:line="360" w:lineRule="auto"/>
        <w:rPr>
          <w:sz w:val="24"/>
          <w:szCs w:val="24"/>
        </w:rPr>
      </w:pPr>
      <w:r w:rsidRPr="005E3474">
        <w:rPr>
          <w:sz w:val="24"/>
          <w:szCs w:val="24"/>
        </w:rPr>
        <w:fldChar w:fldCharType="begin"/>
      </w:r>
      <w:r w:rsidRPr="005E3474">
        <w:rPr>
          <w:sz w:val="24"/>
          <w:szCs w:val="24"/>
        </w:rPr>
        <w:instrText>HYPERLINK "https://portal.stf.jus.br/processos/detalhe.asp?incidente=5035916"</w:instrText>
      </w:r>
      <w:r w:rsidRPr="005E3474">
        <w:rPr>
          <w:sz w:val="24"/>
          <w:szCs w:val="24"/>
        </w:rPr>
      </w:r>
      <w:r w:rsidRPr="005E3474">
        <w:rPr>
          <w:sz w:val="24"/>
          <w:szCs w:val="24"/>
        </w:rPr>
        <w:fldChar w:fldCharType="separate"/>
      </w:r>
      <w:r w:rsidRPr="005E3474">
        <w:rPr>
          <w:color w:val="0000FF"/>
          <w:sz w:val="24"/>
          <w:szCs w:val="24"/>
          <w:u w:val="single"/>
        </w:rPr>
        <w:t>RE 990.115/SP, relator Ministro Cristiano Zanin, julgamento virtual finalizado em 25.09.2026 (sexta-feira), às 23:59</w:t>
      </w:r>
      <w:r w:rsidRPr="005E3474">
        <w:rPr>
          <w:sz w:val="24"/>
          <w:szCs w:val="24"/>
        </w:rPr>
        <w:fldChar w:fldCharType="end"/>
      </w:r>
    </w:p>
    <w:p w14:paraId="7A61BEBE" w14:textId="77777777" w:rsidR="00E5318C" w:rsidRDefault="00E5318C" w:rsidP="001A13F0">
      <w:pPr>
        <w:autoSpaceDE w:val="0"/>
        <w:autoSpaceDN w:val="0"/>
        <w:adjustRightInd w:val="0"/>
      </w:pPr>
    </w:p>
    <w:p w14:paraId="14F1A45C" w14:textId="77777777" w:rsidR="005E3474" w:rsidRDefault="005E3474" w:rsidP="005E3474">
      <w:pPr>
        <w:contextualSpacing/>
        <w:jc w:val="right"/>
      </w:pPr>
      <w:hyperlink w:anchor="SUMÁRIO" w:history="1">
        <w:r w:rsidRPr="003172B4">
          <w:rPr>
            <w:rStyle w:val="Hyperlink"/>
            <w:sz w:val="16"/>
            <w:szCs w:val="16"/>
          </w:rPr>
          <w:t>Sumário</w:t>
        </w:r>
      </w:hyperlink>
    </w:p>
    <w:p w14:paraId="1863461B" w14:textId="77777777" w:rsidR="00845069" w:rsidRDefault="00845069" w:rsidP="00845069">
      <w:pPr>
        <w:rPr>
          <w:bCs/>
          <w:sz w:val="24"/>
          <w:szCs w:val="24"/>
          <w:lang w:eastAsia="en-US"/>
        </w:rPr>
      </w:pPr>
    </w:p>
    <w:p w14:paraId="40CD43C7" w14:textId="584634C5" w:rsidR="00845069" w:rsidRPr="0054604F" w:rsidRDefault="00845069" w:rsidP="00845069">
      <w:pPr>
        <w:rPr>
          <w:sz w:val="24"/>
          <w:szCs w:val="24"/>
          <w:lang w:eastAsia="en-US"/>
        </w:rPr>
      </w:pPr>
      <w:r w:rsidRPr="0054604F">
        <w:rPr>
          <w:bCs/>
          <w:sz w:val="24"/>
          <w:szCs w:val="24"/>
          <w:lang w:eastAsia="en-US"/>
        </w:rPr>
        <w:t xml:space="preserve">DIREITO TRIBUTÁRIO – </w:t>
      </w:r>
      <w:r>
        <w:rPr>
          <w:bCs/>
          <w:sz w:val="24"/>
          <w:szCs w:val="24"/>
          <w:lang w:eastAsia="en-US"/>
        </w:rPr>
        <w:t xml:space="preserve">IMPOSTOS; </w:t>
      </w:r>
      <w:r w:rsidRPr="0054604F">
        <w:rPr>
          <w:bCs/>
          <w:sz w:val="24"/>
          <w:szCs w:val="24"/>
          <w:lang w:eastAsia="en-US"/>
        </w:rPr>
        <w:t>ICMS; CRÉDITO TRIBUTÁRIO; INCENTIVOS FISCAIS; ISENÇÃO; REVOGAÇÃO UNILATERAL; CONVÊNIO CONFAZ; QUÓRUM</w:t>
      </w:r>
    </w:p>
    <w:p w14:paraId="1DAE02D6" w14:textId="77777777" w:rsidR="00845069" w:rsidRPr="0054604F" w:rsidRDefault="00845069" w:rsidP="00845069">
      <w:pPr>
        <w:rPr>
          <w:b/>
          <w:bCs/>
          <w:i/>
          <w:iCs/>
          <w:sz w:val="24"/>
          <w:szCs w:val="24"/>
          <w:highlight w:val="yellow"/>
          <w:lang w:eastAsia="en-US"/>
        </w:rPr>
      </w:pPr>
    </w:p>
    <w:p w14:paraId="37AF818B" w14:textId="77777777" w:rsidR="00845069" w:rsidRPr="0054604F" w:rsidRDefault="00845069" w:rsidP="00845069">
      <w:pPr>
        <w:autoSpaceDE w:val="0"/>
        <w:autoSpaceDN w:val="0"/>
        <w:adjustRightInd w:val="0"/>
        <w:rPr>
          <w:b/>
          <w:bCs/>
          <w:i/>
          <w:iCs/>
          <w:sz w:val="24"/>
          <w:szCs w:val="24"/>
          <w:lang w:eastAsia="en-US"/>
        </w:rPr>
      </w:pPr>
      <w:bookmarkStart w:id="13" w:name="confaz"/>
      <w:r w:rsidRPr="0054604F">
        <w:rPr>
          <w:b/>
          <w:bCs/>
          <w:i/>
          <w:iCs/>
          <w:sz w:val="24"/>
          <w:szCs w:val="24"/>
          <w:lang w:eastAsia="en-US"/>
        </w:rPr>
        <w:t xml:space="preserve">ICMS: limitação de benefícios fiscais no âmbito estadual </w:t>
      </w:r>
      <w:bookmarkEnd w:id="13"/>
      <w:r w:rsidRPr="0054604F">
        <w:rPr>
          <w:sz w:val="24"/>
          <w:szCs w:val="24"/>
          <w:lang w:eastAsia="en-US"/>
        </w:rPr>
        <w:t xml:space="preserve">– </w:t>
      </w:r>
      <w:hyperlink r:id="rId67" w:history="1">
        <w:r w:rsidRPr="0054604F">
          <w:rPr>
            <w:sz w:val="24"/>
            <w:szCs w:val="24"/>
            <w:lang w:eastAsia="en-US"/>
          </w:rPr>
          <w:t>ADI 7.822/SP</w:t>
        </w:r>
      </w:hyperlink>
      <w:r w:rsidRPr="0054604F">
        <w:t>,</w:t>
      </w:r>
      <w:r w:rsidRPr="0054604F">
        <w:rPr>
          <w:sz w:val="24"/>
          <w:szCs w:val="24"/>
          <w:lang w:eastAsia="en-US"/>
        </w:rPr>
        <w:t xml:space="preserve"> </w:t>
      </w:r>
      <w:hyperlink r:id="rId68" w:history="1">
        <w:r w:rsidRPr="0054604F">
          <w:rPr>
            <w:sz w:val="24"/>
            <w:szCs w:val="24"/>
            <w:lang w:eastAsia="en-US"/>
          </w:rPr>
          <w:t>ADI 7.830/SP</w:t>
        </w:r>
      </w:hyperlink>
      <w:r w:rsidRPr="0054604F">
        <w:rPr>
          <w:sz w:val="24"/>
          <w:szCs w:val="24"/>
          <w:lang w:eastAsia="en-US"/>
        </w:rPr>
        <w:t xml:space="preserve">, </w:t>
      </w:r>
      <w:hyperlink r:id="rId69" w:history="1">
        <w:r w:rsidRPr="0054604F">
          <w:rPr>
            <w:sz w:val="24"/>
            <w:szCs w:val="24"/>
            <w:lang w:eastAsia="en-US"/>
          </w:rPr>
          <w:t>ADI 7.844/SP</w:t>
        </w:r>
      </w:hyperlink>
      <w:r w:rsidRPr="0054604F">
        <w:rPr>
          <w:sz w:val="24"/>
          <w:szCs w:val="24"/>
          <w:lang w:eastAsia="en-US"/>
        </w:rPr>
        <w:t xml:space="preserve"> e </w:t>
      </w:r>
      <w:hyperlink r:id="rId70" w:history="1">
        <w:r w:rsidRPr="0054604F">
          <w:rPr>
            <w:sz w:val="24"/>
            <w:szCs w:val="24"/>
            <w:lang w:eastAsia="en-US"/>
          </w:rPr>
          <w:t>ADI 7.848/SP</w:t>
        </w:r>
      </w:hyperlink>
      <w:r w:rsidRPr="0054604F">
        <w:rPr>
          <w:sz w:val="24"/>
          <w:szCs w:val="24"/>
        </w:rPr>
        <w:t xml:space="preserve"> </w:t>
      </w:r>
      <w:r w:rsidRPr="0054604F">
        <w:rPr>
          <w:noProof/>
          <w:sz w:val="24"/>
          <w:szCs w:val="24"/>
        </w:rPr>
        <w:drawing>
          <wp:inline distT="0" distB="0" distL="0" distR="0" wp14:anchorId="38C71406" wp14:editId="4857F508">
            <wp:extent cx="1195705" cy="180975"/>
            <wp:effectExtent l="0" t="0" r="4445" b="9525"/>
            <wp:docPr id="1532552744" name="Imagem 4">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7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3097501" w14:textId="77777777" w:rsidR="00845069" w:rsidRPr="0054604F" w:rsidRDefault="00845069" w:rsidP="00845069">
      <w:pPr>
        <w:autoSpaceDE w:val="0"/>
        <w:autoSpaceDN w:val="0"/>
        <w:adjustRightInd w:val="0"/>
        <w:rPr>
          <w:sz w:val="24"/>
          <w:szCs w:val="24"/>
        </w:rPr>
      </w:pPr>
    </w:p>
    <w:p w14:paraId="7CDA9A73" w14:textId="77777777" w:rsidR="00845069" w:rsidRPr="0054604F" w:rsidRDefault="00845069" w:rsidP="00845069">
      <w:pPr>
        <w:spacing w:line="360" w:lineRule="auto"/>
        <w:rPr>
          <w:sz w:val="24"/>
          <w:szCs w:val="24"/>
        </w:rPr>
      </w:pPr>
      <w:r w:rsidRPr="0054604F">
        <w:rPr>
          <w:b/>
          <w:bCs/>
          <w:sz w:val="24"/>
          <w:szCs w:val="24"/>
        </w:rPr>
        <w:t>ODS:</w:t>
      </w:r>
      <w:r w:rsidRPr="0054604F">
        <w:rPr>
          <w:sz w:val="24"/>
          <w:szCs w:val="24"/>
        </w:rPr>
        <w:t xml:space="preserve"> </w:t>
      </w:r>
      <w:hyperlink r:id="rId72" w:history="1">
        <w:r w:rsidRPr="0054604F">
          <w:rPr>
            <w:color w:val="0000FF"/>
            <w:sz w:val="24"/>
            <w:szCs w:val="24"/>
            <w:u w:val="single"/>
          </w:rPr>
          <w:t>8</w:t>
        </w:r>
      </w:hyperlink>
      <w:r w:rsidRPr="0054604F">
        <w:rPr>
          <w:sz w:val="24"/>
          <w:szCs w:val="24"/>
        </w:rPr>
        <w:t xml:space="preserve">, </w:t>
      </w:r>
      <w:hyperlink r:id="rId73" w:history="1">
        <w:r w:rsidRPr="0054604F">
          <w:rPr>
            <w:color w:val="0000FF"/>
            <w:sz w:val="24"/>
            <w:szCs w:val="24"/>
            <w:u w:val="single"/>
          </w:rPr>
          <w:t>10</w:t>
        </w:r>
      </w:hyperlink>
      <w:r w:rsidRPr="0054604F">
        <w:rPr>
          <w:sz w:val="24"/>
          <w:szCs w:val="24"/>
        </w:rPr>
        <w:t xml:space="preserve">, </w:t>
      </w:r>
      <w:hyperlink r:id="rId74" w:history="1">
        <w:r w:rsidRPr="0054604F">
          <w:rPr>
            <w:color w:val="0000FF"/>
            <w:sz w:val="24"/>
            <w:szCs w:val="24"/>
            <w:u w:val="single"/>
          </w:rPr>
          <w:t>11</w:t>
        </w:r>
      </w:hyperlink>
      <w:r w:rsidRPr="0054604F">
        <w:rPr>
          <w:sz w:val="24"/>
          <w:szCs w:val="24"/>
        </w:rPr>
        <w:t xml:space="preserve"> e </w:t>
      </w:r>
      <w:hyperlink r:id="rId75" w:history="1">
        <w:r w:rsidRPr="0054604F">
          <w:rPr>
            <w:color w:val="0000FF"/>
            <w:sz w:val="24"/>
            <w:szCs w:val="24"/>
            <w:u w:val="single"/>
          </w:rPr>
          <w:t>16</w:t>
        </w:r>
      </w:hyperlink>
    </w:p>
    <w:p w14:paraId="69642DFA" w14:textId="77777777" w:rsidR="00845069" w:rsidRPr="0054604F" w:rsidRDefault="00845069" w:rsidP="00845069">
      <w:pPr>
        <w:autoSpaceDE w:val="0"/>
        <w:autoSpaceDN w:val="0"/>
        <w:adjustRightInd w:val="0"/>
        <w:spacing w:line="360" w:lineRule="auto"/>
        <w:ind w:firstLine="708"/>
        <w:rPr>
          <w:sz w:val="24"/>
          <w:szCs w:val="24"/>
          <w:lang w:eastAsia="en-US"/>
        </w:rPr>
      </w:pPr>
    </w:p>
    <w:p w14:paraId="4344C7EE" w14:textId="77777777" w:rsidR="00845069" w:rsidRPr="0054604F" w:rsidRDefault="00845069" w:rsidP="00845069">
      <w:pPr>
        <w:spacing w:line="360" w:lineRule="auto"/>
        <w:rPr>
          <w:sz w:val="24"/>
          <w:szCs w:val="24"/>
          <w:lang w:eastAsia="en-US"/>
        </w:rPr>
      </w:pPr>
      <w:r w:rsidRPr="0054604F">
        <w:rPr>
          <w:sz w:val="24"/>
          <w:szCs w:val="24"/>
          <w:lang w:eastAsia="en-US"/>
        </w:rPr>
        <w:t xml:space="preserve">Tese </w:t>
      </w:r>
      <w:r>
        <w:rPr>
          <w:sz w:val="24"/>
          <w:szCs w:val="24"/>
          <w:lang w:eastAsia="en-US"/>
        </w:rPr>
        <w:t>f</w:t>
      </w:r>
      <w:r w:rsidRPr="0054604F">
        <w:rPr>
          <w:sz w:val="24"/>
          <w:szCs w:val="24"/>
          <w:lang w:eastAsia="en-US"/>
        </w:rPr>
        <w:t>ixada:</w:t>
      </w:r>
    </w:p>
    <w:p w14:paraId="40B6D5D2" w14:textId="4029B65E" w:rsidR="00845069" w:rsidRPr="0054604F" w:rsidRDefault="00845069" w:rsidP="00845069">
      <w:pPr>
        <w:autoSpaceDE w:val="0"/>
        <w:autoSpaceDN w:val="0"/>
        <w:adjustRightInd w:val="0"/>
        <w:spacing w:line="360" w:lineRule="auto"/>
        <w:ind w:firstLine="708"/>
        <w:rPr>
          <w:b/>
          <w:bCs/>
          <w:sz w:val="24"/>
          <w:szCs w:val="24"/>
          <w:lang w:eastAsia="en-US"/>
        </w:rPr>
      </w:pPr>
      <w:r w:rsidRPr="0054604F">
        <w:rPr>
          <w:b/>
          <w:bCs/>
          <w:sz w:val="24"/>
          <w:szCs w:val="24"/>
          <w:lang w:eastAsia="en-US"/>
        </w:rPr>
        <w:t xml:space="preserve">“É inconstitucional ato unilateral de </w:t>
      </w:r>
      <w:r>
        <w:rPr>
          <w:b/>
          <w:bCs/>
          <w:sz w:val="24"/>
          <w:szCs w:val="24"/>
          <w:lang w:eastAsia="en-US"/>
        </w:rPr>
        <w:t>e</w:t>
      </w:r>
      <w:r w:rsidRPr="0054604F">
        <w:rPr>
          <w:b/>
          <w:bCs/>
          <w:sz w:val="24"/>
          <w:szCs w:val="24"/>
          <w:lang w:eastAsia="en-US"/>
        </w:rPr>
        <w:t xml:space="preserve">stado </w:t>
      </w:r>
      <w:r>
        <w:rPr>
          <w:b/>
          <w:bCs/>
          <w:sz w:val="24"/>
          <w:szCs w:val="24"/>
          <w:lang w:eastAsia="en-US"/>
        </w:rPr>
        <w:t>f</w:t>
      </w:r>
      <w:r w:rsidRPr="0054604F">
        <w:rPr>
          <w:b/>
          <w:bCs/>
          <w:sz w:val="24"/>
          <w:szCs w:val="24"/>
          <w:lang w:eastAsia="en-US"/>
        </w:rPr>
        <w:t xml:space="preserve">ederado que revogue, total ou parcialmente, benefícios ou </w:t>
      </w:r>
      <w:proofErr w:type="gramStart"/>
      <w:r w:rsidRPr="0054604F">
        <w:rPr>
          <w:b/>
          <w:bCs/>
          <w:sz w:val="24"/>
          <w:szCs w:val="24"/>
          <w:lang w:eastAsia="en-US"/>
        </w:rPr>
        <w:t>isenções</w:t>
      </w:r>
      <w:r w:rsidR="00C239D3">
        <w:rPr>
          <w:b/>
          <w:bCs/>
          <w:sz w:val="24"/>
          <w:szCs w:val="24"/>
          <w:lang w:eastAsia="en-US"/>
        </w:rPr>
        <w:t xml:space="preserve"> </w:t>
      </w:r>
      <w:r w:rsidRPr="0054604F">
        <w:rPr>
          <w:b/>
          <w:bCs/>
          <w:sz w:val="24"/>
          <w:szCs w:val="24"/>
          <w:lang w:eastAsia="en-US"/>
        </w:rPr>
        <w:t>concedidos</w:t>
      </w:r>
      <w:proofErr w:type="gramEnd"/>
      <w:r w:rsidRPr="0054604F">
        <w:rPr>
          <w:b/>
          <w:bCs/>
          <w:sz w:val="24"/>
          <w:szCs w:val="24"/>
          <w:lang w:eastAsia="en-US"/>
        </w:rPr>
        <w:t xml:space="preserve">, relativos a ICMS, sem o estrito cumprimento dos princípios constitucionais e das regras fixadas em Lei Complementar no atendimento à al. </w:t>
      </w:r>
      <w:r w:rsidRPr="002D603F">
        <w:rPr>
          <w:b/>
          <w:bCs/>
          <w:i/>
          <w:iCs/>
          <w:sz w:val="24"/>
          <w:szCs w:val="24"/>
          <w:lang w:eastAsia="en-US"/>
        </w:rPr>
        <w:t>g</w:t>
      </w:r>
      <w:r w:rsidRPr="0054604F">
        <w:rPr>
          <w:b/>
          <w:bCs/>
          <w:sz w:val="24"/>
          <w:szCs w:val="24"/>
          <w:lang w:eastAsia="en-US"/>
        </w:rPr>
        <w:t xml:space="preserve"> do inc. XII do § 2º do art. 155 da Constituição da República</w:t>
      </w:r>
      <w:r>
        <w:rPr>
          <w:b/>
          <w:bCs/>
          <w:sz w:val="24"/>
          <w:szCs w:val="24"/>
          <w:lang w:eastAsia="en-US"/>
        </w:rPr>
        <w:t>.</w:t>
      </w:r>
      <w:r w:rsidRPr="0054604F">
        <w:rPr>
          <w:b/>
          <w:bCs/>
          <w:sz w:val="24"/>
          <w:szCs w:val="24"/>
          <w:lang w:eastAsia="en-US"/>
        </w:rPr>
        <w:t>”</w:t>
      </w:r>
    </w:p>
    <w:p w14:paraId="4135A365" w14:textId="77777777" w:rsidR="00845069" w:rsidRPr="0054604F" w:rsidRDefault="00845069" w:rsidP="00845069">
      <w:pPr>
        <w:autoSpaceDE w:val="0"/>
        <w:autoSpaceDN w:val="0"/>
        <w:adjustRightInd w:val="0"/>
        <w:spacing w:line="360" w:lineRule="auto"/>
        <w:ind w:firstLine="708"/>
        <w:rPr>
          <w:sz w:val="24"/>
          <w:szCs w:val="24"/>
          <w:lang w:eastAsia="en-US"/>
        </w:rPr>
      </w:pPr>
    </w:p>
    <w:p w14:paraId="41CA25D2" w14:textId="77777777" w:rsidR="00845069" w:rsidRPr="0054604F" w:rsidRDefault="00845069" w:rsidP="00845069">
      <w:pPr>
        <w:spacing w:line="360" w:lineRule="auto"/>
        <w:rPr>
          <w:sz w:val="24"/>
          <w:szCs w:val="24"/>
          <w:lang w:eastAsia="en-US"/>
        </w:rPr>
      </w:pPr>
      <w:r w:rsidRPr="0054604F">
        <w:rPr>
          <w:sz w:val="24"/>
          <w:szCs w:val="24"/>
          <w:lang w:eastAsia="en-US"/>
        </w:rPr>
        <w:t>Resumo:</w:t>
      </w:r>
    </w:p>
    <w:p w14:paraId="0319B1C0" w14:textId="77777777" w:rsidR="00845069" w:rsidRPr="0054604F" w:rsidRDefault="00845069" w:rsidP="00845069">
      <w:pPr>
        <w:spacing w:line="360" w:lineRule="auto"/>
        <w:ind w:firstLine="708"/>
        <w:rPr>
          <w:b/>
          <w:bCs/>
          <w:sz w:val="24"/>
          <w:szCs w:val="24"/>
          <w:lang w:eastAsia="en-US"/>
        </w:rPr>
      </w:pPr>
      <w:r w:rsidRPr="0054604F">
        <w:rPr>
          <w:b/>
          <w:bCs/>
          <w:sz w:val="24"/>
          <w:szCs w:val="24"/>
          <w:lang w:eastAsia="en-US"/>
        </w:rPr>
        <w:t xml:space="preserve">É inconstitucional ato unilateral de estado-membro que revogue, total ou parcialmente, benefício ou isenção de Imposto sobre Circulação de Mercadorias e Serviços (ICMS) concedidos mediante convênio do Conselho Nacional de Política Fazendária (CONFAZ), sem a observância do princípio federativo, do rito procedimental e da deliberação pelo quórum qualificado de quatro quintos estabelecidos na lei complementar (CF/1988, art. 155, § 2º, XII, </w:t>
      </w:r>
      <w:r w:rsidRPr="002D603F">
        <w:rPr>
          <w:b/>
          <w:bCs/>
          <w:i/>
          <w:iCs/>
          <w:sz w:val="24"/>
          <w:szCs w:val="24"/>
          <w:lang w:eastAsia="en-US"/>
        </w:rPr>
        <w:t>g</w:t>
      </w:r>
      <w:r w:rsidRPr="0054604F">
        <w:rPr>
          <w:b/>
          <w:bCs/>
          <w:sz w:val="24"/>
          <w:szCs w:val="24"/>
          <w:lang w:eastAsia="en-US"/>
        </w:rPr>
        <w:t>).</w:t>
      </w:r>
    </w:p>
    <w:p w14:paraId="0BC4B8AB" w14:textId="77777777" w:rsidR="00845069" w:rsidRPr="0054604F" w:rsidRDefault="00845069" w:rsidP="00845069">
      <w:pPr>
        <w:spacing w:line="360" w:lineRule="auto"/>
        <w:ind w:firstLine="708"/>
        <w:rPr>
          <w:sz w:val="24"/>
          <w:szCs w:val="24"/>
          <w:lang w:eastAsia="en-US"/>
        </w:rPr>
      </w:pPr>
      <w:r w:rsidRPr="0054604F">
        <w:rPr>
          <w:sz w:val="24"/>
          <w:szCs w:val="24"/>
          <w:lang w:eastAsia="en-US"/>
        </w:rPr>
        <w:t xml:space="preserve">A Constituição Federal atribui à lei complementar a disciplina da forma pela qual, mediante deliberação dos estados e do Distrito Federal, serão concedidos e revogados incentivos, isenções e benefícios fiscais relativos ao ICMS. Nesse contexto, a Lei Complementar nº 24/1975 condiciona a concessão dessas medidas à decisão unânime dos entes </w:t>
      </w:r>
      <w:r w:rsidRPr="0054604F">
        <w:rPr>
          <w:sz w:val="24"/>
          <w:szCs w:val="24"/>
          <w:lang w:eastAsia="en-US"/>
        </w:rPr>
        <w:lastRenderedPageBreak/>
        <w:t>representados no CONFAZ e exige a aprovação de, pelo menos, 4/5 (quatro quintos) dos representantes presentes para sua revogação total ou parcial (1).</w:t>
      </w:r>
    </w:p>
    <w:p w14:paraId="14ED2828" w14:textId="77777777" w:rsidR="00845069" w:rsidRPr="0054604F" w:rsidRDefault="00845069" w:rsidP="00845069">
      <w:pPr>
        <w:spacing w:line="360" w:lineRule="auto"/>
        <w:ind w:firstLine="708"/>
        <w:rPr>
          <w:sz w:val="24"/>
          <w:szCs w:val="24"/>
          <w:lang w:eastAsia="en-US"/>
        </w:rPr>
      </w:pPr>
      <w:r w:rsidRPr="0054604F">
        <w:rPr>
          <w:sz w:val="24"/>
          <w:szCs w:val="24"/>
          <w:lang w:eastAsia="en-US"/>
        </w:rPr>
        <w:t>Conforme a jurisprudência desta Corte (2), embora os convênios celebrados no âmbito do CONFAZ possuam natureza autorizativa e dependam de internalização por cada ente federativo, suas disposições tornam-se vinculantes após a ratificação. Por isso, as unidades federadas não podem restringir, descaracterizar ou revogar unilateralmente benefícios fiscais previamente acordados, sob pena de violação ao federalismo cooperativo e de estímulo à guerra fiscal.</w:t>
      </w:r>
    </w:p>
    <w:p w14:paraId="692A3B32" w14:textId="68ECBC15" w:rsidR="00845069" w:rsidRPr="0054604F" w:rsidRDefault="00845069" w:rsidP="00845069">
      <w:pPr>
        <w:spacing w:line="360" w:lineRule="auto"/>
        <w:ind w:firstLine="708"/>
        <w:rPr>
          <w:sz w:val="24"/>
          <w:szCs w:val="24"/>
          <w:lang w:eastAsia="en-US"/>
        </w:rPr>
      </w:pPr>
      <w:r w:rsidRPr="0054604F">
        <w:rPr>
          <w:sz w:val="24"/>
          <w:szCs w:val="24"/>
          <w:lang w:eastAsia="en-US"/>
        </w:rPr>
        <w:t xml:space="preserve">Na espécie, o Convênio ICMS nº 52/1992 (3) estendeu às Áreas de Livre Comércio localizadas nos </w:t>
      </w:r>
      <w:r w:rsidR="00C239D3">
        <w:rPr>
          <w:sz w:val="24"/>
          <w:szCs w:val="24"/>
          <w:lang w:eastAsia="en-US"/>
        </w:rPr>
        <w:t>E</w:t>
      </w:r>
      <w:r w:rsidRPr="0054604F">
        <w:rPr>
          <w:sz w:val="24"/>
          <w:szCs w:val="24"/>
          <w:lang w:eastAsia="en-US"/>
        </w:rPr>
        <w:t>stados do Amapá, de Roraima, de Rondônia, do Amazonas e do Acre a isenção aplicável à saída de produtos industrializados ou semielaborados de origem nacional, sem estabelecer prazo final para o benefício. Posteriormente, o Decreto paulista nº 67.383/2022 fixou o dia 31 de dezembro de 2024 como termo de sua vigência, sem prévia deliberação do CONFAZ e sem a aprovação de 4/5 dos representantes exigida para a revogação. O restabelecimento temporário da isenção, entre 29 de dezembro de 2025 e 30 de setembro de 2026, não afastou a invalidade da supressão unilateral nos períodos não abrangidos pela nova disciplina.</w:t>
      </w:r>
    </w:p>
    <w:p w14:paraId="142DD25C" w14:textId="77777777" w:rsidR="00845069" w:rsidRPr="0054604F" w:rsidRDefault="00845069" w:rsidP="00845069">
      <w:pPr>
        <w:spacing w:line="360" w:lineRule="auto"/>
        <w:ind w:firstLine="708"/>
        <w:rPr>
          <w:sz w:val="24"/>
          <w:szCs w:val="24"/>
          <w:lang w:eastAsia="en-US"/>
        </w:rPr>
      </w:pPr>
      <w:r w:rsidRPr="0054604F">
        <w:rPr>
          <w:sz w:val="24"/>
          <w:szCs w:val="24"/>
          <w:lang w:eastAsia="en-US"/>
        </w:rPr>
        <w:t>Com base nesses e em outros entendimentos, o Plenário, em julgamento conjunto e por maioria: (i) converteu a apreciação da medida cautelar em julgamento de mérito; (</w:t>
      </w:r>
      <w:proofErr w:type="spellStart"/>
      <w:r w:rsidRPr="0054604F">
        <w:rPr>
          <w:sz w:val="24"/>
          <w:szCs w:val="24"/>
          <w:lang w:eastAsia="en-US"/>
        </w:rPr>
        <w:t>ii</w:t>
      </w:r>
      <w:proofErr w:type="spellEnd"/>
      <w:r w:rsidRPr="0054604F">
        <w:rPr>
          <w:sz w:val="24"/>
          <w:szCs w:val="24"/>
          <w:lang w:eastAsia="en-US"/>
        </w:rPr>
        <w:t xml:space="preserve">) julgou parcialmente prejudicadas as ações quanto ao período de 29 de dezembro de 2025 a 30 de setembro de 2026, durante o qual o benefício foi restabelecido pelo </w:t>
      </w:r>
      <w:hyperlink r:id="rId76" w:history="1">
        <w:r w:rsidRPr="0054604F">
          <w:rPr>
            <w:color w:val="0000FF"/>
            <w:sz w:val="24"/>
            <w:szCs w:val="24"/>
            <w:u w:val="single"/>
            <w:lang w:eastAsia="en-US"/>
          </w:rPr>
          <w:t>Decreto paulista nº 70.348/2026</w:t>
        </w:r>
      </w:hyperlink>
      <w:r w:rsidRPr="0054604F">
        <w:rPr>
          <w:sz w:val="24"/>
          <w:szCs w:val="24"/>
          <w:lang w:eastAsia="en-US"/>
        </w:rPr>
        <w:t>; e (</w:t>
      </w:r>
      <w:proofErr w:type="spellStart"/>
      <w:r w:rsidRPr="0054604F">
        <w:rPr>
          <w:sz w:val="24"/>
          <w:szCs w:val="24"/>
          <w:lang w:eastAsia="en-US"/>
        </w:rPr>
        <w:t>iii</w:t>
      </w:r>
      <w:proofErr w:type="spellEnd"/>
      <w:r w:rsidRPr="0054604F">
        <w:rPr>
          <w:sz w:val="24"/>
          <w:szCs w:val="24"/>
          <w:lang w:eastAsia="en-US"/>
        </w:rPr>
        <w:t xml:space="preserve">) julgou procedentes os pedidos para declarar a inconstitucionalidade do </w:t>
      </w:r>
      <w:hyperlink r:id="rId77" w:history="1">
        <w:r w:rsidRPr="0054604F">
          <w:rPr>
            <w:color w:val="0000FF"/>
            <w:sz w:val="24"/>
            <w:szCs w:val="24"/>
            <w:u w:val="single"/>
            <w:lang w:eastAsia="en-US"/>
          </w:rPr>
          <w:t>§ 5º do art. 5º do Anexo I do Decreto paulista nº 45.490/2000</w:t>
        </w:r>
      </w:hyperlink>
      <w:r w:rsidRPr="0054604F">
        <w:rPr>
          <w:sz w:val="24"/>
          <w:szCs w:val="24"/>
          <w:lang w:eastAsia="en-US"/>
        </w:rPr>
        <w:t xml:space="preserve">, com a redação dada pelo </w:t>
      </w:r>
      <w:hyperlink r:id="rId78" w:history="1">
        <w:r w:rsidRPr="0054604F">
          <w:rPr>
            <w:color w:val="0000FF"/>
            <w:sz w:val="24"/>
            <w:szCs w:val="24"/>
            <w:u w:val="single"/>
            <w:lang w:eastAsia="en-US"/>
          </w:rPr>
          <w:t>Decreto nº 67.383/2022</w:t>
        </w:r>
      </w:hyperlink>
      <w:r w:rsidRPr="0054604F">
        <w:rPr>
          <w:sz w:val="24"/>
          <w:szCs w:val="24"/>
          <w:lang w:eastAsia="en-US"/>
        </w:rPr>
        <w:t>. Por fim, fixou a tese anteriormente citada.</w:t>
      </w:r>
    </w:p>
    <w:p w14:paraId="3CEBBF7B" w14:textId="77777777" w:rsidR="00845069" w:rsidRPr="0054604F" w:rsidRDefault="00845069" w:rsidP="00845069">
      <w:pPr>
        <w:spacing w:line="360" w:lineRule="auto"/>
        <w:ind w:firstLine="708"/>
        <w:rPr>
          <w:sz w:val="24"/>
          <w:szCs w:val="24"/>
          <w:lang w:eastAsia="en-US"/>
        </w:rPr>
      </w:pPr>
    </w:p>
    <w:p w14:paraId="3B1DA408" w14:textId="2B055E5B" w:rsidR="00845069" w:rsidRPr="0054604F" w:rsidRDefault="00845069" w:rsidP="00845069">
      <w:pPr>
        <w:spacing w:after="120"/>
        <w:ind w:firstLine="708"/>
        <w:rPr>
          <w:rFonts w:ascii="Arial" w:hAnsi="Arial" w:cs="Arial"/>
          <w:sz w:val="20"/>
          <w:szCs w:val="20"/>
          <w:lang w:eastAsia="en-US"/>
        </w:rPr>
      </w:pPr>
      <w:r w:rsidRPr="0054604F">
        <w:rPr>
          <w:rFonts w:ascii="Arial" w:hAnsi="Arial" w:cs="Arial"/>
          <w:sz w:val="20"/>
          <w:szCs w:val="20"/>
          <w:lang w:eastAsia="en-US"/>
        </w:rPr>
        <w:t xml:space="preserve">(1) </w:t>
      </w:r>
      <w:hyperlink r:id="rId79" w:anchor=":~:text=%C2%A7%202%C2%BA%20%2D%20A%20concess%C3%A3o%20de%20benef%C3%ADcios%20depender%C3%A1%20sempre%20de%20decis%C3%A3o%20un%C3%A2nime%20dos%20Estados%20representados%3B%20a%20sua%20revoga%C3%A7%C3%A3o%20total%20ou%20parcial%20depender%C3%A1%20de%20aprova%C3%A7%C3%A3o%20de%20quatro%20quintos%2C%20pelo%20menos%2C%20dos%20representantes%20presentes." w:history="1">
        <w:r w:rsidRPr="0054604F">
          <w:rPr>
            <w:rFonts w:ascii="Arial" w:hAnsi="Arial" w:cs="Arial"/>
            <w:color w:val="0000FF"/>
            <w:sz w:val="20"/>
            <w:szCs w:val="20"/>
            <w:u w:val="single"/>
            <w:lang w:eastAsia="en-US"/>
          </w:rPr>
          <w:t>Lei Complementar nº 24/1975</w:t>
        </w:r>
      </w:hyperlink>
      <w:r w:rsidRPr="0054604F">
        <w:rPr>
          <w:rFonts w:ascii="Arial" w:hAnsi="Arial" w:cs="Arial"/>
          <w:sz w:val="20"/>
          <w:szCs w:val="20"/>
          <w:lang w:eastAsia="en-US"/>
        </w:rPr>
        <w:t xml:space="preserve">: “Art. 1º As isenções do imposto sobre operações relativas à circulação de mercadorias serão concedidas ou revogadas nos termos de convênios celebrados e ratificados pelos </w:t>
      </w:r>
      <w:r>
        <w:rPr>
          <w:rFonts w:ascii="Arial" w:hAnsi="Arial" w:cs="Arial"/>
          <w:sz w:val="20"/>
          <w:szCs w:val="20"/>
          <w:lang w:eastAsia="en-US"/>
        </w:rPr>
        <w:t>e</w:t>
      </w:r>
      <w:r w:rsidRPr="0054604F">
        <w:rPr>
          <w:rFonts w:ascii="Arial" w:hAnsi="Arial" w:cs="Arial"/>
          <w:sz w:val="20"/>
          <w:szCs w:val="20"/>
          <w:lang w:eastAsia="en-US"/>
        </w:rPr>
        <w:t xml:space="preserve">stados e pelo Distrito Federal, segundo esta Lei. (...) Art. 2º Os convênios a que alude o art. 1º, serão celebrados em reuniões para as quais tenham sido convocados representantes de todos os </w:t>
      </w:r>
      <w:r>
        <w:rPr>
          <w:rFonts w:ascii="Arial" w:hAnsi="Arial" w:cs="Arial"/>
          <w:sz w:val="20"/>
          <w:szCs w:val="20"/>
          <w:lang w:eastAsia="en-US"/>
        </w:rPr>
        <w:t>e</w:t>
      </w:r>
      <w:r w:rsidRPr="0054604F">
        <w:rPr>
          <w:rFonts w:ascii="Arial" w:hAnsi="Arial" w:cs="Arial"/>
          <w:sz w:val="20"/>
          <w:szCs w:val="20"/>
          <w:lang w:eastAsia="en-US"/>
        </w:rPr>
        <w:t>stados e do Distrito Federal, sob a presidência de representantes do Governo federal. (...) § 2º A concessão de benefícios dependerá sempre de decisão unânime dos Estados representados; a sua revogação total ou parcial dependerá de aprovação de quatro quintos, pelo menos, dos representantes presentes.”</w:t>
      </w:r>
    </w:p>
    <w:p w14:paraId="7B2A9248" w14:textId="77777777" w:rsidR="00845069" w:rsidRPr="0054604F" w:rsidRDefault="00845069" w:rsidP="00845069">
      <w:pPr>
        <w:spacing w:after="120"/>
        <w:ind w:firstLine="708"/>
        <w:rPr>
          <w:rFonts w:ascii="Arial" w:hAnsi="Arial" w:cs="Arial"/>
          <w:sz w:val="20"/>
          <w:szCs w:val="20"/>
        </w:rPr>
      </w:pPr>
      <w:r w:rsidRPr="0054604F">
        <w:rPr>
          <w:rFonts w:ascii="Arial" w:hAnsi="Arial" w:cs="Arial"/>
          <w:sz w:val="20"/>
          <w:szCs w:val="20"/>
        </w:rPr>
        <w:t xml:space="preserve">(2) Precedentes citados: </w:t>
      </w:r>
      <w:hyperlink r:id="rId80" w:history="1">
        <w:r w:rsidRPr="0054604F">
          <w:rPr>
            <w:rFonts w:ascii="Arial" w:hAnsi="Arial" w:cs="Arial"/>
            <w:color w:val="0000FF"/>
            <w:sz w:val="20"/>
            <w:szCs w:val="20"/>
            <w:u w:val="single"/>
          </w:rPr>
          <w:t>ADPF 198</w:t>
        </w:r>
      </w:hyperlink>
      <w:r w:rsidRPr="0054604F">
        <w:rPr>
          <w:rFonts w:ascii="Arial" w:hAnsi="Arial" w:cs="Arial"/>
          <w:sz w:val="20"/>
          <w:szCs w:val="20"/>
        </w:rPr>
        <w:t xml:space="preserve">, </w:t>
      </w:r>
      <w:hyperlink r:id="rId81" w:history="1">
        <w:r w:rsidRPr="0054604F">
          <w:rPr>
            <w:rFonts w:ascii="Arial" w:hAnsi="Arial" w:cs="Arial"/>
            <w:color w:val="0000FF"/>
            <w:sz w:val="20"/>
            <w:szCs w:val="20"/>
            <w:u w:val="single"/>
          </w:rPr>
          <w:t>ADI 5.929</w:t>
        </w:r>
      </w:hyperlink>
      <w:r w:rsidRPr="0054604F">
        <w:rPr>
          <w:rFonts w:ascii="Arial" w:hAnsi="Arial" w:cs="Arial"/>
          <w:sz w:val="20"/>
          <w:szCs w:val="20"/>
        </w:rPr>
        <w:t xml:space="preserve">, </w:t>
      </w:r>
      <w:hyperlink r:id="rId82" w:history="1">
        <w:r w:rsidRPr="0054604F">
          <w:rPr>
            <w:rFonts w:ascii="Arial" w:hAnsi="Arial" w:cs="Arial"/>
            <w:color w:val="0000FF"/>
            <w:sz w:val="20"/>
            <w:szCs w:val="20"/>
            <w:u w:val="single"/>
          </w:rPr>
          <w:t>RE 96.545</w:t>
        </w:r>
      </w:hyperlink>
      <w:r w:rsidRPr="0054604F">
        <w:rPr>
          <w:rFonts w:ascii="Arial" w:hAnsi="Arial" w:cs="Arial"/>
          <w:sz w:val="20"/>
          <w:szCs w:val="20"/>
        </w:rPr>
        <w:t xml:space="preserve">, </w:t>
      </w:r>
      <w:hyperlink r:id="rId83" w:history="1">
        <w:r w:rsidRPr="0054604F">
          <w:rPr>
            <w:rFonts w:ascii="Arial" w:hAnsi="Arial" w:cs="Arial"/>
            <w:color w:val="0000FF"/>
            <w:sz w:val="20"/>
            <w:szCs w:val="20"/>
            <w:u w:val="single"/>
          </w:rPr>
          <w:t>ADI 3.803</w:t>
        </w:r>
      </w:hyperlink>
      <w:r w:rsidRPr="0054604F">
        <w:rPr>
          <w:rFonts w:ascii="Arial" w:hAnsi="Arial" w:cs="Arial"/>
          <w:sz w:val="20"/>
          <w:szCs w:val="20"/>
        </w:rPr>
        <w:t xml:space="preserve"> e </w:t>
      </w:r>
      <w:hyperlink r:id="rId84" w:history="1">
        <w:r w:rsidRPr="0054604F">
          <w:rPr>
            <w:rFonts w:ascii="Arial" w:hAnsi="Arial" w:cs="Arial"/>
            <w:color w:val="0000FF"/>
            <w:sz w:val="20"/>
            <w:szCs w:val="20"/>
            <w:u w:val="single"/>
          </w:rPr>
          <w:t>ADI 6.222</w:t>
        </w:r>
      </w:hyperlink>
      <w:r w:rsidRPr="0054604F">
        <w:rPr>
          <w:rFonts w:ascii="Arial" w:hAnsi="Arial" w:cs="Arial"/>
          <w:sz w:val="20"/>
          <w:szCs w:val="20"/>
        </w:rPr>
        <w:t>.</w:t>
      </w:r>
    </w:p>
    <w:p w14:paraId="2B3ACA05" w14:textId="3BDD11EC" w:rsidR="00845069" w:rsidRPr="0054604F" w:rsidRDefault="00845069" w:rsidP="00845069">
      <w:pPr>
        <w:spacing w:after="120"/>
        <w:ind w:firstLine="708"/>
        <w:rPr>
          <w:rFonts w:ascii="Arial" w:hAnsi="Arial" w:cs="Arial"/>
          <w:sz w:val="20"/>
          <w:szCs w:val="20"/>
          <w:lang w:eastAsia="en-US"/>
        </w:rPr>
      </w:pPr>
      <w:r w:rsidRPr="0054604F">
        <w:rPr>
          <w:rFonts w:ascii="Arial" w:hAnsi="Arial" w:cs="Arial"/>
          <w:sz w:val="20"/>
          <w:szCs w:val="20"/>
          <w:lang w:eastAsia="en-US"/>
        </w:rPr>
        <w:t xml:space="preserve">(3) </w:t>
      </w:r>
      <w:hyperlink r:id="rId85" w:anchor=":~:text=partir%20de%2024.10.08.-,Cl%C3%A1usula%20primeira%20Ficam%20estendidos%20%C3%A0s%20%C3%81reas%20de%20Livre%20Com%C3%A9rcio%20de%20Macap%C3%A1,no%20Estado%20do%20Acre%2C%20os%20benef%C3%ADcios%20e%20as%20condi%C3%A7%C3%B5es%20contidas%20no,-Conv%C3%AAnio%20ICM%2065" w:history="1">
        <w:r w:rsidRPr="0054604F">
          <w:rPr>
            <w:rFonts w:ascii="Arial" w:hAnsi="Arial" w:cs="Arial"/>
            <w:color w:val="0000FF"/>
            <w:sz w:val="20"/>
            <w:szCs w:val="20"/>
            <w:u w:val="single"/>
            <w:lang w:eastAsia="en-US"/>
          </w:rPr>
          <w:t>Convênio ICMS nº 52/1992</w:t>
        </w:r>
      </w:hyperlink>
      <w:r w:rsidRPr="0054604F">
        <w:rPr>
          <w:rFonts w:ascii="Arial" w:hAnsi="Arial" w:cs="Arial"/>
          <w:sz w:val="20"/>
          <w:szCs w:val="20"/>
          <w:lang w:eastAsia="en-US"/>
        </w:rPr>
        <w:t xml:space="preserve">: “Cláusula primeira. Ficam estendidos às Áreas de Livre Comércio de Macapá e Santana, no </w:t>
      </w:r>
      <w:r>
        <w:rPr>
          <w:rFonts w:ascii="Arial" w:hAnsi="Arial" w:cs="Arial"/>
          <w:sz w:val="20"/>
          <w:szCs w:val="20"/>
          <w:lang w:eastAsia="en-US"/>
        </w:rPr>
        <w:t>e</w:t>
      </w:r>
      <w:r w:rsidRPr="0054604F">
        <w:rPr>
          <w:rFonts w:ascii="Arial" w:hAnsi="Arial" w:cs="Arial"/>
          <w:sz w:val="20"/>
          <w:szCs w:val="20"/>
          <w:lang w:eastAsia="en-US"/>
        </w:rPr>
        <w:t xml:space="preserve">stado do Amapá, Bonfim e Boa Vista, no </w:t>
      </w:r>
      <w:r>
        <w:rPr>
          <w:rFonts w:ascii="Arial" w:hAnsi="Arial" w:cs="Arial"/>
          <w:sz w:val="20"/>
          <w:szCs w:val="20"/>
          <w:lang w:eastAsia="en-US"/>
        </w:rPr>
        <w:t>e</w:t>
      </w:r>
      <w:r w:rsidRPr="0054604F">
        <w:rPr>
          <w:rFonts w:ascii="Arial" w:hAnsi="Arial" w:cs="Arial"/>
          <w:sz w:val="20"/>
          <w:szCs w:val="20"/>
          <w:lang w:eastAsia="en-US"/>
        </w:rPr>
        <w:t xml:space="preserve">stado de Roraima, </w:t>
      </w:r>
      <w:proofErr w:type="spellStart"/>
      <w:r w:rsidRPr="0054604F">
        <w:rPr>
          <w:rFonts w:ascii="Arial" w:hAnsi="Arial" w:cs="Arial"/>
          <w:sz w:val="20"/>
          <w:szCs w:val="20"/>
          <w:lang w:eastAsia="en-US"/>
        </w:rPr>
        <w:t>Guajaramirim</w:t>
      </w:r>
      <w:proofErr w:type="spellEnd"/>
      <w:r w:rsidRPr="0054604F">
        <w:rPr>
          <w:rFonts w:ascii="Arial" w:hAnsi="Arial" w:cs="Arial"/>
          <w:sz w:val="20"/>
          <w:szCs w:val="20"/>
          <w:lang w:eastAsia="en-US"/>
        </w:rPr>
        <w:t xml:space="preserve">, no </w:t>
      </w:r>
      <w:r>
        <w:rPr>
          <w:rFonts w:ascii="Arial" w:hAnsi="Arial" w:cs="Arial"/>
          <w:sz w:val="20"/>
          <w:szCs w:val="20"/>
          <w:lang w:eastAsia="en-US"/>
        </w:rPr>
        <w:t>e</w:t>
      </w:r>
      <w:r w:rsidRPr="0054604F">
        <w:rPr>
          <w:rFonts w:ascii="Arial" w:hAnsi="Arial" w:cs="Arial"/>
          <w:sz w:val="20"/>
          <w:szCs w:val="20"/>
          <w:lang w:eastAsia="en-US"/>
        </w:rPr>
        <w:t xml:space="preserve">stado de Rondônia, Tabatinga, no </w:t>
      </w:r>
      <w:r>
        <w:rPr>
          <w:rFonts w:ascii="Arial" w:hAnsi="Arial" w:cs="Arial"/>
          <w:sz w:val="20"/>
          <w:szCs w:val="20"/>
          <w:lang w:eastAsia="en-US"/>
        </w:rPr>
        <w:t>e</w:t>
      </w:r>
      <w:r w:rsidRPr="0054604F">
        <w:rPr>
          <w:rFonts w:ascii="Arial" w:hAnsi="Arial" w:cs="Arial"/>
          <w:sz w:val="20"/>
          <w:szCs w:val="20"/>
          <w:lang w:eastAsia="en-US"/>
        </w:rPr>
        <w:t xml:space="preserve">stado do Amazonas, e Cruzeiro do Sul e Brasiléia, com extensão para o Município de Epitaciolândia, no </w:t>
      </w:r>
      <w:r>
        <w:rPr>
          <w:rFonts w:ascii="Arial" w:hAnsi="Arial" w:cs="Arial"/>
          <w:sz w:val="20"/>
          <w:szCs w:val="20"/>
          <w:lang w:eastAsia="en-US"/>
        </w:rPr>
        <w:t>e</w:t>
      </w:r>
      <w:r w:rsidRPr="0054604F">
        <w:rPr>
          <w:rFonts w:ascii="Arial" w:hAnsi="Arial" w:cs="Arial"/>
          <w:sz w:val="20"/>
          <w:szCs w:val="20"/>
          <w:lang w:eastAsia="en-US"/>
        </w:rPr>
        <w:t>stado do Acre, os benefícios e as condições contidas no Convênio ICM 65/88, de 6 de dezembro de 1988.”</w:t>
      </w:r>
    </w:p>
    <w:p w14:paraId="0964F105" w14:textId="77777777" w:rsidR="00845069" w:rsidRPr="0054604F" w:rsidRDefault="00845069" w:rsidP="00845069">
      <w:pPr>
        <w:spacing w:after="120"/>
        <w:ind w:firstLine="708"/>
        <w:rPr>
          <w:rFonts w:ascii="Arial" w:hAnsi="Arial" w:cs="Arial"/>
          <w:sz w:val="20"/>
          <w:szCs w:val="20"/>
          <w:lang w:eastAsia="en-US"/>
        </w:rPr>
      </w:pPr>
    </w:p>
    <w:p w14:paraId="007F0012" w14:textId="77777777" w:rsidR="00845069" w:rsidRPr="0054604F" w:rsidRDefault="00845069" w:rsidP="00845069">
      <w:pPr>
        <w:spacing w:line="360" w:lineRule="auto"/>
        <w:rPr>
          <w:sz w:val="24"/>
          <w:szCs w:val="24"/>
          <w:lang w:eastAsia="en-US"/>
        </w:rPr>
      </w:pPr>
      <w:hyperlink r:id="rId86" w:history="1">
        <w:r w:rsidRPr="0054604F">
          <w:rPr>
            <w:color w:val="0000FF"/>
            <w:sz w:val="24"/>
            <w:szCs w:val="24"/>
            <w:u w:val="single"/>
            <w:lang w:eastAsia="en-US"/>
          </w:rPr>
          <w:t xml:space="preserve">ADI 7.822/SP, relatora Ministra </w:t>
        </w:r>
        <w:proofErr w:type="spellStart"/>
        <w:r w:rsidRPr="0054604F">
          <w:rPr>
            <w:color w:val="0000FF"/>
            <w:sz w:val="24"/>
            <w:szCs w:val="24"/>
            <w:u w:val="single"/>
            <w:lang w:eastAsia="en-US"/>
          </w:rPr>
          <w:t>Cármen</w:t>
        </w:r>
        <w:proofErr w:type="spellEnd"/>
        <w:r w:rsidRPr="0054604F">
          <w:rPr>
            <w:color w:val="0000FF"/>
            <w:sz w:val="24"/>
            <w:szCs w:val="24"/>
            <w:u w:val="single"/>
            <w:lang w:eastAsia="en-US"/>
          </w:rPr>
          <w:t xml:space="preserve"> Lúcia, julgamento finalizado em 24.09.2026 (quinta-feira)</w:t>
        </w:r>
      </w:hyperlink>
    </w:p>
    <w:p w14:paraId="23326F4F" w14:textId="77777777" w:rsidR="00845069" w:rsidRPr="0054604F" w:rsidRDefault="00845069" w:rsidP="00845069">
      <w:pPr>
        <w:spacing w:line="360" w:lineRule="auto"/>
        <w:rPr>
          <w:sz w:val="24"/>
          <w:szCs w:val="24"/>
          <w:lang w:eastAsia="en-US"/>
        </w:rPr>
      </w:pPr>
      <w:hyperlink r:id="rId87" w:history="1">
        <w:r w:rsidRPr="0054604F">
          <w:rPr>
            <w:color w:val="0000FF"/>
            <w:sz w:val="24"/>
            <w:szCs w:val="24"/>
            <w:u w:val="single"/>
            <w:lang w:eastAsia="en-US"/>
          </w:rPr>
          <w:t xml:space="preserve">ADI 7.830/SP, relatora Ministra </w:t>
        </w:r>
        <w:proofErr w:type="spellStart"/>
        <w:r w:rsidRPr="0054604F">
          <w:rPr>
            <w:color w:val="0000FF"/>
            <w:sz w:val="24"/>
            <w:szCs w:val="24"/>
            <w:u w:val="single"/>
            <w:lang w:eastAsia="en-US"/>
          </w:rPr>
          <w:t>Cármen</w:t>
        </w:r>
        <w:proofErr w:type="spellEnd"/>
        <w:r w:rsidRPr="0054604F">
          <w:rPr>
            <w:color w:val="0000FF"/>
            <w:sz w:val="24"/>
            <w:szCs w:val="24"/>
            <w:u w:val="single"/>
            <w:lang w:eastAsia="en-US"/>
          </w:rPr>
          <w:t xml:space="preserve"> Lúcia, julgamento finalizado em 24.09.2026 (quinta-feira)</w:t>
        </w:r>
      </w:hyperlink>
    </w:p>
    <w:p w14:paraId="60E4E917" w14:textId="77777777" w:rsidR="00845069" w:rsidRPr="0054604F" w:rsidRDefault="00845069" w:rsidP="00845069">
      <w:pPr>
        <w:spacing w:line="360" w:lineRule="auto"/>
        <w:rPr>
          <w:color w:val="0000FF"/>
          <w:sz w:val="24"/>
          <w:szCs w:val="24"/>
          <w:u w:val="single"/>
          <w:lang w:eastAsia="en-US"/>
        </w:rPr>
      </w:pPr>
      <w:r w:rsidRPr="0054604F">
        <w:rPr>
          <w:sz w:val="24"/>
          <w:szCs w:val="24"/>
          <w:lang w:eastAsia="en-US"/>
        </w:rPr>
        <w:fldChar w:fldCharType="begin"/>
      </w:r>
      <w:r w:rsidRPr="0054604F">
        <w:rPr>
          <w:sz w:val="24"/>
          <w:szCs w:val="24"/>
          <w:lang w:eastAsia="en-US"/>
        </w:rPr>
        <w:instrText>HYPERLINK "https://portal.stf.jus.br/processos/detalhe.asp?incidente=7303474"</w:instrText>
      </w:r>
      <w:r w:rsidRPr="0054604F">
        <w:rPr>
          <w:sz w:val="24"/>
          <w:szCs w:val="24"/>
          <w:lang w:eastAsia="en-US"/>
        </w:rPr>
      </w:r>
      <w:r w:rsidRPr="0054604F">
        <w:rPr>
          <w:sz w:val="24"/>
          <w:szCs w:val="24"/>
          <w:lang w:eastAsia="en-US"/>
        </w:rPr>
        <w:fldChar w:fldCharType="separate"/>
      </w:r>
      <w:r w:rsidRPr="0054604F">
        <w:rPr>
          <w:color w:val="0000FF"/>
          <w:sz w:val="24"/>
          <w:szCs w:val="24"/>
          <w:u w:val="single"/>
          <w:lang w:eastAsia="en-US"/>
        </w:rPr>
        <w:t xml:space="preserve">ADI 7.844/SP, relatora Ministra </w:t>
      </w:r>
      <w:proofErr w:type="spellStart"/>
      <w:r w:rsidRPr="0054604F">
        <w:rPr>
          <w:color w:val="0000FF"/>
          <w:sz w:val="24"/>
          <w:szCs w:val="24"/>
          <w:u w:val="single"/>
          <w:lang w:eastAsia="en-US"/>
        </w:rPr>
        <w:t>Cármen</w:t>
      </w:r>
      <w:proofErr w:type="spellEnd"/>
      <w:r w:rsidRPr="0054604F">
        <w:rPr>
          <w:color w:val="0000FF"/>
          <w:sz w:val="24"/>
          <w:szCs w:val="24"/>
          <w:u w:val="single"/>
          <w:lang w:eastAsia="en-US"/>
        </w:rPr>
        <w:t xml:space="preserve"> Lúcia, julgamento finalizado em 24.09.2026 (quinta-feira)</w:t>
      </w:r>
    </w:p>
    <w:p w14:paraId="48CEEFF5" w14:textId="77777777" w:rsidR="00845069" w:rsidRPr="0054604F" w:rsidRDefault="00845069" w:rsidP="00845069">
      <w:pPr>
        <w:spacing w:line="360" w:lineRule="auto"/>
        <w:rPr>
          <w:color w:val="0000FF"/>
          <w:sz w:val="24"/>
          <w:szCs w:val="24"/>
          <w:u w:val="single"/>
          <w:lang w:eastAsia="en-US"/>
        </w:rPr>
      </w:pPr>
      <w:r w:rsidRPr="0054604F">
        <w:rPr>
          <w:sz w:val="24"/>
          <w:szCs w:val="24"/>
          <w:lang w:eastAsia="en-US"/>
        </w:rPr>
        <w:fldChar w:fldCharType="end"/>
      </w:r>
      <w:r w:rsidRPr="0054604F">
        <w:rPr>
          <w:sz w:val="24"/>
          <w:szCs w:val="24"/>
          <w:lang w:eastAsia="en-US"/>
        </w:rPr>
        <w:fldChar w:fldCharType="begin"/>
      </w:r>
      <w:r w:rsidRPr="0054604F">
        <w:rPr>
          <w:sz w:val="24"/>
          <w:szCs w:val="24"/>
          <w:lang w:eastAsia="en-US"/>
        </w:rPr>
        <w:instrText>HYPERLINK "https://portal.stf.jus.br/processos/detalhe.asp?incidente=7320152"</w:instrText>
      </w:r>
      <w:r w:rsidRPr="0054604F">
        <w:rPr>
          <w:sz w:val="24"/>
          <w:szCs w:val="24"/>
          <w:lang w:eastAsia="en-US"/>
        </w:rPr>
      </w:r>
      <w:r w:rsidRPr="0054604F">
        <w:rPr>
          <w:sz w:val="24"/>
          <w:szCs w:val="24"/>
          <w:lang w:eastAsia="en-US"/>
        </w:rPr>
        <w:fldChar w:fldCharType="separate"/>
      </w:r>
      <w:r w:rsidRPr="0054604F">
        <w:rPr>
          <w:color w:val="0000FF"/>
          <w:sz w:val="24"/>
          <w:szCs w:val="24"/>
          <w:u w:val="single"/>
          <w:lang w:eastAsia="en-US"/>
        </w:rPr>
        <w:t xml:space="preserve">ADI 7.848/SP, relatora Ministra </w:t>
      </w:r>
      <w:proofErr w:type="spellStart"/>
      <w:r w:rsidRPr="0054604F">
        <w:rPr>
          <w:color w:val="0000FF"/>
          <w:sz w:val="24"/>
          <w:szCs w:val="24"/>
          <w:u w:val="single"/>
          <w:lang w:eastAsia="en-US"/>
        </w:rPr>
        <w:t>Cármen</w:t>
      </w:r>
      <w:proofErr w:type="spellEnd"/>
      <w:r w:rsidRPr="0054604F">
        <w:rPr>
          <w:color w:val="0000FF"/>
          <w:sz w:val="24"/>
          <w:szCs w:val="24"/>
          <w:u w:val="single"/>
          <w:lang w:eastAsia="en-US"/>
        </w:rPr>
        <w:t xml:space="preserve"> Lúcia, julgamento finalizado em 24.09.2026 (quinta-feira)</w:t>
      </w:r>
    </w:p>
    <w:p w14:paraId="1B2773E0" w14:textId="423A13EE" w:rsidR="00845069" w:rsidRPr="0054604F" w:rsidRDefault="00845069" w:rsidP="00845069">
      <w:pPr>
        <w:spacing w:line="360" w:lineRule="auto"/>
        <w:rPr>
          <w:sz w:val="24"/>
          <w:szCs w:val="24"/>
        </w:rPr>
      </w:pPr>
      <w:r w:rsidRPr="0054604F">
        <w:rPr>
          <w:sz w:val="24"/>
          <w:szCs w:val="24"/>
          <w:lang w:eastAsia="en-US"/>
        </w:rPr>
        <w:fldChar w:fldCharType="end"/>
      </w:r>
      <w:r w:rsidRPr="0054604F">
        <w:rPr>
          <w:noProof/>
          <w:sz w:val="24"/>
          <w:szCs w:val="24"/>
        </w:rPr>
        <w:drawing>
          <wp:inline distT="0" distB="0" distL="0" distR="0" wp14:anchorId="71601F5A" wp14:editId="0F9FABAC">
            <wp:extent cx="1186180" cy="123825"/>
            <wp:effectExtent l="0" t="0" r="0" b="3175"/>
            <wp:docPr id="1990425350" name="Imagem 2" descr="P:\Informativos\Imagens\03_18px.png">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8668" name="Imagem 2" descr="P:\Informativos\Imagens\03_18px.png">
                      <a:hlinkClick r:id="rId88"/>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53950B2D" w14:textId="77777777" w:rsidR="00845069" w:rsidRDefault="00845069" w:rsidP="00845069">
      <w:pPr>
        <w:autoSpaceDE w:val="0"/>
        <w:autoSpaceDN w:val="0"/>
        <w:adjustRightInd w:val="0"/>
      </w:pPr>
    </w:p>
    <w:p w14:paraId="17DA9D09" w14:textId="77777777" w:rsidR="00845069" w:rsidRDefault="00845069" w:rsidP="00845069">
      <w:pPr>
        <w:contextualSpacing/>
        <w:jc w:val="right"/>
      </w:pPr>
      <w:hyperlink w:anchor="SUMÁRIO" w:history="1">
        <w:r w:rsidRPr="003172B4">
          <w:rPr>
            <w:rStyle w:val="Hyperlink"/>
            <w:sz w:val="16"/>
            <w:szCs w:val="16"/>
          </w:rPr>
          <w:t>Su</w:t>
        </w:r>
        <w:r w:rsidRPr="003172B4">
          <w:rPr>
            <w:rStyle w:val="Hyperlink"/>
            <w:sz w:val="16"/>
            <w:szCs w:val="16"/>
          </w:rPr>
          <w:t>m</w:t>
        </w:r>
        <w:r w:rsidRPr="003172B4">
          <w:rPr>
            <w:rStyle w:val="Hyperlink"/>
            <w:sz w:val="16"/>
            <w:szCs w:val="16"/>
          </w:rPr>
          <w:t>á</w:t>
        </w:r>
        <w:r w:rsidRPr="003172B4">
          <w:rPr>
            <w:rStyle w:val="Hyperlink"/>
            <w:sz w:val="16"/>
            <w:szCs w:val="16"/>
          </w:rPr>
          <w:t>rio</w:t>
        </w:r>
      </w:hyperlink>
    </w:p>
    <w:p w14:paraId="7B931820" w14:textId="77777777" w:rsidR="005E3474" w:rsidRDefault="005E3474" w:rsidP="001A13F0">
      <w:pPr>
        <w:autoSpaceDE w:val="0"/>
        <w:autoSpaceDN w:val="0"/>
        <w:adjustRightInd w:val="0"/>
      </w:pPr>
    </w:p>
    <w:p w14:paraId="26B1AAF5" w14:textId="77777777" w:rsidR="00E5318C" w:rsidRDefault="00E5318C" w:rsidP="00E5318C">
      <w:pPr>
        <w:rPr>
          <w:sz w:val="24"/>
          <w:szCs w:val="24"/>
        </w:rPr>
      </w:pPr>
      <w:r>
        <w:rPr>
          <w:sz w:val="24"/>
          <w:szCs w:val="24"/>
        </w:rPr>
        <w:t>DIREITO TRIBUTÁRIO –</w:t>
      </w:r>
      <w:r>
        <w:rPr>
          <w:sz w:val="24"/>
          <w:szCs w:val="24"/>
          <w:lang w:eastAsia="en-US"/>
        </w:rPr>
        <w:t xml:space="preserve"> </w:t>
      </w:r>
      <w:r>
        <w:rPr>
          <w:sz w:val="24"/>
          <w:szCs w:val="24"/>
        </w:rPr>
        <w:t xml:space="preserve">IMPOSTOS; ICMS; </w:t>
      </w:r>
      <w:r>
        <w:rPr>
          <w:sz w:val="24"/>
          <w:szCs w:val="24"/>
          <w:lang w:eastAsia="en-US"/>
        </w:rPr>
        <w:t>SUBVENÇÃO DE TARIFA DE ENERGIA ELÉTRICA; CONVÊNIO; CONFAZ</w:t>
      </w:r>
    </w:p>
    <w:p w14:paraId="08F83088" w14:textId="77777777" w:rsidR="00E5318C" w:rsidRDefault="00E5318C" w:rsidP="00E5318C">
      <w:pPr>
        <w:rPr>
          <w:sz w:val="24"/>
          <w:szCs w:val="24"/>
        </w:rPr>
      </w:pPr>
    </w:p>
    <w:p w14:paraId="346A8C60" w14:textId="77777777" w:rsidR="00E5318C" w:rsidRDefault="00E5318C" w:rsidP="00E5318C">
      <w:pPr>
        <w:autoSpaceDE w:val="0"/>
        <w:autoSpaceDN w:val="0"/>
        <w:adjustRightInd w:val="0"/>
        <w:rPr>
          <w:sz w:val="24"/>
          <w:szCs w:val="24"/>
        </w:rPr>
      </w:pPr>
      <w:bookmarkStart w:id="14" w:name="ICMS"/>
      <w:bookmarkStart w:id="15" w:name="_Toc240292226"/>
      <w:bookmarkStart w:id="16" w:name="_Toc228376204"/>
      <w:bookmarkStart w:id="17" w:name="_Toc227148946"/>
      <w:bookmarkStart w:id="18" w:name="_Toc216691967"/>
      <w:bookmarkStart w:id="19" w:name="_Toc216428643"/>
      <w:bookmarkStart w:id="20" w:name="_Toc206520610"/>
      <w:bookmarkStart w:id="21" w:name="_Toc206261215"/>
      <w:r>
        <w:rPr>
          <w:b/>
          <w:bCs/>
          <w:i/>
          <w:iCs/>
          <w:sz w:val="24"/>
          <w:szCs w:val="24"/>
          <w:lang w:eastAsia="en-US"/>
        </w:rPr>
        <w:t>ICMS</w:t>
      </w:r>
      <w:bookmarkEnd w:id="14"/>
      <w:r>
        <w:rPr>
          <w:b/>
          <w:bCs/>
          <w:i/>
          <w:iCs/>
          <w:sz w:val="24"/>
          <w:szCs w:val="24"/>
          <w:lang w:eastAsia="en-US"/>
        </w:rPr>
        <w:t xml:space="preserve"> sobre a subvenção de tarifa de energia elétrica</w:t>
      </w:r>
      <w:r>
        <w:rPr>
          <w:sz w:val="24"/>
          <w:szCs w:val="24"/>
          <w:lang w:eastAsia="en-US"/>
        </w:rPr>
        <w:t xml:space="preserve"> </w:t>
      </w:r>
      <w:bookmarkEnd w:id="15"/>
      <w:bookmarkEnd w:id="16"/>
      <w:bookmarkEnd w:id="17"/>
      <w:bookmarkEnd w:id="18"/>
      <w:bookmarkEnd w:id="19"/>
      <w:bookmarkEnd w:id="20"/>
      <w:bookmarkEnd w:id="21"/>
      <w:r w:rsidRPr="009A451B">
        <w:rPr>
          <w:sz w:val="24"/>
          <w:szCs w:val="24"/>
          <w:lang w:eastAsia="en-US"/>
        </w:rPr>
        <w:t>–</w:t>
      </w:r>
      <w:r>
        <w:rPr>
          <w:b/>
          <w:bCs/>
          <w:sz w:val="24"/>
          <w:szCs w:val="24"/>
        </w:rPr>
        <w:t xml:space="preserve"> </w:t>
      </w:r>
      <w:hyperlink r:id="rId89" w:history="1">
        <w:r>
          <w:rPr>
            <w:rStyle w:val="Hyperlink"/>
            <w:color w:val="auto"/>
            <w:sz w:val="24"/>
            <w:szCs w:val="24"/>
            <w:u w:val="none"/>
          </w:rPr>
          <w:t>ADI 3.973/DF</w:t>
        </w:r>
      </w:hyperlink>
    </w:p>
    <w:p w14:paraId="769816D6" w14:textId="49FBE986" w:rsidR="00E5318C" w:rsidRDefault="00E5318C" w:rsidP="00E5318C">
      <w:pPr>
        <w:autoSpaceDE w:val="0"/>
        <w:autoSpaceDN w:val="0"/>
        <w:adjustRightInd w:val="0"/>
        <w:rPr>
          <w:color w:val="000000" w:themeColor="text1"/>
          <w:sz w:val="24"/>
          <w:szCs w:val="24"/>
        </w:rPr>
      </w:pPr>
      <w:r>
        <w:rPr>
          <w:noProof/>
          <w:sz w:val="24"/>
          <w:szCs w:val="24"/>
        </w:rPr>
        <w:drawing>
          <wp:inline distT="0" distB="0" distL="0" distR="0" wp14:anchorId="027391EC" wp14:editId="232F0519">
            <wp:extent cx="1200150" cy="180975"/>
            <wp:effectExtent l="0" t="0" r="0" b="9525"/>
            <wp:docPr id="1750812382" name="Imagem 6">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12382" name="Imagem 6">
                      <a:hlinkClick r:id="rId90"/>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0150" cy="180975"/>
                    </a:xfrm>
                    <a:prstGeom prst="rect">
                      <a:avLst/>
                    </a:prstGeom>
                    <a:noFill/>
                    <a:ln>
                      <a:noFill/>
                    </a:ln>
                  </pic:spPr>
                </pic:pic>
              </a:graphicData>
            </a:graphic>
          </wp:inline>
        </w:drawing>
      </w:r>
    </w:p>
    <w:p w14:paraId="43B11963" w14:textId="77777777" w:rsidR="00E5318C" w:rsidRDefault="00E5318C" w:rsidP="00E5318C">
      <w:pPr>
        <w:spacing w:line="276" w:lineRule="auto"/>
        <w:rPr>
          <w:sz w:val="24"/>
          <w:szCs w:val="24"/>
          <w:lang w:eastAsia="en-US"/>
        </w:rPr>
      </w:pPr>
    </w:p>
    <w:p w14:paraId="7C27B85D" w14:textId="77777777" w:rsidR="00E5318C" w:rsidRDefault="00E5318C" w:rsidP="00E5318C">
      <w:pPr>
        <w:rPr>
          <w:sz w:val="24"/>
          <w:szCs w:val="24"/>
          <w:lang w:eastAsia="en-US"/>
        </w:rPr>
      </w:pPr>
      <w:r>
        <w:rPr>
          <w:b/>
          <w:bCs/>
          <w:sz w:val="24"/>
          <w:szCs w:val="24"/>
          <w:lang w:eastAsia="en-US"/>
        </w:rPr>
        <w:t>ODS</w:t>
      </w:r>
      <w:r>
        <w:rPr>
          <w:sz w:val="24"/>
          <w:szCs w:val="24"/>
          <w:lang w:eastAsia="en-US"/>
        </w:rPr>
        <w:t xml:space="preserve">: </w:t>
      </w:r>
      <w:hyperlink r:id="rId91" w:history="1">
        <w:r>
          <w:rPr>
            <w:rStyle w:val="Hyperlink"/>
            <w:sz w:val="24"/>
            <w:szCs w:val="24"/>
            <w:lang w:eastAsia="en-US"/>
          </w:rPr>
          <w:t>1</w:t>
        </w:r>
      </w:hyperlink>
      <w:r>
        <w:rPr>
          <w:sz w:val="24"/>
          <w:szCs w:val="24"/>
          <w:lang w:eastAsia="en-US"/>
        </w:rPr>
        <w:t xml:space="preserve">, </w:t>
      </w:r>
      <w:hyperlink r:id="rId92" w:history="1">
        <w:r>
          <w:rPr>
            <w:rStyle w:val="Hyperlink"/>
            <w:sz w:val="24"/>
            <w:szCs w:val="24"/>
            <w:lang w:eastAsia="en-US"/>
          </w:rPr>
          <w:t>7</w:t>
        </w:r>
      </w:hyperlink>
      <w:r>
        <w:rPr>
          <w:sz w:val="24"/>
          <w:szCs w:val="24"/>
          <w:lang w:eastAsia="en-US"/>
        </w:rPr>
        <w:t xml:space="preserve">, </w:t>
      </w:r>
      <w:hyperlink r:id="rId93" w:history="1">
        <w:r>
          <w:rPr>
            <w:rStyle w:val="Hyperlink"/>
            <w:sz w:val="24"/>
            <w:szCs w:val="24"/>
            <w:lang w:eastAsia="en-US"/>
          </w:rPr>
          <w:t>10</w:t>
        </w:r>
      </w:hyperlink>
      <w:r>
        <w:rPr>
          <w:sz w:val="24"/>
          <w:szCs w:val="24"/>
          <w:lang w:eastAsia="en-US"/>
        </w:rPr>
        <w:t xml:space="preserve"> e </w:t>
      </w:r>
      <w:hyperlink r:id="rId94" w:history="1">
        <w:r>
          <w:rPr>
            <w:rStyle w:val="Hyperlink"/>
            <w:sz w:val="24"/>
            <w:szCs w:val="24"/>
            <w:lang w:eastAsia="en-US"/>
          </w:rPr>
          <w:t>16</w:t>
        </w:r>
      </w:hyperlink>
    </w:p>
    <w:p w14:paraId="1AD8B9FA" w14:textId="77777777" w:rsidR="00E5318C" w:rsidRDefault="00E5318C" w:rsidP="00E5318C">
      <w:pPr>
        <w:spacing w:line="276" w:lineRule="auto"/>
        <w:rPr>
          <w:sz w:val="24"/>
          <w:szCs w:val="24"/>
          <w:lang w:eastAsia="en-US"/>
        </w:rPr>
      </w:pPr>
    </w:p>
    <w:p w14:paraId="07637EC5" w14:textId="77777777" w:rsidR="00E5318C" w:rsidRDefault="00E5318C" w:rsidP="00E5318C">
      <w:pPr>
        <w:spacing w:line="360" w:lineRule="auto"/>
        <w:rPr>
          <w:sz w:val="24"/>
          <w:szCs w:val="24"/>
          <w:lang w:eastAsia="en-US"/>
        </w:rPr>
      </w:pPr>
      <w:r>
        <w:rPr>
          <w:sz w:val="24"/>
          <w:szCs w:val="24"/>
          <w:lang w:eastAsia="en-US"/>
        </w:rPr>
        <w:t>Resumo:</w:t>
      </w:r>
    </w:p>
    <w:p w14:paraId="0F0301F8" w14:textId="39F62E5F" w:rsidR="00E5318C" w:rsidRDefault="00E5318C" w:rsidP="00E5318C">
      <w:pPr>
        <w:spacing w:line="360" w:lineRule="auto"/>
        <w:ind w:firstLine="851"/>
        <w:rPr>
          <w:b/>
          <w:bCs/>
          <w:sz w:val="24"/>
          <w:szCs w:val="24"/>
          <w:lang w:eastAsia="en-US"/>
        </w:rPr>
      </w:pPr>
      <w:r>
        <w:rPr>
          <w:b/>
          <w:bCs/>
          <w:sz w:val="24"/>
          <w:szCs w:val="24"/>
          <w:lang w:eastAsia="en-US"/>
        </w:rPr>
        <w:t>É inconstitucional a interpretação de cláusula de Convênio do Conselho Nacional de Política Fazendária (C</w:t>
      </w:r>
      <w:r w:rsidR="004C01B3">
        <w:rPr>
          <w:b/>
          <w:bCs/>
          <w:sz w:val="24"/>
          <w:szCs w:val="24"/>
          <w:lang w:eastAsia="en-US"/>
        </w:rPr>
        <w:t>ONFAZ</w:t>
      </w:r>
      <w:r>
        <w:rPr>
          <w:b/>
          <w:bCs/>
          <w:sz w:val="24"/>
          <w:szCs w:val="24"/>
          <w:lang w:eastAsia="en-US"/>
        </w:rPr>
        <w:t xml:space="preserve">) que permite ao </w:t>
      </w:r>
      <w:r w:rsidR="002D603F">
        <w:rPr>
          <w:b/>
          <w:bCs/>
          <w:sz w:val="24"/>
          <w:szCs w:val="24"/>
          <w:lang w:eastAsia="en-US"/>
        </w:rPr>
        <w:t>e</w:t>
      </w:r>
      <w:r>
        <w:rPr>
          <w:b/>
          <w:bCs/>
          <w:sz w:val="24"/>
          <w:szCs w:val="24"/>
          <w:lang w:eastAsia="en-US"/>
        </w:rPr>
        <w:t>stado-membro tributar</w:t>
      </w:r>
      <w:r w:rsidR="004C01B3">
        <w:rPr>
          <w:b/>
          <w:bCs/>
          <w:sz w:val="24"/>
          <w:szCs w:val="24"/>
          <w:lang w:eastAsia="en-US"/>
        </w:rPr>
        <w:t>,</w:t>
      </w:r>
      <w:r>
        <w:rPr>
          <w:b/>
          <w:bCs/>
          <w:sz w:val="24"/>
          <w:szCs w:val="24"/>
          <w:lang w:eastAsia="en-US"/>
        </w:rPr>
        <w:t xml:space="preserve"> por meio do Imposto sobre Circulação de Mercadorias e Serviços (ICMS)</w:t>
      </w:r>
      <w:r w:rsidR="004C01B3">
        <w:rPr>
          <w:b/>
          <w:bCs/>
          <w:sz w:val="24"/>
          <w:szCs w:val="24"/>
          <w:lang w:eastAsia="en-US"/>
        </w:rPr>
        <w:t>,</w:t>
      </w:r>
      <w:r>
        <w:rPr>
          <w:b/>
          <w:bCs/>
          <w:sz w:val="24"/>
          <w:szCs w:val="24"/>
          <w:lang w:eastAsia="en-US"/>
        </w:rPr>
        <w:t xml:space="preserve"> subvenção econômica repassada pela União às concessionárias de energia elétrica.</w:t>
      </w:r>
    </w:p>
    <w:p w14:paraId="016F35A1" w14:textId="77777777" w:rsidR="00E5318C" w:rsidRDefault="00E5318C" w:rsidP="00E5318C">
      <w:pPr>
        <w:spacing w:line="360" w:lineRule="auto"/>
        <w:ind w:firstLine="851"/>
        <w:rPr>
          <w:sz w:val="24"/>
          <w:szCs w:val="24"/>
          <w:lang w:eastAsia="en-US"/>
        </w:rPr>
      </w:pPr>
      <w:r>
        <w:rPr>
          <w:sz w:val="24"/>
          <w:szCs w:val="24"/>
          <w:lang w:eastAsia="en-US"/>
        </w:rPr>
        <w:t>A subvenção econômica, instituída para garantir a modicidade da tarifa de fornecimento de energia elétrica aos consumidores finais integrantes da Subclasse Residencial Baixa Renda (1), opera a partir do repasse de valores às empresas concessionárias pela Agência Nacional de Energia Elétrica (ANEEL). Portanto, trata-se de uma relação jurídica estabelecida entre a União e as concessionárias de energia elétrica, que são prestadoras de serviço público, nos moldes do art. 175 da Constituição.</w:t>
      </w:r>
    </w:p>
    <w:p w14:paraId="22690D40" w14:textId="77777777" w:rsidR="00E5318C" w:rsidRDefault="00E5318C" w:rsidP="00E5318C">
      <w:pPr>
        <w:spacing w:line="360" w:lineRule="auto"/>
        <w:ind w:firstLine="851"/>
        <w:rPr>
          <w:sz w:val="24"/>
          <w:szCs w:val="24"/>
          <w:lang w:eastAsia="en-US"/>
        </w:rPr>
      </w:pPr>
      <w:r>
        <w:rPr>
          <w:sz w:val="24"/>
          <w:szCs w:val="24"/>
          <w:lang w:eastAsia="en-US"/>
        </w:rPr>
        <w:t xml:space="preserve">Esse modelo foi implementado a partir de 2002 e representa uma compensação financeira pelos ônus impostos pelo poder concedente às empresas prestadoras do serviço diante da mudança na política tarifária. Trata-se, portanto, de verba para a manutenção do equilíbrio econômico-financeiro da avença, de maneira a não ocasionar o repasse das novas restrições à </w:t>
      </w:r>
      <w:r>
        <w:rPr>
          <w:sz w:val="24"/>
          <w:szCs w:val="24"/>
          <w:lang w:eastAsia="en-US"/>
        </w:rPr>
        <w:lastRenderedPageBreak/>
        <w:t>cobrança dos valores tarifários aos consumidores finais, preservando-se a política de modicidade das tarifas.</w:t>
      </w:r>
    </w:p>
    <w:p w14:paraId="332E06BA" w14:textId="77777777" w:rsidR="00E5318C" w:rsidRDefault="00E5318C" w:rsidP="00E5318C">
      <w:pPr>
        <w:spacing w:line="360" w:lineRule="auto"/>
        <w:ind w:firstLine="851"/>
        <w:rPr>
          <w:sz w:val="24"/>
          <w:szCs w:val="24"/>
          <w:lang w:eastAsia="en-US"/>
        </w:rPr>
      </w:pPr>
      <w:r>
        <w:rPr>
          <w:sz w:val="24"/>
          <w:szCs w:val="24"/>
          <w:lang w:eastAsia="en-US"/>
        </w:rPr>
        <w:t>Neste cenário, incluir a subvenção econômica paga pela União às concessionárias no âmbito de incidência do ICMS seria alargar a compreensão das expressões “</w:t>
      </w:r>
      <w:r>
        <w:rPr>
          <w:i/>
          <w:iCs/>
          <w:sz w:val="24"/>
          <w:szCs w:val="24"/>
          <w:lang w:eastAsia="en-US"/>
        </w:rPr>
        <w:t>saída de mercadoria do estabelecimento comercial</w:t>
      </w:r>
      <w:r>
        <w:rPr>
          <w:sz w:val="24"/>
          <w:szCs w:val="24"/>
          <w:lang w:eastAsia="en-US"/>
        </w:rPr>
        <w:t>” e “</w:t>
      </w:r>
      <w:r>
        <w:rPr>
          <w:i/>
          <w:iCs/>
          <w:sz w:val="24"/>
          <w:szCs w:val="24"/>
          <w:lang w:eastAsia="en-US"/>
        </w:rPr>
        <w:t>valor da operação</w:t>
      </w:r>
      <w:r>
        <w:rPr>
          <w:sz w:val="24"/>
          <w:szCs w:val="24"/>
          <w:lang w:eastAsia="en-US"/>
        </w:rPr>
        <w:t>” eleitas para definir os aspectos material e quantitativo do ICMS incidente sobre o fornecimento de energia elétrica. Isso levaria à atribuição de ônus tributários consideráveis, em detrimento de princípios constitucionais caros ao sistema de proteção social do cidadão, representados pela capacidade contributiva, isonomia e não confisco.</w:t>
      </w:r>
    </w:p>
    <w:p w14:paraId="07C4CE93" w14:textId="77777777" w:rsidR="00E5318C" w:rsidRDefault="00E5318C" w:rsidP="00E5318C">
      <w:pPr>
        <w:spacing w:line="360" w:lineRule="auto"/>
        <w:ind w:firstLine="851"/>
        <w:rPr>
          <w:sz w:val="24"/>
          <w:szCs w:val="24"/>
          <w:lang w:eastAsia="en-US"/>
        </w:rPr>
      </w:pPr>
      <w:r>
        <w:rPr>
          <w:sz w:val="24"/>
          <w:szCs w:val="24"/>
          <w:lang w:eastAsia="en-US"/>
        </w:rPr>
        <w:t>Além disso, a questão discutida se enquadra no Objetivo de Desenvolvimento Sustentável (ODS) da Organização das Nações Unidas (ONU) nº 7: “</w:t>
      </w:r>
      <w:r>
        <w:rPr>
          <w:i/>
          <w:iCs/>
          <w:sz w:val="24"/>
          <w:szCs w:val="24"/>
          <w:lang w:eastAsia="en-US"/>
        </w:rPr>
        <w:t>Energia Acessível e Limpa - Assegurar o acesso confiável, sustentável, moderno e a preço acessível à energia para todos</w:t>
      </w:r>
      <w:r>
        <w:rPr>
          <w:sz w:val="24"/>
          <w:szCs w:val="24"/>
          <w:lang w:eastAsia="en-US"/>
        </w:rPr>
        <w:t>”. Os ODS podem servir como diretriz para a formação das decisões judiciais em atenção ao art. 1º, III; e art. 3º, II, da Constituição.</w:t>
      </w:r>
    </w:p>
    <w:p w14:paraId="243593B1" w14:textId="77777777" w:rsidR="00E5318C" w:rsidRDefault="00E5318C" w:rsidP="00E5318C">
      <w:pPr>
        <w:spacing w:line="360" w:lineRule="auto"/>
        <w:ind w:firstLine="851"/>
        <w:rPr>
          <w:sz w:val="24"/>
          <w:szCs w:val="24"/>
          <w:lang w:eastAsia="en-US"/>
        </w:rPr>
      </w:pPr>
      <w:r>
        <w:rPr>
          <w:sz w:val="24"/>
          <w:szCs w:val="24"/>
          <w:lang w:eastAsia="en-US"/>
        </w:rPr>
        <w:t>Por fim, a política tarifária fixada pela União, com descontos a consumidores de baixa renda, não configura isenção heterônoma (CF/1988, art. 151, III), pois as normas da agência reguladora não são normas de isenção tributária, ainda que produzam efeitos reflexos sobre a relação entre o Fisco estadual e as concessionárias.</w:t>
      </w:r>
    </w:p>
    <w:p w14:paraId="366FA490" w14:textId="5E1C4E34" w:rsidR="00E5318C" w:rsidRDefault="00E5318C" w:rsidP="00E5318C">
      <w:pPr>
        <w:spacing w:line="360" w:lineRule="auto"/>
        <w:ind w:firstLine="851"/>
        <w:rPr>
          <w:sz w:val="24"/>
          <w:szCs w:val="24"/>
          <w:lang w:eastAsia="en-US"/>
        </w:rPr>
      </w:pPr>
      <w:r>
        <w:rPr>
          <w:sz w:val="24"/>
          <w:szCs w:val="24"/>
          <w:lang w:eastAsia="en-US"/>
        </w:rPr>
        <w:t xml:space="preserve">Com base nesses e </w:t>
      </w:r>
      <w:r w:rsidR="00010747">
        <w:rPr>
          <w:sz w:val="24"/>
          <w:szCs w:val="24"/>
          <w:lang w:eastAsia="en-US"/>
        </w:rPr>
        <w:t xml:space="preserve">em </w:t>
      </w:r>
      <w:r>
        <w:rPr>
          <w:sz w:val="24"/>
          <w:szCs w:val="24"/>
          <w:lang w:eastAsia="en-US"/>
        </w:rPr>
        <w:t xml:space="preserve">outros entendimentos, o Plenário, por maioria, julgou procedente a ação para declarar a inconstitucionalidade parcial sem redução de texto da Cláusula Primeira do </w:t>
      </w:r>
      <w:hyperlink r:id="rId95" w:anchor=":~:text=Autoriza%20as%20unidades%20federadas%20que,20%20de%20janeiro%20de%202010.&amp;text=Publicado%20no%20DOU%20de%2012.07,Despacho%20n%C2%BA%2051%2F07." w:history="1">
        <w:r>
          <w:rPr>
            <w:rStyle w:val="Hyperlink"/>
            <w:sz w:val="24"/>
            <w:szCs w:val="24"/>
            <w:lang w:eastAsia="en-US"/>
          </w:rPr>
          <w:t>Convênio ICMS nº 60/2007 do Conselho Nacional de Política Fazendária</w:t>
        </w:r>
      </w:hyperlink>
      <w:r>
        <w:rPr>
          <w:sz w:val="24"/>
          <w:szCs w:val="24"/>
          <w:lang w:eastAsia="en-US"/>
        </w:rPr>
        <w:t xml:space="preserve"> (2), de maneira a afastar a interpretação que permita aos </w:t>
      </w:r>
      <w:r w:rsidR="009A451B">
        <w:rPr>
          <w:sz w:val="24"/>
          <w:szCs w:val="24"/>
          <w:lang w:eastAsia="en-US"/>
        </w:rPr>
        <w:t>E</w:t>
      </w:r>
      <w:r>
        <w:rPr>
          <w:sz w:val="24"/>
          <w:szCs w:val="24"/>
          <w:lang w:eastAsia="en-US"/>
        </w:rPr>
        <w:t xml:space="preserve">stados da Bahia e de Rondônia tributar por via do ICMS o valor da subvenção econômica repassado pela União às concessionárias de energia elétrica, consoante a </w:t>
      </w:r>
      <w:hyperlink r:id="rId96" w:history="1">
        <w:r>
          <w:rPr>
            <w:rStyle w:val="Hyperlink"/>
            <w:sz w:val="24"/>
            <w:szCs w:val="24"/>
            <w:lang w:eastAsia="en-US"/>
          </w:rPr>
          <w:t>Lei nº 10.438/2002</w:t>
        </w:r>
        <w:r>
          <w:rPr>
            <w:rStyle w:val="Hyperlink"/>
            <w:sz w:val="24"/>
            <w:szCs w:val="24"/>
          </w:rPr>
          <w:t>.</w:t>
        </w:r>
      </w:hyperlink>
    </w:p>
    <w:p w14:paraId="7408ED6E" w14:textId="77777777" w:rsidR="00E5318C" w:rsidRDefault="00E5318C" w:rsidP="00E5318C">
      <w:pPr>
        <w:spacing w:line="360" w:lineRule="auto"/>
        <w:rPr>
          <w:sz w:val="24"/>
          <w:szCs w:val="24"/>
          <w:lang w:eastAsia="en-US"/>
        </w:rPr>
      </w:pPr>
    </w:p>
    <w:p w14:paraId="158997A4" w14:textId="7EF10F2E" w:rsidR="00E5318C" w:rsidRDefault="00E5318C" w:rsidP="00E5318C">
      <w:pPr>
        <w:spacing w:after="120"/>
        <w:ind w:firstLine="709"/>
        <w:rPr>
          <w:rFonts w:ascii="Arial" w:hAnsi="Arial" w:cs="Arial"/>
          <w:sz w:val="20"/>
          <w:szCs w:val="20"/>
        </w:rPr>
      </w:pPr>
      <w:r>
        <w:rPr>
          <w:rFonts w:ascii="Arial" w:hAnsi="Arial" w:cs="Arial"/>
          <w:sz w:val="20"/>
          <w:szCs w:val="20"/>
        </w:rPr>
        <w:t xml:space="preserve">(1) </w:t>
      </w:r>
      <w:hyperlink r:id="rId97" w:anchor=":~:text=Art.%205o,de%20sua%20publica%C3%A7%C3%A3o." w:history="1">
        <w:r>
          <w:rPr>
            <w:rStyle w:val="Hyperlink"/>
            <w:rFonts w:ascii="Arial" w:hAnsi="Arial" w:cs="Arial"/>
            <w:sz w:val="20"/>
            <w:szCs w:val="20"/>
          </w:rPr>
          <w:t>Lei nº 10.604/2002:</w:t>
        </w:r>
      </w:hyperlink>
      <w:r>
        <w:rPr>
          <w:rFonts w:ascii="Arial" w:hAnsi="Arial" w:cs="Arial"/>
          <w:sz w:val="20"/>
          <w:szCs w:val="20"/>
        </w:rPr>
        <w:t xml:space="preserve"> “Art. 5º. Fica autorizada a concessão de subvenção econômica com a finalidade de contribuir para a modicidade da tarifa de fornecimento de energia elétrica aos consumidores finais integrantes da Subclasse Residencial Baixa Renda a que se refere a Lei n° 10.438, de 2002, com efeito a partir da data de sua publicação."</w:t>
      </w:r>
    </w:p>
    <w:p w14:paraId="5A8B19A9" w14:textId="00E0664E" w:rsidR="00E5318C" w:rsidRDefault="00E5318C" w:rsidP="00E5318C">
      <w:pPr>
        <w:pStyle w:val="PargrafodaLista"/>
        <w:spacing w:after="120"/>
        <w:ind w:left="0" w:firstLine="709"/>
        <w:rPr>
          <w:rFonts w:ascii="Arial" w:hAnsi="Arial" w:cs="Arial"/>
          <w:sz w:val="20"/>
          <w:szCs w:val="20"/>
        </w:rPr>
      </w:pPr>
      <w:r>
        <w:rPr>
          <w:rFonts w:ascii="Arial" w:hAnsi="Arial" w:cs="Arial"/>
          <w:sz w:val="20"/>
          <w:szCs w:val="20"/>
        </w:rPr>
        <w:t xml:space="preserve">(2) </w:t>
      </w:r>
      <w:hyperlink r:id="rId98" w:anchor=":~:text=Autoriza%20as%20unidades%20federadas%20que,20%20de%20janeiro%20de%202010.&amp;text=Publicado%20no%20DOU%20de%2012.07,Despacho%20n%C2%BA%2051%2F07." w:history="1">
        <w:r>
          <w:rPr>
            <w:rStyle w:val="Hyperlink"/>
            <w:rFonts w:ascii="Arial" w:hAnsi="Arial" w:cs="Arial"/>
            <w:sz w:val="20"/>
            <w:szCs w:val="20"/>
          </w:rPr>
          <w:t>Convênio ICMS nº 60/2007 do Conselho Nacional de Política Fazendária (CONFAZ)</w:t>
        </w:r>
      </w:hyperlink>
      <w:r>
        <w:rPr>
          <w:rFonts w:ascii="Arial" w:hAnsi="Arial" w:cs="Arial"/>
          <w:sz w:val="20"/>
          <w:szCs w:val="20"/>
        </w:rPr>
        <w:t xml:space="preserve">: “Cláusula primeira: Ficam os </w:t>
      </w:r>
      <w:r w:rsidR="002D603F">
        <w:rPr>
          <w:rFonts w:ascii="Arial" w:hAnsi="Arial" w:cs="Arial"/>
          <w:sz w:val="20"/>
          <w:szCs w:val="20"/>
        </w:rPr>
        <w:t>e</w:t>
      </w:r>
      <w:r>
        <w:rPr>
          <w:rFonts w:ascii="Arial" w:hAnsi="Arial" w:cs="Arial"/>
          <w:sz w:val="20"/>
          <w:szCs w:val="20"/>
        </w:rPr>
        <w:t xml:space="preserve">stados da Bahia, Minas Gerais, Rondônia, Rio Grande do Sul e Santa Catarina autorizados a conceder isenção do ICMS relativo à parcela da subvenção da tarifa de energia elétrica estabelecida pelas Leis nº 10.604, de 17 de dezembro de 2002, e nº 12.212, de 20 de janeiro de 2010, no respectivo fornecimento a consumidores enquadrados na ‘subclasse Residencial de Baixa Renda’, de acordo com as condições fixadas nas Resoluções nº 246, de 30 de abril de 2002, nº 485, de 29 de agosto de 2002 e nº 431, de 29 de março de 2011, da Agência Nacional de Energia Elétrica - ANEEL. Parágrafo único. A partir de 20 de janeiro de 2010, a definição de Subclasse Residencial Baixa Renda, referida no </w:t>
      </w:r>
      <w:r>
        <w:rPr>
          <w:rFonts w:ascii="Arial" w:hAnsi="Arial" w:cs="Arial"/>
          <w:i/>
          <w:iCs/>
          <w:sz w:val="20"/>
          <w:szCs w:val="20"/>
        </w:rPr>
        <w:t>caput</w:t>
      </w:r>
      <w:r>
        <w:rPr>
          <w:rFonts w:ascii="Arial" w:hAnsi="Arial" w:cs="Arial"/>
          <w:sz w:val="20"/>
          <w:szCs w:val="20"/>
        </w:rPr>
        <w:t xml:space="preserve"> desta cláusula, passa a ser feita com base na Lei nº 12.212, de 20 de janeiro de 2010.”</w:t>
      </w:r>
    </w:p>
    <w:p w14:paraId="2564533F" w14:textId="77777777" w:rsidR="00E5318C" w:rsidRDefault="00E5318C" w:rsidP="00E5318C">
      <w:pPr>
        <w:spacing w:line="360" w:lineRule="auto"/>
        <w:rPr>
          <w:sz w:val="24"/>
          <w:szCs w:val="24"/>
          <w:lang w:eastAsia="en-US"/>
        </w:rPr>
      </w:pPr>
    </w:p>
    <w:p w14:paraId="14DA4C1D" w14:textId="77777777" w:rsidR="00E5318C" w:rsidRDefault="00E5318C" w:rsidP="00E5318C">
      <w:pPr>
        <w:spacing w:line="360" w:lineRule="auto"/>
        <w:rPr>
          <w:sz w:val="24"/>
          <w:szCs w:val="24"/>
        </w:rPr>
      </w:pPr>
      <w:hyperlink r:id="rId99" w:history="1">
        <w:r>
          <w:rPr>
            <w:rStyle w:val="Hyperlink"/>
            <w:sz w:val="24"/>
            <w:szCs w:val="24"/>
          </w:rPr>
          <w:t>ADI 3.973/DF, relator Ministro Luiz Fux, julgamento virtual finalizado em 25.09.2026 (sexta-feira), às 23:59</w:t>
        </w:r>
      </w:hyperlink>
    </w:p>
    <w:p w14:paraId="6ECFB895" w14:textId="77777777" w:rsidR="00E5318C" w:rsidRPr="001A13F0" w:rsidRDefault="00E5318C" w:rsidP="001A13F0">
      <w:pPr>
        <w:autoSpaceDE w:val="0"/>
        <w:autoSpaceDN w:val="0"/>
        <w:adjustRightInd w:val="0"/>
      </w:pPr>
    </w:p>
    <w:p w14:paraId="321B54DF" w14:textId="47D8041D" w:rsidR="001A13F0" w:rsidRDefault="001A13F0" w:rsidP="001A13F0">
      <w:pPr>
        <w:contextualSpacing/>
        <w:jc w:val="right"/>
      </w:pPr>
      <w:hyperlink w:anchor="SUMÁRIO" w:history="1">
        <w:r w:rsidRPr="003172B4">
          <w:rPr>
            <w:rStyle w:val="Hyperlink"/>
            <w:sz w:val="16"/>
            <w:szCs w:val="16"/>
          </w:rPr>
          <w:t>Sumário</w:t>
        </w:r>
      </w:hyperlink>
    </w:p>
    <w:p w14:paraId="0FC526FB" w14:textId="77777777" w:rsidR="001A13F0" w:rsidRDefault="001A13F0" w:rsidP="001A13F0">
      <w:pPr>
        <w:contextualSpacing/>
        <w:rPr>
          <w:rStyle w:val="Hyperlink"/>
          <w:b/>
          <w:bCs/>
          <w:color w:val="auto"/>
          <w:sz w:val="24"/>
          <w:szCs w:val="20"/>
          <w:shd w:val="clear" w:color="auto" w:fill="FFFFFF"/>
        </w:rPr>
      </w:pPr>
    </w:p>
    <w:p w14:paraId="1F838074" w14:textId="77777777" w:rsidR="00EE3074" w:rsidRPr="00EE3074" w:rsidRDefault="00EE3074" w:rsidP="00EE3074">
      <w:pPr>
        <w:rPr>
          <w:sz w:val="24"/>
          <w:szCs w:val="24"/>
          <w:lang w:eastAsia="en-US"/>
        </w:rPr>
      </w:pPr>
      <w:r w:rsidRPr="00EE3074">
        <w:rPr>
          <w:sz w:val="24"/>
          <w:szCs w:val="24"/>
          <w:lang w:eastAsia="en-US"/>
        </w:rPr>
        <w:t xml:space="preserve">DIREITO TRIBUTÁRIO – </w:t>
      </w:r>
      <w:bookmarkStart w:id="22" w:name="_Hlk241834942"/>
      <w:r w:rsidRPr="00EE3074">
        <w:rPr>
          <w:sz w:val="24"/>
          <w:szCs w:val="24"/>
          <w:lang w:eastAsia="en-US"/>
        </w:rPr>
        <w:t>TAXAS; CUSTAS JUDICIAIS; MAJORAÇÃO; ANTERIORIDADE NONAGESIMAL</w:t>
      </w:r>
      <w:bookmarkEnd w:id="22"/>
    </w:p>
    <w:p w14:paraId="12E3A129" w14:textId="77777777" w:rsidR="00EE3074" w:rsidRPr="00EE3074" w:rsidRDefault="00EE3074" w:rsidP="00EE3074">
      <w:pPr>
        <w:rPr>
          <w:b/>
          <w:bCs/>
          <w:sz w:val="24"/>
          <w:szCs w:val="24"/>
          <w:highlight w:val="yellow"/>
          <w:lang w:eastAsia="en-US"/>
        </w:rPr>
      </w:pPr>
    </w:p>
    <w:p w14:paraId="41AA4C28" w14:textId="09347349" w:rsidR="00EE3074" w:rsidRPr="00EE3074" w:rsidRDefault="00EE3074" w:rsidP="00EE3074">
      <w:pPr>
        <w:autoSpaceDE w:val="0"/>
        <w:autoSpaceDN w:val="0"/>
        <w:adjustRightInd w:val="0"/>
        <w:rPr>
          <w:sz w:val="24"/>
          <w:szCs w:val="24"/>
          <w:lang w:eastAsia="en-US"/>
        </w:rPr>
      </w:pPr>
      <w:bookmarkStart w:id="23" w:name="custas"/>
      <w:bookmarkEnd w:id="23"/>
      <w:r w:rsidRPr="00EE3074">
        <w:rPr>
          <w:b/>
          <w:bCs/>
          <w:i/>
          <w:iCs/>
          <w:sz w:val="24"/>
          <w:szCs w:val="24"/>
          <w:lang w:eastAsia="en-US"/>
        </w:rPr>
        <w:t xml:space="preserve">Majoração de custas judiciais no </w:t>
      </w:r>
      <w:r w:rsidR="002D603F">
        <w:rPr>
          <w:b/>
          <w:bCs/>
          <w:i/>
          <w:iCs/>
          <w:sz w:val="24"/>
          <w:szCs w:val="24"/>
          <w:lang w:eastAsia="en-US"/>
        </w:rPr>
        <w:t>e</w:t>
      </w:r>
      <w:r w:rsidRPr="00EE3074">
        <w:rPr>
          <w:b/>
          <w:bCs/>
          <w:i/>
          <w:iCs/>
          <w:sz w:val="24"/>
          <w:szCs w:val="24"/>
          <w:lang w:eastAsia="en-US"/>
        </w:rPr>
        <w:t>stado do Espírito Santo e anterioridade nonagesimal</w:t>
      </w:r>
      <w:r>
        <w:rPr>
          <w:b/>
          <w:bCs/>
          <w:i/>
          <w:iCs/>
          <w:sz w:val="24"/>
          <w:szCs w:val="24"/>
          <w:lang w:eastAsia="en-US"/>
        </w:rPr>
        <w:t xml:space="preserve"> </w:t>
      </w:r>
      <w:r w:rsidRPr="00EE3074">
        <w:rPr>
          <w:b/>
          <w:bCs/>
          <w:i/>
          <w:iCs/>
          <w:sz w:val="24"/>
          <w:szCs w:val="24"/>
          <w:lang w:eastAsia="en-US"/>
        </w:rPr>
        <w:t>–</w:t>
      </w:r>
      <w:r w:rsidRPr="00EE3074">
        <w:rPr>
          <w:sz w:val="24"/>
          <w:szCs w:val="24"/>
          <w:lang w:eastAsia="en-US"/>
        </w:rPr>
        <w:t xml:space="preserve"> </w:t>
      </w:r>
      <w:hyperlink r:id="rId100" w:history="1">
        <w:r w:rsidRPr="00EE3074">
          <w:rPr>
            <w:sz w:val="24"/>
            <w:szCs w:val="24"/>
          </w:rPr>
          <w:t>ADI 7.935/ES</w:t>
        </w:r>
      </w:hyperlink>
      <w:r w:rsidRPr="00EE3074">
        <w:rPr>
          <w:sz w:val="24"/>
          <w:szCs w:val="24"/>
          <w:lang w:eastAsia="en-US"/>
        </w:rPr>
        <w:t xml:space="preserve"> </w:t>
      </w:r>
      <w:r w:rsidRPr="00EE3074">
        <w:rPr>
          <w:noProof/>
          <w:sz w:val="24"/>
          <w:szCs w:val="24"/>
        </w:rPr>
        <w:drawing>
          <wp:inline distT="0" distB="0" distL="0" distR="0" wp14:anchorId="718AA575" wp14:editId="6EFA6EB0">
            <wp:extent cx="1195705" cy="180975"/>
            <wp:effectExtent l="0" t="0" r="4445" b="9525"/>
            <wp:docPr id="831015118" name="Imagem 4">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0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D385F17" w14:textId="77777777" w:rsidR="00EE3074" w:rsidRPr="00EE3074" w:rsidRDefault="00EE3074" w:rsidP="00EE3074">
      <w:pPr>
        <w:autoSpaceDE w:val="0"/>
        <w:autoSpaceDN w:val="0"/>
        <w:adjustRightInd w:val="0"/>
        <w:rPr>
          <w:sz w:val="24"/>
          <w:szCs w:val="24"/>
        </w:rPr>
      </w:pPr>
    </w:p>
    <w:p w14:paraId="36A4D6EA" w14:textId="77777777" w:rsidR="00EE3074" w:rsidRPr="00EE3074" w:rsidRDefault="00EE3074" w:rsidP="00EE3074">
      <w:pPr>
        <w:rPr>
          <w:sz w:val="24"/>
          <w:szCs w:val="24"/>
        </w:rPr>
      </w:pPr>
      <w:r w:rsidRPr="00EE3074">
        <w:rPr>
          <w:b/>
          <w:bCs/>
          <w:sz w:val="24"/>
          <w:szCs w:val="24"/>
        </w:rPr>
        <w:t>ODS:</w:t>
      </w:r>
      <w:r w:rsidRPr="00EE3074">
        <w:rPr>
          <w:sz w:val="24"/>
          <w:szCs w:val="24"/>
        </w:rPr>
        <w:t xml:space="preserve"> </w:t>
      </w:r>
      <w:hyperlink r:id="rId102" w:history="1">
        <w:r w:rsidRPr="00EE3074">
          <w:rPr>
            <w:color w:val="0000FF"/>
            <w:sz w:val="24"/>
            <w:szCs w:val="24"/>
            <w:u w:val="single"/>
          </w:rPr>
          <w:t>16</w:t>
        </w:r>
      </w:hyperlink>
    </w:p>
    <w:p w14:paraId="6CD59583" w14:textId="77777777" w:rsidR="00EE3074" w:rsidRPr="00EE3074" w:rsidRDefault="00EE3074" w:rsidP="00EE3074">
      <w:pPr>
        <w:autoSpaceDE w:val="0"/>
        <w:autoSpaceDN w:val="0"/>
        <w:adjustRightInd w:val="0"/>
        <w:spacing w:line="360" w:lineRule="auto"/>
        <w:rPr>
          <w:sz w:val="24"/>
          <w:szCs w:val="24"/>
          <w:lang w:eastAsia="en-US"/>
        </w:rPr>
      </w:pPr>
    </w:p>
    <w:p w14:paraId="58D5BFDE" w14:textId="77777777" w:rsidR="00EE3074" w:rsidRPr="00EE3074" w:rsidRDefault="00EE3074" w:rsidP="00EE3074">
      <w:pPr>
        <w:spacing w:line="360" w:lineRule="auto"/>
        <w:rPr>
          <w:sz w:val="24"/>
          <w:szCs w:val="24"/>
          <w:lang w:eastAsia="en-US"/>
        </w:rPr>
      </w:pPr>
      <w:r w:rsidRPr="00EE3074">
        <w:rPr>
          <w:sz w:val="24"/>
          <w:szCs w:val="24"/>
          <w:lang w:eastAsia="en-US"/>
        </w:rPr>
        <w:t>Resumo:</w:t>
      </w:r>
    </w:p>
    <w:p w14:paraId="1B2E9C77" w14:textId="77777777" w:rsidR="00EE3074" w:rsidRPr="00EE3074" w:rsidRDefault="00EE3074" w:rsidP="00EE3074">
      <w:pPr>
        <w:spacing w:line="360" w:lineRule="auto"/>
        <w:ind w:firstLine="708"/>
        <w:rPr>
          <w:b/>
          <w:bCs/>
          <w:sz w:val="24"/>
          <w:szCs w:val="24"/>
          <w:lang w:eastAsia="en-US"/>
        </w:rPr>
      </w:pPr>
      <w:r w:rsidRPr="00EE3074">
        <w:rPr>
          <w:b/>
          <w:bCs/>
          <w:sz w:val="24"/>
          <w:szCs w:val="24"/>
          <w:lang w:eastAsia="en-US"/>
        </w:rPr>
        <w:t xml:space="preserve">É constitucional – desde que guarde coerência com o custo da atividade estatal prestada, respeite os princípios da equivalência e do acesso à justiça e estabeleça limites mínimos e máximos adequados – a majoração de custas judiciais e despesas processuais, observada a anterioridade nonagesimal tributária (CF/1988, art. 150, III, </w:t>
      </w:r>
      <w:r w:rsidRPr="00EE3074">
        <w:rPr>
          <w:b/>
          <w:bCs/>
          <w:i/>
          <w:iCs/>
          <w:sz w:val="24"/>
          <w:szCs w:val="24"/>
          <w:lang w:eastAsia="en-US"/>
        </w:rPr>
        <w:t>c</w:t>
      </w:r>
      <w:r w:rsidRPr="00EE3074">
        <w:rPr>
          <w:b/>
          <w:bCs/>
          <w:sz w:val="24"/>
          <w:szCs w:val="24"/>
          <w:lang w:eastAsia="en-US"/>
        </w:rPr>
        <w:t>).</w:t>
      </w:r>
    </w:p>
    <w:p w14:paraId="66353B86" w14:textId="77777777" w:rsidR="00EE3074" w:rsidRPr="00EE3074" w:rsidRDefault="00EE3074" w:rsidP="00EE3074">
      <w:pPr>
        <w:spacing w:line="360" w:lineRule="auto"/>
        <w:ind w:firstLine="708"/>
        <w:rPr>
          <w:sz w:val="24"/>
          <w:szCs w:val="24"/>
          <w:lang w:eastAsia="en-US"/>
        </w:rPr>
      </w:pPr>
      <w:r w:rsidRPr="00EE3074">
        <w:rPr>
          <w:sz w:val="24"/>
          <w:szCs w:val="24"/>
          <w:lang w:eastAsia="en-US"/>
        </w:rPr>
        <w:t>As custas e despesas processuais possuem natureza tributária de taxa prestacional vinculada à utilização efetiva ou potencial de serviços públicos judiciários específicos e divisíveis (1). Por consubstanciarem retribuição aos custos da mobilização do aparato estatal, a fixação de suas alíquotas e valores deve observar os princípios da equivalência, da capacidade contributiva e da vedação ao confisco, sendo legítima a utilização do valor da causa como parâmetro referencial, desde que estabelecidos limites mínimos e máximos razoáveis (2).</w:t>
      </w:r>
    </w:p>
    <w:p w14:paraId="233969A9" w14:textId="2D7FFB43" w:rsidR="00EE3074" w:rsidRPr="00EE3074" w:rsidRDefault="00EE3074" w:rsidP="00EE3074">
      <w:pPr>
        <w:spacing w:line="360" w:lineRule="auto"/>
        <w:ind w:firstLine="708"/>
        <w:rPr>
          <w:sz w:val="24"/>
          <w:szCs w:val="24"/>
          <w:lang w:eastAsia="en-US"/>
        </w:rPr>
      </w:pPr>
      <w:r w:rsidRPr="00EE3074">
        <w:rPr>
          <w:sz w:val="24"/>
          <w:szCs w:val="24"/>
          <w:lang w:eastAsia="en-US"/>
        </w:rPr>
        <w:t xml:space="preserve">Nesse contexto, a elevação da alíquota das custas do juízo comum de 2% para 2,5% e, a partir de 2027, 3% sobre o valor da causa, a elevação do piso de 75 para 135 </w:t>
      </w:r>
      <w:proofErr w:type="spellStart"/>
      <w:r w:rsidRPr="00EE3074">
        <w:rPr>
          <w:sz w:val="24"/>
          <w:szCs w:val="24"/>
          <w:lang w:eastAsia="en-US"/>
        </w:rPr>
        <w:t>VRTEs</w:t>
      </w:r>
      <w:proofErr w:type="spellEnd"/>
      <w:r w:rsidR="002D603F">
        <w:rPr>
          <w:sz w:val="24"/>
          <w:szCs w:val="24"/>
          <w:lang w:eastAsia="en-US"/>
        </w:rPr>
        <w:t xml:space="preserve"> (</w:t>
      </w:r>
      <w:r w:rsidR="002D603F" w:rsidRPr="002D603F">
        <w:rPr>
          <w:sz w:val="24"/>
          <w:szCs w:val="24"/>
          <w:lang w:eastAsia="en-US"/>
        </w:rPr>
        <w:t>Valor de Referência do Tesouro Estadual</w:t>
      </w:r>
      <w:r w:rsidR="002D603F">
        <w:rPr>
          <w:sz w:val="24"/>
          <w:szCs w:val="24"/>
          <w:lang w:eastAsia="en-US"/>
        </w:rPr>
        <w:t>)</w:t>
      </w:r>
      <w:r w:rsidRPr="00EE3074">
        <w:rPr>
          <w:sz w:val="24"/>
          <w:szCs w:val="24"/>
          <w:lang w:eastAsia="en-US"/>
        </w:rPr>
        <w:t xml:space="preserve"> e a fixação de tetos autônomos de 20.000 </w:t>
      </w:r>
      <w:proofErr w:type="spellStart"/>
      <w:r w:rsidRPr="00EE3074">
        <w:rPr>
          <w:sz w:val="24"/>
          <w:szCs w:val="24"/>
          <w:lang w:eastAsia="en-US"/>
        </w:rPr>
        <w:t>VRTEs</w:t>
      </w:r>
      <w:proofErr w:type="spellEnd"/>
      <w:r w:rsidRPr="00EE3074">
        <w:rPr>
          <w:sz w:val="24"/>
          <w:szCs w:val="24"/>
          <w:lang w:eastAsia="en-US"/>
        </w:rPr>
        <w:t xml:space="preserve"> para a ação e para os recursos não configuram majoração abusiva nem óbice ao acesso à jurisdição, mormente diante da preservação das hipóteses de isenção e da gratuidade de justiça. Ademais, revela-se constitucional a fixação de custas para a utilização dos serviços dos centros de conciliação na fase </w:t>
      </w:r>
      <w:proofErr w:type="spellStart"/>
      <w:r w:rsidRPr="00EE3074">
        <w:rPr>
          <w:sz w:val="24"/>
          <w:szCs w:val="24"/>
          <w:lang w:eastAsia="en-US"/>
        </w:rPr>
        <w:t>pré</w:t>
      </w:r>
      <w:proofErr w:type="spellEnd"/>
      <w:r w:rsidRPr="00EE3074">
        <w:rPr>
          <w:sz w:val="24"/>
          <w:szCs w:val="24"/>
          <w:lang w:eastAsia="en-US"/>
        </w:rPr>
        <w:t>-processual em 30% do valor que seria devido para o ajuizamento da demanda, a incidência de custas para a interposição de recurso inominado nos Juizados Especiais e a exigência de complemento em razão da retificação do valor da causa.</w:t>
      </w:r>
    </w:p>
    <w:p w14:paraId="6C973409" w14:textId="77777777" w:rsidR="00EE3074" w:rsidRPr="00EE3074" w:rsidRDefault="00EE3074" w:rsidP="00EE3074">
      <w:pPr>
        <w:spacing w:line="360" w:lineRule="auto"/>
        <w:ind w:firstLine="708"/>
        <w:rPr>
          <w:sz w:val="24"/>
          <w:szCs w:val="24"/>
          <w:lang w:eastAsia="en-US"/>
        </w:rPr>
      </w:pPr>
      <w:r w:rsidRPr="00EE3074">
        <w:rPr>
          <w:sz w:val="24"/>
          <w:szCs w:val="24"/>
        </w:rPr>
        <w:t>Por terem natureza tributária, as custas judiciais majoradas sujeitam-se à anterioridade nonagesimal (3). Embora já se tenha consumado o prazo de noventa dias contado da publicação da Lei estadual nº 12.695/2025, impõe-se fixar</w:t>
      </w:r>
      <w:r w:rsidRPr="00EE3074">
        <w:rPr>
          <w:sz w:val="24"/>
          <w:szCs w:val="24"/>
          <w:lang w:eastAsia="en-US"/>
        </w:rPr>
        <w:t xml:space="preserve"> a eficácia da majoração das custas a partir da </w:t>
      </w:r>
      <w:r w:rsidRPr="00EE3074">
        <w:rPr>
          <w:sz w:val="24"/>
          <w:szCs w:val="24"/>
          <w:lang w:eastAsia="en-US"/>
        </w:rPr>
        <w:lastRenderedPageBreak/>
        <w:t>data do julgamento da ação direta, a fim de conferir estabilidade às relações jurídicas, prevenir cobranças retroativas e evitar disputas quanto à complementação de valores recolhidos entre a conclusão da noventena e o julgamento desta ação.</w:t>
      </w:r>
    </w:p>
    <w:p w14:paraId="7FB42D95" w14:textId="7DED1B54" w:rsidR="00EE3074" w:rsidRPr="00EE3074" w:rsidRDefault="00EE3074" w:rsidP="00EE3074">
      <w:pPr>
        <w:spacing w:line="360" w:lineRule="auto"/>
        <w:ind w:firstLine="708"/>
        <w:rPr>
          <w:sz w:val="24"/>
          <w:szCs w:val="24"/>
          <w:lang w:eastAsia="en-US"/>
        </w:rPr>
      </w:pPr>
      <w:r w:rsidRPr="00EE3074">
        <w:rPr>
          <w:sz w:val="24"/>
          <w:szCs w:val="24"/>
          <w:lang w:eastAsia="en-US"/>
        </w:rPr>
        <w:t xml:space="preserve">Com base nesses e em outros entendimentos, o Plenário, por maioria, converteu a apreciação da medida cautelar em julgamento de mérito e julgou improcedentes os pedidos formulados na ação direta, reconhecendo a constitucionalidade da </w:t>
      </w:r>
      <w:hyperlink r:id="rId103" w:history="1">
        <w:r w:rsidRPr="00EE3074">
          <w:rPr>
            <w:color w:val="0000FF"/>
            <w:sz w:val="24"/>
            <w:szCs w:val="24"/>
            <w:u w:val="single"/>
            <w:lang w:eastAsia="en-US"/>
          </w:rPr>
          <w:t>Lei nº 12.695/2025</w:t>
        </w:r>
      </w:hyperlink>
      <w:r w:rsidRPr="00EE3074">
        <w:rPr>
          <w:sz w:val="24"/>
          <w:szCs w:val="24"/>
          <w:lang w:eastAsia="en-US"/>
        </w:rPr>
        <w:t xml:space="preserve"> e da </w:t>
      </w:r>
      <w:hyperlink r:id="rId104" w:history="1">
        <w:r w:rsidRPr="00EE3074">
          <w:rPr>
            <w:color w:val="0000FF"/>
            <w:sz w:val="24"/>
            <w:szCs w:val="24"/>
            <w:u w:val="single"/>
            <w:lang w:eastAsia="en-US"/>
          </w:rPr>
          <w:t>Lei nº 12.861/2026</w:t>
        </w:r>
      </w:hyperlink>
      <w:r w:rsidRPr="00EE3074">
        <w:rPr>
          <w:sz w:val="24"/>
          <w:szCs w:val="24"/>
          <w:lang w:eastAsia="en-US"/>
        </w:rPr>
        <w:t xml:space="preserve">, ambas do </w:t>
      </w:r>
      <w:r w:rsidR="00B733C2">
        <w:rPr>
          <w:sz w:val="24"/>
          <w:szCs w:val="24"/>
          <w:lang w:eastAsia="en-US"/>
        </w:rPr>
        <w:t>E</w:t>
      </w:r>
      <w:r w:rsidRPr="00EE3074">
        <w:rPr>
          <w:sz w:val="24"/>
          <w:szCs w:val="24"/>
          <w:lang w:eastAsia="en-US"/>
        </w:rPr>
        <w:t>stado do Espírito Santo</w:t>
      </w:r>
      <w:r w:rsidR="00010747">
        <w:rPr>
          <w:sz w:val="24"/>
          <w:szCs w:val="24"/>
          <w:lang w:eastAsia="en-US"/>
        </w:rPr>
        <w:t>,</w:t>
      </w:r>
      <w:r w:rsidRPr="00EE3074">
        <w:rPr>
          <w:sz w:val="24"/>
          <w:szCs w:val="24"/>
          <w:lang w:eastAsia="en-US"/>
        </w:rPr>
        <w:t xml:space="preserve"> e fixou que a majoração decorrente da Lei nº 12.695/2025 produz efeitos a partir de 23.09.2026.</w:t>
      </w:r>
    </w:p>
    <w:p w14:paraId="3E45B81F" w14:textId="77777777" w:rsidR="00EE3074" w:rsidRPr="00EE3074" w:rsidRDefault="00EE3074" w:rsidP="00EE3074">
      <w:pPr>
        <w:spacing w:after="120"/>
        <w:ind w:firstLine="708"/>
        <w:rPr>
          <w:sz w:val="24"/>
          <w:szCs w:val="24"/>
        </w:rPr>
      </w:pPr>
    </w:p>
    <w:p w14:paraId="13B55501" w14:textId="0549A07C" w:rsidR="00EE3074" w:rsidRPr="00EE3074" w:rsidRDefault="00EE3074" w:rsidP="00EE3074">
      <w:pPr>
        <w:spacing w:after="120"/>
        <w:ind w:firstLine="709"/>
        <w:rPr>
          <w:rFonts w:ascii="Arial" w:hAnsi="Arial" w:cs="Arial"/>
          <w:sz w:val="20"/>
          <w:szCs w:val="20"/>
        </w:rPr>
      </w:pPr>
      <w:r w:rsidRPr="00EE3074">
        <w:rPr>
          <w:rFonts w:ascii="Arial" w:hAnsi="Arial" w:cs="Arial"/>
          <w:sz w:val="20"/>
          <w:szCs w:val="20"/>
        </w:rPr>
        <w:t xml:space="preserve">(1) </w:t>
      </w:r>
      <w:hyperlink r:id="rId105" w:anchor=":~:text=DOS%20PRINC%C3%8DPIOS%20GERAIS-,Art.%20145,-.%20A%20Uni%C3%A3o%2C%20os" w:history="1">
        <w:r w:rsidRPr="00EE3074">
          <w:rPr>
            <w:rFonts w:ascii="Arial" w:hAnsi="Arial" w:cs="Arial"/>
            <w:color w:val="0000FF"/>
            <w:sz w:val="20"/>
            <w:szCs w:val="20"/>
            <w:u w:val="single"/>
          </w:rPr>
          <w:t>CF/1988</w:t>
        </w:r>
      </w:hyperlink>
      <w:r w:rsidRPr="00EE3074">
        <w:rPr>
          <w:rFonts w:ascii="Arial" w:hAnsi="Arial" w:cs="Arial"/>
          <w:sz w:val="20"/>
          <w:szCs w:val="20"/>
        </w:rPr>
        <w:t xml:space="preserve">: “Art. 145. A União, os </w:t>
      </w:r>
      <w:r w:rsidR="002D603F">
        <w:rPr>
          <w:rFonts w:ascii="Arial" w:hAnsi="Arial" w:cs="Arial"/>
          <w:sz w:val="20"/>
          <w:szCs w:val="20"/>
        </w:rPr>
        <w:t>e</w:t>
      </w:r>
      <w:r w:rsidRPr="00EE3074">
        <w:rPr>
          <w:rFonts w:ascii="Arial" w:hAnsi="Arial" w:cs="Arial"/>
          <w:sz w:val="20"/>
          <w:szCs w:val="20"/>
        </w:rPr>
        <w:t xml:space="preserve">stados, o Distrito Federal e os Municípios poderão instituir os seguintes tributos: </w:t>
      </w:r>
      <w:r w:rsidR="000F3871">
        <w:rPr>
          <w:rFonts w:ascii="Arial" w:hAnsi="Arial" w:cs="Arial"/>
          <w:sz w:val="20"/>
          <w:szCs w:val="20"/>
        </w:rPr>
        <w:t>(</w:t>
      </w:r>
      <w:r w:rsidRPr="00EE3074">
        <w:rPr>
          <w:rFonts w:ascii="Arial" w:hAnsi="Arial" w:cs="Arial"/>
          <w:sz w:val="20"/>
          <w:szCs w:val="20"/>
        </w:rPr>
        <w:t>...</w:t>
      </w:r>
      <w:r w:rsidR="000F3871">
        <w:rPr>
          <w:rFonts w:ascii="Arial" w:hAnsi="Arial" w:cs="Arial"/>
          <w:sz w:val="20"/>
          <w:szCs w:val="20"/>
        </w:rPr>
        <w:t>)</w:t>
      </w:r>
      <w:r w:rsidRPr="00EE3074">
        <w:rPr>
          <w:rFonts w:ascii="Arial" w:hAnsi="Arial" w:cs="Arial"/>
          <w:sz w:val="20"/>
          <w:szCs w:val="20"/>
        </w:rPr>
        <w:t xml:space="preserve"> II - taxas, em razão do exercício do poder de polícia ou pela utilização, efetiva ou potencial, de serviços públicos específicos e divisíveis, prestados ao contribuinte ou postos a sua disposição;”</w:t>
      </w:r>
    </w:p>
    <w:p w14:paraId="2E8AD5BD" w14:textId="77777777" w:rsidR="00EE3074" w:rsidRPr="00EE3074" w:rsidRDefault="00EE3074" w:rsidP="00EE3074">
      <w:pPr>
        <w:spacing w:after="120"/>
        <w:ind w:firstLine="709"/>
        <w:rPr>
          <w:rFonts w:ascii="Arial" w:hAnsi="Arial" w:cs="Arial"/>
          <w:sz w:val="20"/>
          <w:szCs w:val="20"/>
        </w:rPr>
      </w:pPr>
      <w:r w:rsidRPr="00EE3074">
        <w:rPr>
          <w:rFonts w:ascii="Arial" w:hAnsi="Arial" w:cs="Arial"/>
          <w:sz w:val="20"/>
          <w:szCs w:val="20"/>
        </w:rPr>
        <w:t xml:space="preserve">(2) Precedentes citados: </w:t>
      </w:r>
      <w:hyperlink r:id="rId106" w:history="1">
        <w:r w:rsidRPr="00EE3074">
          <w:rPr>
            <w:rFonts w:ascii="Arial" w:hAnsi="Arial" w:cs="Arial"/>
            <w:color w:val="0000FF"/>
            <w:sz w:val="20"/>
            <w:szCs w:val="20"/>
            <w:u w:val="single"/>
          </w:rPr>
          <w:t>ADI 2.211</w:t>
        </w:r>
      </w:hyperlink>
      <w:r w:rsidRPr="00EE3074">
        <w:rPr>
          <w:rFonts w:ascii="Arial" w:hAnsi="Arial" w:cs="Arial"/>
          <w:sz w:val="20"/>
          <w:szCs w:val="20"/>
        </w:rPr>
        <w:t xml:space="preserve">, </w:t>
      </w:r>
      <w:hyperlink r:id="rId107" w:history="1">
        <w:r w:rsidRPr="00EE3074">
          <w:rPr>
            <w:rFonts w:ascii="Arial" w:hAnsi="Arial" w:cs="Arial"/>
            <w:color w:val="0000FF"/>
            <w:sz w:val="20"/>
            <w:szCs w:val="20"/>
            <w:u w:val="single"/>
          </w:rPr>
          <w:t>ADI 3.154</w:t>
        </w:r>
      </w:hyperlink>
      <w:r w:rsidRPr="00EE3074">
        <w:rPr>
          <w:rFonts w:ascii="Arial" w:hAnsi="Arial" w:cs="Arial"/>
          <w:sz w:val="20"/>
          <w:szCs w:val="20"/>
        </w:rPr>
        <w:t xml:space="preserve">, </w:t>
      </w:r>
      <w:hyperlink r:id="rId108" w:history="1">
        <w:r w:rsidRPr="00EE3074">
          <w:rPr>
            <w:rFonts w:ascii="Arial" w:hAnsi="Arial" w:cs="Arial"/>
            <w:color w:val="0000FF"/>
            <w:sz w:val="20"/>
            <w:szCs w:val="20"/>
            <w:u w:val="single"/>
          </w:rPr>
          <w:t>ADI 5.612</w:t>
        </w:r>
      </w:hyperlink>
      <w:r w:rsidRPr="00EE3074">
        <w:rPr>
          <w:rFonts w:ascii="Arial" w:hAnsi="Arial" w:cs="Arial"/>
          <w:sz w:val="20"/>
          <w:szCs w:val="20"/>
        </w:rPr>
        <w:t xml:space="preserve">, </w:t>
      </w:r>
      <w:hyperlink r:id="rId109" w:history="1">
        <w:r w:rsidRPr="00EE3074">
          <w:rPr>
            <w:rFonts w:ascii="Arial" w:hAnsi="Arial" w:cs="Arial"/>
            <w:color w:val="0000FF"/>
            <w:sz w:val="20"/>
            <w:szCs w:val="20"/>
            <w:u w:val="single"/>
          </w:rPr>
          <w:t>ADI 7.063</w:t>
        </w:r>
      </w:hyperlink>
      <w:r w:rsidRPr="00EE3074">
        <w:rPr>
          <w:rFonts w:ascii="Arial" w:hAnsi="Arial" w:cs="Arial"/>
          <w:sz w:val="20"/>
          <w:szCs w:val="20"/>
        </w:rPr>
        <w:t xml:space="preserve"> e </w:t>
      </w:r>
      <w:hyperlink r:id="rId110" w:history="1">
        <w:r w:rsidRPr="00EE3074">
          <w:rPr>
            <w:rFonts w:ascii="Arial" w:hAnsi="Arial" w:cs="Arial"/>
            <w:color w:val="0000FF"/>
            <w:sz w:val="20"/>
            <w:szCs w:val="20"/>
            <w:u w:val="single"/>
          </w:rPr>
          <w:t>ADI 7.658</w:t>
        </w:r>
      </w:hyperlink>
      <w:r w:rsidRPr="00EE3074">
        <w:rPr>
          <w:rFonts w:ascii="Arial" w:hAnsi="Arial" w:cs="Arial"/>
          <w:sz w:val="20"/>
          <w:szCs w:val="20"/>
        </w:rPr>
        <w:t>.</w:t>
      </w:r>
    </w:p>
    <w:p w14:paraId="1F368D5A" w14:textId="3BC164ED" w:rsidR="00EE3074" w:rsidRPr="00EE3074" w:rsidRDefault="00EE3074" w:rsidP="00EE3074">
      <w:pPr>
        <w:spacing w:after="120"/>
        <w:ind w:firstLine="709"/>
        <w:rPr>
          <w:rFonts w:ascii="Arial" w:hAnsi="Arial" w:cs="Arial"/>
          <w:sz w:val="20"/>
          <w:szCs w:val="20"/>
        </w:rPr>
      </w:pPr>
      <w:r w:rsidRPr="00EE3074">
        <w:rPr>
          <w:rFonts w:ascii="Arial" w:hAnsi="Arial" w:cs="Arial"/>
          <w:sz w:val="20"/>
          <w:szCs w:val="20"/>
        </w:rPr>
        <w:t xml:space="preserve">(3) </w:t>
      </w:r>
      <w:hyperlink r:id="rId111" w:anchor=":~:text=PODER%20DE%20TRIBUTAR-,Art.%20150,-.%20Sem%20preju%C3%ADzo%20de" w:history="1">
        <w:r w:rsidRPr="00EE3074">
          <w:rPr>
            <w:rFonts w:ascii="Arial" w:hAnsi="Arial" w:cs="Arial"/>
            <w:color w:val="0000FF"/>
            <w:sz w:val="20"/>
            <w:szCs w:val="20"/>
            <w:u w:val="single"/>
          </w:rPr>
          <w:t>CF/1988</w:t>
        </w:r>
      </w:hyperlink>
      <w:r w:rsidRPr="00EE3074">
        <w:rPr>
          <w:rFonts w:ascii="Arial" w:hAnsi="Arial" w:cs="Arial"/>
          <w:sz w:val="20"/>
          <w:szCs w:val="20"/>
        </w:rPr>
        <w:t xml:space="preserve">: “Art. 150. Sem prejuízo de outras garantias asseguradas ao contribuinte, é vedado à União, aos </w:t>
      </w:r>
      <w:r w:rsidR="002D603F">
        <w:rPr>
          <w:rFonts w:ascii="Arial" w:hAnsi="Arial" w:cs="Arial"/>
          <w:sz w:val="20"/>
          <w:szCs w:val="20"/>
        </w:rPr>
        <w:t>e</w:t>
      </w:r>
      <w:r w:rsidRPr="00EE3074">
        <w:rPr>
          <w:rFonts w:ascii="Arial" w:hAnsi="Arial" w:cs="Arial"/>
          <w:sz w:val="20"/>
          <w:szCs w:val="20"/>
        </w:rPr>
        <w:t xml:space="preserve">stados, ao Distrito Federal e aos Municípios: </w:t>
      </w:r>
      <w:r w:rsidR="000F3871">
        <w:rPr>
          <w:rFonts w:ascii="Arial" w:hAnsi="Arial" w:cs="Arial"/>
          <w:sz w:val="20"/>
          <w:szCs w:val="20"/>
        </w:rPr>
        <w:t>(</w:t>
      </w:r>
      <w:r w:rsidRPr="00EE3074">
        <w:rPr>
          <w:rFonts w:ascii="Arial" w:hAnsi="Arial" w:cs="Arial"/>
          <w:sz w:val="20"/>
          <w:szCs w:val="20"/>
        </w:rPr>
        <w:t>...</w:t>
      </w:r>
      <w:r w:rsidR="000F3871">
        <w:rPr>
          <w:rFonts w:ascii="Arial" w:hAnsi="Arial" w:cs="Arial"/>
          <w:sz w:val="20"/>
          <w:szCs w:val="20"/>
        </w:rPr>
        <w:t>)</w:t>
      </w:r>
      <w:r w:rsidRPr="00EE3074">
        <w:rPr>
          <w:rFonts w:ascii="Arial" w:hAnsi="Arial" w:cs="Arial"/>
          <w:sz w:val="20"/>
          <w:szCs w:val="20"/>
        </w:rPr>
        <w:t xml:space="preserve"> III - cobrar tributos: </w:t>
      </w:r>
      <w:r w:rsidR="000F3871">
        <w:rPr>
          <w:rFonts w:ascii="Arial" w:hAnsi="Arial" w:cs="Arial"/>
          <w:sz w:val="20"/>
          <w:szCs w:val="20"/>
        </w:rPr>
        <w:t>(</w:t>
      </w:r>
      <w:r w:rsidRPr="00EE3074">
        <w:rPr>
          <w:rFonts w:ascii="Arial" w:hAnsi="Arial" w:cs="Arial"/>
          <w:sz w:val="20"/>
          <w:szCs w:val="20"/>
        </w:rPr>
        <w:t>..</w:t>
      </w:r>
      <w:r w:rsidR="000F3871">
        <w:rPr>
          <w:rFonts w:ascii="Arial" w:hAnsi="Arial" w:cs="Arial"/>
          <w:sz w:val="20"/>
          <w:szCs w:val="20"/>
        </w:rPr>
        <w:t>.)</w:t>
      </w:r>
      <w:r w:rsidRPr="00EE3074">
        <w:rPr>
          <w:rFonts w:ascii="Arial" w:hAnsi="Arial" w:cs="Arial"/>
          <w:sz w:val="20"/>
          <w:szCs w:val="20"/>
        </w:rPr>
        <w:t xml:space="preserve"> c) antes de decorridos noventa dias da data em que haja sido publicada a lei que os instituiu ou aumentou, observado o disposto na alínea b;” </w:t>
      </w:r>
    </w:p>
    <w:p w14:paraId="0AD9796F" w14:textId="77777777" w:rsidR="00EE3074" w:rsidRPr="00EE3074" w:rsidRDefault="00EE3074" w:rsidP="00EE3074">
      <w:pPr>
        <w:ind w:firstLine="709"/>
        <w:contextualSpacing/>
        <w:rPr>
          <w:sz w:val="24"/>
          <w:szCs w:val="24"/>
          <w:lang w:eastAsia="en-US"/>
        </w:rPr>
      </w:pPr>
    </w:p>
    <w:p w14:paraId="54145297" w14:textId="77777777" w:rsidR="00EE3074" w:rsidRPr="00EE3074" w:rsidRDefault="00EE3074" w:rsidP="00EE3074">
      <w:pPr>
        <w:spacing w:line="360" w:lineRule="auto"/>
        <w:rPr>
          <w:sz w:val="24"/>
          <w:szCs w:val="24"/>
        </w:rPr>
      </w:pPr>
      <w:hyperlink r:id="rId112" w:history="1">
        <w:r w:rsidRPr="00EE3074">
          <w:rPr>
            <w:color w:val="0000FF"/>
            <w:sz w:val="24"/>
            <w:szCs w:val="24"/>
            <w:u w:val="single"/>
          </w:rPr>
          <w:t xml:space="preserve">ADI 7.935/ES, relatora Ministra </w:t>
        </w:r>
        <w:proofErr w:type="spellStart"/>
        <w:r w:rsidRPr="00EE3074">
          <w:rPr>
            <w:color w:val="0000FF"/>
            <w:sz w:val="24"/>
            <w:szCs w:val="24"/>
            <w:u w:val="single"/>
          </w:rPr>
          <w:t>Cármen</w:t>
        </w:r>
        <w:proofErr w:type="spellEnd"/>
        <w:r w:rsidRPr="00EE3074">
          <w:rPr>
            <w:color w:val="0000FF"/>
            <w:sz w:val="24"/>
            <w:szCs w:val="24"/>
            <w:u w:val="single"/>
          </w:rPr>
          <w:t xml:space="preserve"> Lúcia, julgamento finalizado em 23.09.2026 (quarta-feira)</w:t>
        </w:r>
      </w:hyperlink>
      <w:r w:rsidRPr="00EE3074">
        <w:rPr>
          <w:sz w:val="24"/>
          <w:szCs w:val="24"/>
        </w:rPr>
        <w:t xml:space="preserve"> </w:t>
      </w:r>
    </w:p>
    <w:p w14:paraId="2AB15EB2" w14:textId="77777777" w:rsidR="00EE3074" w:rsidRPr="00EE3074" w:rsidRDefault="00EE3074" w:rsidP="00EE3074">
      <w:pPr>
        <w:spacing w:line="360" w:lineRule="auto"/>
        <w:rPr>
          <w:sz w:val="24"/>
          <w:szCs w:val="24"/>
        </w:rPr>
      </w:pPr>
      <w:r w:rsidRPr="00EE3074">
        <w:rPr>
          <w:noProof/>
          <w14:ligatures w14:val="standardContextual"/>
        </w:rPr>
        <w:drawing>
          <wp:inline distT="0" distB="0" distL="0" distR="0" wp14:anchorId="18755970" wp14:editId="68F4EF22">
            <wp:extent cx="1186180" cy="123825"/>
            <wp:effectExtent l="0" t="0" r="0" b="9525"/>
            <wp:docPr id="558451287" name="Imagem 2" descr="P:\Informativos\Imagens\03_18px.png">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8668" name="Imagem 2" descr="P:\Informativos\Imagens\03_18px.png">
                      <a:hlinkClick r:id="rId113"/>
                    </pic:cNvPr>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54D8FCF9" w14:textId="77777777" w:rsidR="00010747" w:rsidRDefault="00010747" w:rsidP="00010747">
      <w:pPr>
        <w:contextualSpacing/>
        <w:jc w:val="right"/>
      </w:pPr>
      <w:hyperlink w:anchor="SUMÁRIO" w:history="1">
        <w:r w:rsidRPr="003172B4">
          <w:rPr>
            <w:rStyle w:val="Hyperlink"/>
            <w:sz w:val="16"/>
            <w:szCs w:val="16"/>
          </w:rPr>
          <w:t>Sumário</w:t>
        </w:r>
      </w:hyperlink>
    </w:p>
    <w:p w14:paraId="4F16557C" w14:textId="77777777" w:rsidR="00EE3074" w:rsidRPr="001A13F0" w:rsidRDefault="00EE3074" w:rsidP="001A13F0">
      <w:pPr>
        <w:contextualSpacing/>
        <w:rPr>
          <w:rStyle w:val="Hyperlink"/>
          <w:b/>
          <w:bCs/>
          <w:color w:val="auto"/>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24" w:name="TURMAS"/>
      <w:r w:rsidR="00BA2E84">
        <w:rPr>
          <w:b/>
          <w:bCs/>
          <w:iCs/>
          <w:smallCaps/>
          <w:sz w:val="22"/>
          <w:szCs w:val="22"/>
        </w:rPr>
        <w:t>TURMAS</w:t>
      </w:r>
      <w:bookmarkEnd w:id="24"/>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25" w:name="INOVAÇÕES"/>
      <w:r w:rsidRPr="003172B4">
        <w:rPr>
          <w:b/>
          <w:bCs/>
          <w:iCs/>
          <w:smallCaps/>
          <w:sz w:val="22"/>
          <w:szCs w:val="22"/>
        </w:rPr>
        <w:t xml:space="preserve">INOVAÇÕES </w:t>
      </w:r>
      <w:bookmarkEnd w:id="25"/>
      <w:r w:rsidRPr="003172B4">
        <w:rPr>
          <w:b/>
          <w:bCs/>
          <w:iCs/>
          <w:smallCaps/>
          <w:sz w:val="22"/>
          <w:szCs w:val="22"/>
        </w:rPr>
        <w:t>NORMATIVAS STF</w:t>
      </w:r>
    </w:p>
    <w:p w14:paraId="1769974D" w14:textId="5C0DDA94" w:rsidR="00146C1B" w:rsidRDefault="001D1002" w:rsidP="001D1002">
      <w:pPr>
        <w:spacing w:after="120"/>
        <w:jc w:val="left"/>
        <w:rPr>
          <w:color w:val="2E2E2E"/>
          <w:sz w:val="24"/>
          <w:szCs w:val="24"/>
        </w:rPr>
      </w:pPr>
      <w:hyperlink r:id="rId114" w:history="1">
        <w:r w:rsidRPr="001D1002">
          <w:rPr>
            <w:rStyle w:val="Hyperlink"/>
            <w:sz w:val="24"/>
            <w:szCs w:val="24"/>
          </w:rPr>
          <w:t>Portaria nº 198, de 25.09.2026</w:t>
        </w:r>
      </w:hyperlink>
      <w:r>
        <w:rPr>
          <w:color w:val="2E2E2E"/>
          <w:sz w:val="24"/>
          <w:szCs w:val="24"/>
        </w:rPr>
        <w:t xml:space="preserve"> - </w:t>
      </w:r>
      <w:r w:rsidRPr="001D1002">
        <w:rPr>
          <w:color w:val="2E2E2E"/>
          <w:sz w:val="24"/>
          <w:szCs w:val="24"/>
        </w:rPr>
        <w:t>Comunica a abertura de crédito suplementar ao Orçamento Fiscal e de Seguridade Social do Supremo Tribunal Federal.</w:t>
      </w:r>
    </w:p>
    <w:p w14:paraId="417AFE7A" w14:textId="77777777" w:rsidR="00046C7B"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115"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116"/>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118"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119"/>
      <w:footerReference w:type="even" r:id="rId120"/>
      <w:footerReference w:type="default" r:id="rId121"/>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99E73" w14:textId="77777777" w:rsidR="00220100" w:rsidRDefault="00220100">
      <w:r>
        <w:separator/>
      </w:r>
    </w:p>
  </w:endnote>
  <w:endnote w:type="continuationSeparator" w:id="0">
    <w:p w14:paraId="367D8DB0" w14:textId="77777777" w:rsidR="00220100" w:rsidRDefault="00220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94FC0" w14:textId="77777777" w:rsidR="00220100" w:rsidRDefault="00220100">
      <w:r>
        <w:separator/>
      </w:r>
    </w:p>
  </w:footnote>
  <w:footnote w:type="continuationSeparator" w:id="0">
    <w:p w14:paraId="7EB654AA" w14:textId="77777777" w:rsidR="00220100" w:rsidRDefault="00220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A2B0D34"/>
    <w:multiLevelType w:val="hybridMultilevel"/>
    <w:tmpl w:val="AA842FB4"/>
    <w:lvl w:ilvl="0" w:tplc="76145CC6">
      <w:start w:val="1"/>
      <w:numFmt w:val="decimal"/>
      <w:lvlText w:val="(%1)"/>
      <w:lvlJc w:val="left"/>
      <w:pPr>
        <w:ind w:left="1069" w:hanging="360"/>
      </w:pPr>
      <w:rPr>
        <w:rFonts w:ascii="Arial" w:eastAsia="Times New Roman" w:hAnsi="Arial" w:cs="Arial" w:hint="default"/>
        <w:sz w:val="20"/>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4"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6"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8"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20"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1"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2"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3"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4"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5"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7"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7"/>
  </w:num>
  <w:num w:numId="2" w16cid:durableId="522520912">
    <w:abstractNumId w:val="6"/>
  </w:num>
  <w:num w:numId="3" w16cid:durableId="869417338">
    <w:abstractNumId w:val="20"/>
  </w:num>
  <w:num w:numId="4" w16cid:durableId="524485244">
    <w:abstractNumId w:val="5"/>
  </w:num>
  <w:num w:numId="5" w16cid:durableId="159123260">
    <w:abstractNumId w:val="23"/>
  </w:num>
  <w:num w:numId="6" w16cid:durableId="128088984">
    <w:abstractNumId w:val="19"/>
  </w:num>
  <w:num w:numId="7" w16cid:durableId="577713422">
    <w:abstractNumId w:val="12"/>
  </w:num>
  <w:num w:numId="8" w16cid:durableId="943466483">
    <w:abstractNumId w:val="13"/>
  </w:num>
  <w:num w:numId="9" w16cid:durableId="450705573">
    <w:abstractNumId w:val="9"/>
  </w:num>
  <w:num w:numId="10" w16cid:durableId="139540115">
    <w:abstractNumId w:val="10"/>
  </w:num>
  <w:num w:numId="11" w16cid:durableId="1452212408">
    <w:abstractNumId w:val="16"/>
  </w:num>
  <w:num w:numId="12" w16cid:durableId="988939329">
    <w:abstractNumId w:val="25"/>
  </w:num>
  <w:num w:numId="13" w16cid:durableId="1310013440">
    <w:abstractNumId w:val="1"/>
  </w:num>
  <w:num w:numId="14" w16cid:durableId="1780175459">
    <w:abstractNumId w:val="8"/>
  </w:num>
  <w:num w:numId="15" w16cid:durableId="1873300328">
    <w:abstractNumId w:val="24"/>
  </w:num>
  <w:num w:numId="16" w16cid:durableId="855731956">
    <w:abstractNumId w:val="2"/>
  </w:num>
  <w:num w:numId="17" w16cid:durableId="2120836177">
    <w:abstractNumId w:val="15"/>
  </w:num>
  <w:num w:numId="18" w16cid:durableId="1701396661">
    <w:abstractNumId w:val="3"/>
  </w:num>
  <w:num w:numId="19" w16cid:durableId="789782165">
    <w:abstractNumId w:val="21"/>
  </w:num>
  <w:num w:numId="20" w16cid:durableId="120811113">
    <w:abstractNumId w:val="4"/>
  </w:num>
  <w:num w:numId="21" w16cid:durableId="2078631597">
    <w:abstractNumId w:val="26"/>
  </w:num>
  <w:num w:numId="22" w16cid:durableId="1510096006">
    <w:abstractNumId w:val="22"/>
  </w:num>
  <w:num w:numId="23" w16cid:durableId="1211111627">
    <w:abstractNumId w:val="0"/>
  </w:num>
  <w:num w:numId="24" w16cid:durableId="755130603">
    <w:abstractNumId w:val="17"/>
  </w:num>
  <w:num w:numId="25" w16cid:durableId="192034580">
    <w:abstractNumId w:val="14"/>
  </w:num>
  <w:num w:numId="26" w16cid:durableId="1661692179">
    <w:abstractNumId w:val="7"/>
  </w:num>
  <w:num w:numId="27" w16cid:durableId="885070244">
    <w:abstractNumId w:val="18"/>
  </w:num>
  <w:num w:numId="28" w16cid:durableId="15922038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747"/>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483D"/>
    <w:rsid w:val="00045759"/>
    <w:rsid w:val="0004598C"/>
    <w:rsid w:val="00045CAA"/>
    <w:rsid w:val="00045FD4"/>
    <w:rsid w:val="0004601A"/>
    <w:rsid w:val="0004646B"/>
    <w:rsid w:val="000464A5"/>
    <w:rsid w:val="000465D0"/>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3871"/>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1BA"/>
    <w:rsid w:val="001314EF"/>
    <w:rsid w:val="00132105"/>
    <w:rsid w:val="00132C34"/>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38E7"/>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01"/>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3F0"/>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1BB"/>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002"/>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7C1"/>
    <w:rsid w:val="00213B2C"/>
    <w:rsid w:val="00213F43"/>
    <w:rsid w:val="00216343"/>
    <w:rsid w:val="0021690C"/>
    <w:rsid w:val="00220100"/>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03F"/>
    <w:rsid w:val="002D673E"/>
    <w:rsid w:val="002D6AF5"/>
    <w:rsid w:val="002D6C7F"/>
    <w:rsid w:val="002E055F"/>
    <w:rsid w:val="002E12D2"/>
    <w:rsid w:val="002E1F59"/>
    <w:rsid w:val="002E2E97"/>
    <w:rsid w:val="002E3107"/>
    <w:rsid w:val="002E363F"/>
    <w:rsid w:val="002E3918"/>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3BD7"/>
    <w:rsid w:val="003843B1"/>
    <w:rsid w:val="00384E38"/>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955"/>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CC2"/>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0E61"/>
    <w:rsid w:val="00411575"/>
    <w:rsid w:val="0041159F"/>
    <w:rsid w:val="0041180A"/>
    <w:rsid w:val="00411D33"/>
    <w:rsid w:val="004133BE"/>
    <w:rsid w:val="00413B5C"/>
    <w:rsid w:val="00413FD0"/>
    <w:rsid w:val="004144C5"/>
    <w:rsid w:val="0041494E"/>
    <w:rsid w:val="00414CDE"/>
    <w:rsid w:val="004156D2"/>
    <w:rsid w:val="004158DC"/>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1B3"/>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621"/>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04F"/>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474"/>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1E77"/>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A5E"/>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4C0"/>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10F"/>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5476"/>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3B0"/>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3DB8"/>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069"/>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E17"/>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902"/>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5DD5"/>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51B"/>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73A"/>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7C4"/>
    <w:rsid w:val="00AA5C1F"/>
    <w:rsid w:val="00AA5D72"/>
    <w:rsid w:val="00AA62E4"/>
    <w:rsid w:val="00AA6387"/>
    <w:rsid w:val="00AA7323"/>
    <w:rsid w:val="00AA7FCD"/>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C"/>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3C2"/>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806"/>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1872"/>
    <w:rsid w:val="00BD277E"/>
    <w:rsid w:val="00BD29C5"/>
    <w:rsid w:val="00BD32DF"/>
    <w:rsid w:val="00BD363C"/>
    <w:rsid w:val="00BD373C"/>
    <w:rsid w:val="00BD3C16"/>
    <w:rsid w:val="00BD41B7"/>
    <w:rsid w:val="00BD43B0"/>
    <w:rsid w:val="00BD4491"/>
    <w:rsid w:val="00BD44E7"/>
    <w:rsid w:val="00BD45BF"/>
    <w:rsid w:val="00BD511D"/>
    <w:rsid w:val="00BD51EA"/>
    <w:rsid w:val="00BD5524"/>
    <w:rsid w:val="00BD647E"/>
    <w:rsid w:val="00BD65BD"/>
    <w:rsid w:val="00BD709A"/>
    <w:rsid w:val="00BD7308"/>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39D3"/>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CCB"/>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CF4"/>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30"/>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318C"/>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8B"/>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074"/>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AC6"/>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334"/>
    <w:rsid w:val="00FF6ACE"/>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3F0"/>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 w:type="paragraph" w:styleId="Textodecomentrio">
    <w:name w:val="annotation text"/>
    <w:basedOn w:val="Normal"/>
    <w:link w:val="TextodecomentrioChar"/>
    <w:uiPriority w:val="99"/>
    <w:unhideWhenUsed/>
    <w:rsid w:val="00E5318C"/>
    <w:rPr>
      <w:sz w:val="20"/>
      <w:szCs w:val="20"/>
    </w:rPr>
  </w:style>
  <w:style w:type="character" w:customStyle="1" w:styleId="TextodecomentrioChar">
    <w:name w:val="Texto de comentário Char"/>
    <w:basedOn w:val="Fontepargpadro"/>
    <w:link w:val="Textodecomentrio"/>
    <w:uiPriority w:val="99"/>
    <w:rsid w:val="00E5318C"/>
    <w:rPr>
      <w:sz w:val="20"/>
      <w:szCs w:val="20"/>
    </w:rPr>
  </w:style>
  <w:style w:type="character" w:styleId="Refdecomentrio">
    <w:name w:val="annotation reference"/>
    <w:basedOn w:val="Fontepargpadro"/>
    <w:uiPriority w:val="99"/>
    <w:unhideWhenUsed/>
    <w:rsid w:val="00E5318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8112cons.htm" TargetMode="External"/><Relationship Id="rId117" Type="http://schemas.openxmlformats.org/officeDocument/2006/relationships/image" Target="media/image4.png"/><Relationship Id="rId21" Type="http://schemas.openxmlformats.org/officeDocument/2006/relationships/hyperlink" Target="https://drive.google.com/file/d/1Ly7wCD_58xnAXS4AXPV1IqxRQOHDJc6G/view?usp=sharing" TargetMode="External"/><Relationship Id="rId42" Type="http://schemas.openxmlformats.org/officeDocument/2006/relationships/hyperlink" Target="https://legisla.casacivil.go.gov.br/api/v2/pesquisa/legislacoes/103634/pdf" TargetMode="External"/><Relationship Id="rId47" Type="http://schemas.openxmlformats.org/officeDocument/2006/relationships/hyperlink" Target="https://redir.stf.jus.br/paginadorpub/paginador.jsp?docTP=TP&amp;docID=7098736" TargetMode="External"/><Relationship Id="rId63" Type="http://schemas.openxmlformats.org/officeDocument/2006/relationships/hyperlink" Target="https://www.planalto.gov.br/ccivil_03/leis/2002/l10438.htm" TargetMode="External"/><Relationship Id="rId68" Type="http://schemas.openxmlformats.org/officeDocument/2006/relationships/hyperlink" Target="https://portal.stf.jus.br/processos/detalhe.asp?incidente=7286480" TargetMode="External"/><Relationship Id="rId84" Type="http://schemas.openxmlformats.org/officeDocument/2006/relationships/hyperlink" Target="https://redir.stf.jus.br/paginadorpub/paginador.jsp?docTP=TP&amp;docID=752612380" TargetMode="External"/><Relationship Id="rId89" Type="http://schemas.openxmlformats.org/officeDocument/2006/relationships/hyperlink" Target="https://portal.stf.jus.br/processos/detalhe.asp?incidente=2565571" TargetMode="External"/><Relationship Id="rId112" Type="http://schemas.openxmlformats.org/officeDocument/2006/relationships/hyperlink" Target="https://portal.stf.jus.br/processos/detalhe.asp?incidente=7501790" TargetMode="External"/><Relationship Id="rId16" Type="http://schemas.openxmlformats.org/officeDocument/2006/relationships/hyperlink" Target="https://portal.stf.jus.br/processos/detalhe.asp?incidente=7303474" TargetMode="External"/><Relationship Id="rId107" Type="http://schemas.openxmlformats.org/officeDocument/2006/relationships/hyperlink" Target="https://redir.stf.jus.br/paginadorpub/paginador.jsp?docTP=TP&amp;docID=754971364" TargetMode="External"/><Relationship Id="rId11" Type="http://schemas.openxmlformats.org/officeDocument/2006/relationships/hyperlink" Target="https://portal.stf.jus.br/processos/detalhe.asp?incidente=6333625" TargetMode="External"/><Relationship Id="rId32" Type="http://schemas.openxmlformats.org/officeDocument/2006/relationships/hyperlink" Target="https://www.planalto.gov.br/ccivil_03/_ato2007-2010/2008/lei/l11770.htm" TargetMode="External"/><Relationship Id="rId37" Type="http://schemas.openxmlformats.org/officeDocument/2006/relationships/hyperlink" Target="https://www.youtube.com/live/56KXUU1Oe-w?si=Psh6_kQw-1FJQFsg&amp;t=161" TargetMode="External"/><Relationship Id="rId53" Type="http://schemas.openxmlformats.org/officeDocument/2006/relationships/hyperlink" Target="https://legisla.casacivil.go.gov.br/pesquisa_legislacao/103784/decreto-9812" TargetMode="External"/><Relationship Id="rId58" Type="http://schemas.openxmlformats.org/officeDocument/2006/relationships/hyperlink" Target="https://drive.google.com/file/d/1pAJHbW5pL011KgzxmHEuTjgBehOLWKTE/view?usp=sharing" TargetMode="External"/><Relationship Id="rId74" Type="http://schemas.openxmlformats.org/officeDocument/2006/relationships/hyperlink" Target="http://portal.stf.jus.br/hotsites/agenda-2030/index.html" TargetMode="External"/><Relationship Id="rId79" Type="http://schemas.openxmlformats.org/officeDocument/2006/relationships/hyperlink" Target="https://www.planalto.gov.br/ccivil_03/leis/lcp/lcp24.htm" TargetMode="External"/><Relationship Id="rId102" Type="http://schemas.openxmlformats.org/officeDocument/2006/relationships/hyperlink" Target="http://portal.stf.jus.br/hotsites/agenda-2030/index.html"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rive.google.com/file/d/13sN-_xl14eZJp-RK7uGuESnC_8AYl9-0/view?usp=sharing" TargetMode="External"/><Relationship Id="rId95" Type="http://schemas.openxmlformats.org/officeDocument/2006/relationships/hyperlink" Target="http://www.confaz.fazenda.gov.br/legislacao/convenios/2007/CV060_07" TargetMode="External"/><Relationship Id="rId22" Type="http://schemas.openxmlformats.org/officeDocument/2006/relationships/image" Target="media/image1.png"/><Relationship Id="rId27" Type="http://schemas.openxmlformats.org/officeDocument/2006/relationships/hyperlink" Target="https://www.planalto.gov.br/ccivil_03/leis/lcp/lcp75.htm" TargetMode="External"/><Relationship Id="rId43" Type="http://schemas.openxmlformats.org/officeDocument/2006/relationships/hyperlink" Target="https://legisla.casacivil.go.gov.br/pesquisa_legislacao/103784/decreto-9812" TargetMode="External"/><Relationship Id="rId48" Type="http://schemas.openxmlformats.org/officeDocument/2006/relationships/hyperlink" Target="https://portal.stf.jus.br/jurisprudenciaRepercussao/tema.asp?num=612" TargetMode="External"/><Relationship Id="rId64" Type="http://schemas.openxmlformats.org/officeDocument/2006/relationships/hyperlink" Target="https://www.planalto.gov.br/ccivil_03/constituicao/constituicao.htm" TargetMode="External"/><Relationship Id="rId69" Type="http://schemas.openxmlformats.org/officeDocument/2006/relationships/hyperlink" Target="https://portal.stf.jus.br/processos/detalhe.asp?incidente=7303474" TargetMode="External"/><Relationship Id="rId113" Type="http://schemas.openxmlformats.org/officeDocument/2006/relationships/hyperlink" Target="https://www.youtube.com/watch?v=56KXUU1Oe-w&amp;t=2291s" TargetMode="External"/><Relationship Id="rId118" Type="http://schemas.openxmlformats.org/officeDocument/2006/relationships/hyperlink" Target="mailto:codi@stf.jus.br?subject=Informativo%20STF" TargetMode="External"/><Relationship Id="rId80" Type="http://schemas.openxmlformats.org/officeDocument/2006/relationships/hyperlink" Target="https://redir.stf.jus.br/paginadorpub/paginador.jsp?docTP=TP&amp;docID=754015542" TargetMode="External"/><Relationship Id="rId85" Type="http://schemas.openxmlformats.org/officeDocument/2006/relationships/hyperlink" Target="https://www.confaz.fazenda.gov.br/legislacao/convenios/1992/CV052_92" TargetMode="External"/><Relationship Id="rId12" Type="http://schemas.openxmlformats.org/officeDocument/2006/relationships/hyperlink" Target="https://portal.stf.jus.br/processos/detalhe.asp?incidente=5035916" TargetMode="External"/><Relationship Id="rId17" Type="http://schemas.openxmlformats.org/officeDocument/2006/relationships/hyperlink" Target="https://portal.stf.jus.br/processos/detalhe.asp?incidente=7320152" TargetMode="External"/><Relationship Id="rId33" Type="http://schemas.openxmlformats.org/officeDocument/2006/relationships/hyperlink" Target="https://redir.stf.jus.br/paginadorpub/paginador.jsp?docTP=TP&amp;docID=775639970" TargetMode="External"/><Relationship Id="rId38" Type="http://schemas.openxmlformats.org/officeDocument/2006/relationships/hyperlink" Target="https://portal.stf.jus.br/processos/detalhe.asp?incidente=6333625" TargetMode="External"/><Relationship Id="rId59" Type="http://schemas.openxmlformats.org/officeDocument/2006/relationships/image" Target="media/image3.png"/><Relationship Id="rId103" Type="http://schemas.openxmlformats.org/officeDocument/2006/relationships/hyperlink" Target="https://www3.al.es.gov.br/Arquivo/Documents/legislacao/html/lei126952025.html" TargetMode="External"/><Relationship Id="rId108" Type="http://schemas.openxmlformats.org/officeDocument/2006/relationships/hyperlink" Target="https://redir.stf.jus.br/paginadorpub/paginador.jsp?docTP=TP&amp;docID=753335948" TargetMode="External"/><Relationship Id="rId54" Type="http://schemas.openxmlformats.org/officeDocument/2006/relationships/hyperlink" Target="https://legisla.casacivil.go.gov.br/pesquisa_legislacao/65180" TargetMode="External"/><Relationship Id="rId70" Type="http://schemas.openxmlformats.org/officeDocument/2006/relationships/hyperlink" Target="https://portal.stf.jus.br/processos/detalhe.asp?incidente=7320152" TargetMode="External"/><Relationship Id="rId75" Type="http://schemas.openxmlformats.org/officeDocument/2006/relationships/hyperlink" Target="http://portal.stf.jus.br/hotsites/agenda-2030/index.html" TargetMode="External"/><Relationship Id="rId91" Type="http://schemas.openxmlformats.org/officeDocument/2006/relationships/hyperlink" Target="http://portal.stf.jus.br/hotsites/agenda-2030/index.html" TargetMode="External"/><Relationship Id="rId96" Type="http://schemas.openxmlformats.org/officeDocument/2006/relationships/hyperlink" Target="https://www.planalto.gov.br/ccivil_03/leis/2002/l10438.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portal.stf.jus.br/hotsites/agenda-2030/index.html" TargetMode="External"/><Relationship Id="rId28" Type="http://schemas.openxmlformats.org/officeDocument/2006/relationships/hyperlink" Target="https://www.planalto.gov.br/ccivil_03/decreto-lei/del5452.htm" TargetMode="External"/><Relationship Id="rId49" Type="http://schemas.openxmlformats.org/officeDocument/2006/relationships/hyperlink" Target="https://redir.stf.jus.br/paginadorpub/paginador.jsp?docTP=TP&amp;docID=753727948" TargetMode="External"/><Relationship Id="rId114" Type="http://schemas.openxmlformats.org/officeDocument/2006/relationships/hyperlink" Target="https://atosnormativos.stf.jus.br/visualizador/nEVX7qABUnTwO_PpRkDJ" TargetMode="External"/><Relationship Id="rId119" Type="http://schemas.openxmlformats.org/officeDocument/2006/relationships/header" Target="header1.xml"/><Relationship Id="rId44" Type="http://schemas.openxmlformats.org/officeDocument/2006/relationships/hyperlink" Target="https://www.planalto.gov.br/ccivil_03/constituicao/constituicao.htm" TargetMode="External"/><Relationship Id="rId60" Type="http://schemas.openxmlformats.org/officeDocument/2006/relationships/hyperlink" Target="https://portal.stf.jus.br/hotsites/agenda-2030/index.html" TargetMode="External"/><Relationship Id="rId65" Type="http://schemas.openxmlformats.org/officeDocument/2006/relationships/hyperlink" Target="https://www.planalto.gov.br/ccivil_03/constituicao/constituicao.htm" TargetMode="External"/><Relationship Id="rId81" Type="http://schemas.openxmlformats.org/officeDocument/2006/relationships/hyperlink" Target="https://redir.stf.jus.br/paginadorpub/paginador.jsp?docTP=TP&amp;docID=752156497" TargetMode="External"/><Relationship Id="rId86" Type="http://schemas.openxmlformats.org/officeDocument/2006/relationships/hyperlink" Target="https://portal.stf.jus.br/processos/detalhe.asp?incidente=7271290" TargetMode="Externa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3" Type="http://schemas.openxmlformats.org/officeDocument/2006/relationships/hyperlink" Target="https://portal.stf.jus.br/jurisprudenciaRepercussao/verAndamentoProcesso.asp?incidente=5035916&amp;numeroProcesso=990115&amp;classeProcesso=RE&amp;numeroTema=1113" TargetMode="External"/><Relationship Id="rId18" Type="http://schemas.openxmlformats.org/officeDocument/2006/relationships/hyperlink" Target="https://portal.stf.jus.br/processos/detalhe.asp?incidente=2565571" TargetMode="External"/><Relationship Id="rId39" Type="http://schemas.openxmlformats.org/officeDocument/2006/relationships/hyperlink" Target="https://drive.google.com/file/d/1FsWYmLSgzlBGHMXxHk_Z-iv-T7dSkOzs/view?usp=sharing" TargetMode="External"/><Relationship Id="rId109" Type="http://schemas.openxmlformats.org/officeDocument/2006/relationships/hyperlink" Target="https://redir.stf.jus.br/paginadorpub/paginador.jsp?docTP=TP&amp;docID=761459487" TargetMode="External"/><Relationship Id="rId34" Type="http://schemas.openxmlformats.org/officeDocument/2006/relationships/hyperlink" Target="https://redir.stf.jus.br/paginadorpub/paginador.jsp?docTP=TP&amp;docID=780816975" TargetMode="External"/><Relationship Id="rId50" Type="http://schemas.openxmlformats.org/officeDocument/2006/relationships/hyperlink" Target="https://redir.stf.jus.br/paginadorpub/paginador.jsp?docTP=TP&amp;docID=767421445" TargetMode="External"/><Relationship Id="rId55" Type="http://schemas.openxmlformats.org/officeDocument/2006/relationships/hyperlink" Target="https://portal.stf.jus.br/processos/detalhe.asp?incidente=6333625" TargetMode="External"/><Relationship Id="rId76" Type="http://schemas.openxmlformats.org/officeDocument/2006/relationships/hyperlink" Target="https://legislacao.fazenda.sp.gov.br/Paginas/Decreto-70348-de-2026.aspx" TargetMode="External"/><Relationship Id="rId97" Type="http://schemas.openxmlformats.org/officeDocument/2006/relationships/hyperlink" Target="https://www.planalto.gov.br/ccivil_03/leis/2002/l10604.htm" TargetMode="External"/><Relationship Id="rId104" Type="http://schemas.openxmlformats.org/officeDocument/2006/relationships/hyperlink" Target="https://www3.al.es.gov.br/Arquivo/Documents/legislacao/html/LEI128612026.html" TargetMode="External"/><Relationship Id="rId120"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drive.google.com/file/d/1AKe6nNqmaJbshCoWdF6B3O4TzfdWRVY2/view?usp=sharing" TargetMode="External"/><Relationship Id="rId92" Type="http://schemas.openxmlformats.org/officeDocument/2006/relationships/hyperlink" Target="http://portal.stf.jus.br/hotsites/agenda-2030/index.html" TargetMode="External"/><Relationship Id="rId2" Type="http://schemas.openxmlformats.org/officeDocument/2006/relationships/numbering" Target="numbering.xml"/><Relationship Id="rId29" Type="http://schemas.openxmlformats.org/officeDocument/2006/relationships/hyperlink" Target="https://www.planalto.gov.br/ccivil_03/leis/l8112cons.htm" TargetMode="External"/><Relationship Id="rId24" Type="http://schemas.openxmlformats.org/officeDocument/2006/relationships/hyperlink" Target="http://portal.stf.jus.br/hotsites/agenda-2030/index.html" TargetMode="External"/><Relationship Id="rId40" Type="http://schemas.openxmlformats.org/officeDocument/2006/relationships/hyperlink" Target="http://portal.stf.jus.br/hotsites/agenda-2030/index.html" TargetMode="External"/><Relationship Id="rId45" Type="http://schemas.openxmlformats.org/officeDocument/2006/relationships/hyperlink" Target="https://www.planalto.gov.br/ccivil_03/constituicao/constituicao.htm" TargetMode="External"/><Relationship Id="rId66" Type="http://schemas.openxmlformats.org/officeDocument/2006/relationships/hyperlink" Target="https://www.planalto.gov.br/ccivil_03/leis/2002/l10604.htm" TargetMode="External"/><Relationship Id="rId87" Type="http://schemas.openxmlformats.org/officeDocument/2006/relationships/hyperlink" Target="https://portal.stf.jus.br/processos/detalhe.asp?incidente=7286480" TargetMode="External"/><Relationship Id="rId110" Type="http://schemas.openxmlformats.org/officeDocument/2006/relationships/hyperlink" Target="https://redir.stf.jus.br/paginadorpub/paginador.jsp?docTP=TP&amp;docID=783908256" TargetMode="External"/><Relationship Id="rId115" Type="http://schemas.openxmlformats.org/officeDocument/2006/relationships/hyperlink" Target="https://www.stf.jus.br/arquivo/cms/informativoSTF/anexo/Informativo_Dados/Dados_InformativosSTF.xlsx" TargetMode="External"/><Relationship Id="rId61" Type="http://schemas.openxmlformats.org/officeDocument/2006/relationships/hyperlink" Target="https://portal.stf.jus.br/hotsites/agenda-2030/index.html" TargetMode="External"/><Relationship Id="rId82" Type="http://schemas.openxmlformats.org/officeDocument/2006/relationships/hyperlink" Target="https://redir.stf.jus.br/paginadorpub/paginador.jsp?docTP=AC&amp;docID=189971" TargetMode="External"/><Relationship Id="rId19" Type="http://schemas.openxmlformats.org/officeDocument/2006/relationships/hyperlink" Target="https://portal.stf.jus.br/processos/detalhe.asp?incidente=7501790" TargetMode="External"/><Relationship Id="rId14" Type="http://schemas.openxmlformats.org/officeDocument/2006/relationships/hyperlink" Target="https://portal.stf.jus.br/processos/detalhe.asp?incidente=7271290" TargetMode="External"/><Relationship Id="rId30" Type="http://schemas.openxmlformats.org/officeDocument/2006/relationships/hyperlink" Target="https://www.planalto.gov.br/ccivil_03/leis/lcp/lcp75.htm" TargetMode="External"/><Relationship Id="rId35" Type="http://schemas.openxmlformats.org/officeDocument/2006/relationships/hyperlink" Target="https://www.youtube.com/live/W1P5IKbioes?si=SKzhb9cs2gUO8Xyv&amp;t=9315" TargetMode="External"/><Relationship Id="rId56" Type="http://schemas.openxmlformats.org/officeDocument/2006/relationships/hyperlink" Target="https://portal.stf.jus.br/processos/detalhe.asp?incidente=5035916" TargetMode="External"/><Relationship Id="rId77" Type="http://schemas.openxmlformats.org/officeDocument/2006/relationships/hyperlink" Target="https://www.al.sp.gov.br/repositorio/legislacao/decreto/2000/decreto-45490-30.11.2000.html" TargetMode="External"/><Relationship Id="rId100" Type="http://schemas.openxmlformats.org/officeDocument/2006/relationships/hyperlink" Target="https://portal.stf.jus.br/processos/detalhe.asp?incidente=7501790" TargetMode="External"/><Relationship Id="rId105" Type="http://schemas.openxmlformats.org/officeDocument/2006/relationships/hyperlink" Target="https://www.planalto.gov.br/ccivil_03/constituicao/constituicao.htm" TargetMode="External"/><Relationship Id="rId8" Type="http://schemas.openxmlformats.org/officeDocument/2006/relationships/hyperlink" Target="https://portal.issn.org/resource/ISSN/2675-8210" TargetMode="External"/><Relationship Id="rId51" Type="http://schemas.openxmlformats.org/officeDocument/2006/relationships/hyperlink" Target="https://redir.stf.jus.br/paginadorpub/paginador.jsp?docTP=TP&amp;docID=789438112" TargetMode="External"/><Relationship Id="rId72" Type="http://schemas.openxmlformats.org/officeDocument/2006/relationships/hyperlink" Target="http://portal.stf.jus.br/hotsites/agenda-2030/index.html" TargetMode="External"/><Relationship Id="rId93" Type="http://schemas.openxmlformats.org/officeDocument/2006/relationships/hyperlink" Target="http://portal.stf.jus.br/hotsites/agenda-2030/index.html" TargetMode="External"/><Relationship Id="rId98" Type="http://schemas.openxmlformats.org/officeDocument/2006/relationships/hyperlink" Target="http://www.confaz.fazenda.gov.br/legislacao/convenios/2007/CV060_07" TargetMode="External"/><Relationship Id="rId121" Type="http://schemas.openxmlformats.org/officeDocument/2006/relationships/footer" Target="footer2.xml"/><Relationship Id="rId3" Type="http://schemas.openxmlformats.org/officeDocument/2006/relationships/styles" Target="styles.xml"/><Relationship Id="rId25" Type="http://schemas.openxmlformats.org/officeDocument/2006/relationships/hyperlink" Target="http://portal.stf.jus.br/hotsites/agenda-2030/index.html" TargetMode="External"/><Relationship Id="rId46" Type="http://schemas.openxmlformats.org/officeDocument/2006/relationships/hyperlink" Target="https://www.planalto.gov.br/ccivil_03/constituicao/emendas/emc/emc104.htm" TargetMode="External"/><Relationship Id="rId67" Type="http://schemas.openxmlformats.org/officeDocument/2006/relationships/hyperlink" Target="https://portal.stf.jus.br/processos/detalhe.asp?incidente=7271290" TargetMode="External"/><Relationship Id="rId116" Type="http://schemas.openxmlformats.org/officeDocument/2006/relationships/hyperlink" Target="https://portal.stf.jus.br/textos/verTexto.asp?servico=codi&amp;pagina=Plenario_Virtual" TargetMode="External"/><Relationship Id="rId20" Type="http://schemas.openxmlformats.org/officeDocument/2006/relationships/hyperlink" Target="https://portal.stf.jus.br/processos/detalhe.asp?incidente=6775231" TargetMode="External"/><Relationship Id="rId41" Type="http://schemas.openxmlformats.org/officeDocument/2006/relationships/hyperlink" Target="http://portal.stf.jus.br/hotsites/agenda-2030/index.html" TargetMode="External"/><Relationship Id="rId62" Type="http://schemas.openxmlformats.org/officeDocument/2006/relationships/hyperlink" Target="https://portal.stf.jus.br/jurisprudenciaRepercussao/verAndamentoProcesso.asp?incidente=5035916&amp;numeroProcesso=990115&amp;classeProcesso=RE&amp;numeroTema=1113" TargetMode="External"/><Relationship Id="rId83" Type="http://schemas.openxmlformats.org/officeDocument/2006/relationships/hyperlink" Target="https://redir.stf.jus.br/paginadorpub/paginador.jsp?docTP=AC&amp;docID=627723" TargetMode="External"/><Relationship Id="rId88" Type="http://schemas.openxmlformats.org/officeDocument/2006/relationships/hyperlink" Target="https://www.youtube.com/live/QY4T9D78z1I?si=jdG4A0Do1vAfhv61&amp;t=152" TargetMode="External"/><Relationship Id="rId111" Type="http://schemas.openxmlformats.org/officeDocument/2006/relationships/hyperlink" Target="https://www.planalto.gov.br/ccivil_03/constituicao/constituicao.htm" TargetMode="External"/><Relationship Id="rId15" Type="http://schemas.openxmlformats.org/officeDocument/2006/relationships/hyperlink" Target="https://portal.stf.jus.br/processos/detalhe.asp?incidente=7286480" TargetMode="External"/><Relationship Id="rId36" Type="http://schemas.openxmlformats.org/officeDocument/2006/relationships/image" Target="media/image2.png"/><Relationship Id="rId57" Type="http://schemas.openxmlformats.org/officeDocument/2006/relationships/hyperlink" Target="https://portal.stf.jus.br/jurisprudenciaRepercussao/verAndamentoProcesso.asp?incidente=5035916&amp;numeroProcesso=990115&amp;classeProcesso=RE&amp;numeroTema=1113" TargetMode="External"/><Relationship Id="rId106" Type="http://schemas.openxmlformats.org/officeDocument/2006/relationships/hyperlink" Target="https://redir.stf.jus.br/paginadorpub/paginador.jsp?docTP=TP&amp;docID=751060053" TargetMode="External"/><Relationship Id="rId10" Type="http://schemas.openxmlformats.org/officeDocument/2006/relationships/hyperlink" Target="https://portal.stf.jus.br/processos/detalhe.asp?incidente=6775231" TargetMode="External"/><Relationship Id="rId31" Type="http://schemas.openxmlformats.org/officeDocument/2006/relationships/hyperlink" Target="https://www.planalto.gov.br/ccivil_03/_ato2015-2018/2015/lei/l13109.htm" TargetMode="External"/><Relationship Id="rId52" Type="http://schemas.openxmlformats.org/officeDocument/2006/relationships/hyperlink" Target="https://legisla.casacivil.go.gov.br/api/v2/pesquisa/legislacoes/103634/pdf" TargetMode="External"/><Relationship Id="rId73" Type="http://schemas.openxmlformats.org/officeDocument/2006/relationships/hyperlink" Target="http://portal.stf.jus.br/hotsites/agenda-2030/index.html" TargetMode="External"/><Relationship Id="rId78" Type="http://schemas.openxmlformats.org/officeDocument/2006/relationships/hyperlink" Target="https://legislacao.fazenda.sp.gov.br/Paginas/Decreto-67383-de-2022.aspx" TargetMode="External"/><Relationship Id="rId94" Type="http://schemas.openxmlformats.org/officeDocument/2006/relationships/hyperlink" Target="http://portal.stf.jus.br/hotsites/agenda-2030/index.html" TargetMode="External"/><Relationship Id="rId99" Type="http://schemas.openxmlformats.org/officeDocument/2006/relationships/hyperlink" Target="https://portal.stf.jus.br/processos/detalhe.asp?incidente=2565571" TargetMode="External"/><Relationship Id="rId101" Type="http://schemas.openxmlformats.org/officeDocument/2006/relationships/hyperlink" Target="https://drive.google.com/file/d/1tZf5lGUWs13o4lYMSZMAmUzztkLkTIsI/view?usp=sharing" TargetMode="External"/><Relationship Id="rId1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14</Pages>
  <Words>6587</Words>
  <Characters>37352</Characters>
  <Application>Microsoft Office Word</Application>
  <DocSecurity>0</DocSecurity>
  <Lines>691</Lines>
  <Paragraphs>221</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43718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Anna Daniela de Araujo Martins dos Santos</cp:lastModifiedBy>
  <cp:revision>37</cp:revision>
  <cp:lastPrinted>2016-10-21T18:20:00Z</cp:lastPrinted>
  <dcterms:created xsi:type="dcterms:W3CDTF">2026-10-01T20:52:00Z</dcterms:created>
  <dcterms:modified xsi:type="dcterms:W3CDTF">2026-10-05T19:54:00Z</dcterms:modified>
</cp:coreProperties>
</file>