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b94a9hloa85v" w:id="0"/>
      <w:bookmarkEnd w:id="0"/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 the objectives and approach for testing.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Outline the boundaries of testing activities.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: List relevant documents such as requirement specifications.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Objectives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 key goals for testing efforts.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 Scope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In-Scope</w:t>
      </w:r>
      <w:r w:rsidDel="00000000" w:rsidR="00000000" w:rsidRPr="00000000">
        <w:rPr>
          <w:rtl w:val="0"/>
        </w:rPr>
        <w:t xml:space="preserve">: List features and functionalities covered in testing.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Out-of-Scope</w:t>
      </w:r>
      <w:r w:rsidDel="00000000" w:rsidR="00000000" w:rsidRPr="00000000">
        <w:rPr>
          <w:rtl w:val="0"/>
        </w:rPr>
        <w:t xml:space="preserve">: Mention exclusions from testing.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Approach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Outline testing methodologies, techniques, and levels.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 Environment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Describe hardware, software, and configurations needed.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 Deliverables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 expected documents and reports from testing.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 Tools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Specify tools used for test management, automation, and reporting.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Defect Management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 defect lifecycle and tracking process.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Risks and Mitigation Plan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Identify potential risks and mitigation strategies.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Approval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 stakeholders responsible for approving the test strategy.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23.2" w:top="1123.2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