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al-management"/>
    <w:p>
      <w:pPr>
        <w:pStyle w:val="Heading1"/>
      </w:pPr>
      <w:r>
        <w:t xml:space="preserve">Deal management</w:t>
      </w:r>
    </w:p>
    <w:p>
      <w:pPr>
        <w:numPr>
          <w:ilvl w:val="0"/>
          <w:numId w:val="1001"/>
        </w:numPr>
      </w:pPr>
      <w:r>
        <w:t xml:space="preserve">:material-format-paint:{ .lg .middle }</w:t>
      </w:r>
      <w:r>
        <w:t xml:space="preserve"> </w:t>
      </w:r>
      <w:r>
        <w:rPr>
          <w:b/>
          <w:bCs/>
        </w:rPr>
        <w:t xml:space="preserve">Understanding deal management</w:t>
      </w:r>
    </w:p>
    <w:p>
      <w:r>
        <w:pict>
          <v:rect style="width:0;height:1.5pt" o:hralign="center" o:hrstd="t" o:hr="t"/>
        </w:pict>
      </w:r>
    </w:p>
    <w:p>
      <w:pPr>
        <w:numPr>
          <w:ilvl w:val="0"/>
          <w:numId w:val="1000"/>
        </w:numPr>
      </w:pPr>
      <w:r>
        <w:t xml:space="preserve">Learn more about how nGenue streamlines deal management in the natural gas industry. This guide covers the entire deal lifecycle, including contract setup, pricing structures, volume commitments, and tracking, ensuring accuracy and efficiency in deal execution.</w:t>
      </w:r>
    </w:p>
    <w:p>
      <w:pPr>
        <w:numPr>
          <w:ilvl w:val="0"/>
          <w:numId w:val="1000"/>
        </w:numPr>
      </w:pPr>
      <w:hyperlink r:id="rId20">
        <w:r>
          <w:rPr>
            <w:rStyle w:val="Hyperlink"/>
          </w:rPr>
          <w:t xml:space="preserve">:octicons-arrow-right-24: Know more</w:t>
        </w:r>
      </w:hyperlink>
    </w:p>
    <w:p>
      <w:pPr>
        <w:numPr>
          <w:ilvl w:val="0"/>
          <w:numId w:val="1001"/>
        </w:numPr>
      </w:pPr>
      <w:r>
        <w:t xml:space="preserve">:material-format-paint:{ .lg .middle }</w:t>
      </w:r>
      <w:r>
        <w:t xml:space="preserve"> </w:t>
      </w:r>
      <w:r>
        <w:rPr>
          <w:b/>
          <w:bCs/>
        </w:rPr>
        <w:t xml:space="preserve">Configure a deal</w:t>
      </w:r>
    </w:p>
    <w:p>
      <w:r>
        <w:pict>
          <v:rect style="width:0;height:1.5pt" o:hralign="center" o:hrstd="t" o:hr="t"/>
        </w:pict>
      </w:r>
    </w:p>
    <w:p>
      <w:pPr>
        <w:numPr>
          <w:ilvl w:val="0"/>
          <w:numId w:val="1000"/>
        </w:numPr>
      </w:pPr>
      <w:r>
        <w:t xml:space="preserve">Learn more about how to configure a deal in nGenue, from defining contract details and pricing mechanisms to managing volume allocations.</w:t>
      </w:r>
    </w:p>
    <w:p>
      <w:pPr>
        <w:numPr>
          <w:ilvl w:val="0"/>
          <w:numId w:val="1000"/>
        </w:numPr>
      </w:pPr>
      <w:hyperlink r:id="rId21">
        <w:r>
          <w:rPr>
            <w:rStyle w:val="Hyperlink"/>
          </w:rPr>
          <w:t xml:space="preserve">:octicons-arrow-right-24: Know more</w:t>
        </w:r>
      </w:hyperlink>
    </w:p>
    <w:p>
      <w:pPr>
        <w:numPr>
          <w:ilvl w:val="0"/>
          <w:numId w:val="1001"/>
        </w:numPr>
      </w:pPr>
      <w:r>
        <w:t xml:space="preserve">:material-format-paint:{ .lg .middle }</w:t>
      </w:r>
      <w:r>
        <w:t xml:space="preserve"> </w:t>
      </w:r>
      <w:r>
        <w:rPr>
          <w:b/>
          <w:bCs/>
        </w:rPr>
        <w:t xml:space="preserve">Nominations</w:t>
      </w:r>
    </w:p>
    <w:p>
      <w:r>
        <w:pict>
          <v:rect style="width:0;height:1.5pt" o:hralign="center" o:hrstd="t" o:hr="t"/>
        </w:pict>
      </w:r>
    </w:p>
    <w:p>
      <w:pPr>
        <w:numPr>
          <w:ilvl w:val="0"/>
          <w:numId w:val="1000"/>
        </w:numPr>
      </w:pPr>
      <w:r>
        <w:t xml:space="preserve">Learn more about how nGenue simplifies the nomination process, allowing users to submit, schedule, and track nominations efficiently.</w:t>
      </w:r>
    </w:p>
    <w:p>
      <w:pPr>
        <w:numPr>
          <w:ilvl w:val="0"/>
          <w:numId w:val="1000"/>
        </w:numPr>
      </w:pPr>
      <w:hyperlink r:id="rId22">
        <w:r>
          <w:rPr>
            <w:rStyle w:val="Hyperlink"/>
          </w:rPr>
          <w:t xml:space="preserve">:octicons-arrow-right-24: Know more</w:t>
        </w:r>
      </w:hyperlink>
    </w:p>
    <w:p>
      <w:pPr>
        <w:numPr>
          <w:ilvl w:val="0"/>
          <w:numId w:val="1001"/>
        </w:numPr>
      </w:pPr>
      <w:r>
        <w:t xml:space="preserve">:material-format-paint:{ .lg .middle }</w:t>
      </w:r>
      <w:r>
        <w:t xml:space="preserve"> </w:t>
      </w:r>
      <w:r>
        <w:rPr>
          <w:b/>
          <w:bCs/>
        </w:rPr>
        <w:t xml:space="preserve">Settlements</w:t>
      </w:r>
    </w:p>
    <w:p>
      <w:r>
        <w:pict>
          <v:rect style="width:0;height:1.5pt" o:hralign="center" o:hrstd="t" o:hr="t"/>
        </w:pict>
      </w:r>
    </w:p>
    <w:p>
      <w:pPr>
        <w:numPr>
          <w:ilvl w:val="0"/>
          <w:numId w:val="1000"/>
        </w:numPr>
      </w:pPr>
      <w:r>
        <w:t xml:space="preserve">Learn more about how nGenue automates and optimizes the settlement process. This guide details how transactions are reconciled, charges and imbalances are calculated, and invoices are generated, ensuring transparency and accuracy in financial settlements.</w:t>
      </w:r>
    </w:p>
    <w:p>
      <w:pPr>
        <w:numPr>
          <w:ilvl w:val="0"/>
          <w:numId w:val="1000"/>
        </w:numPr>
      </w:pPr>
      <w:hyperlink r:id="rId23">
        <w:r>
          <w:rPr>
            <w:rStyle w:val="Hyperlink"/>
          </w:rPr>
          <w:t xml:space="preserve">:octicons-arrow-right-24: Know more</w:t>
        </w:r>
      </w:hyperlink>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etrm/nominations.md" TargetMode="External" /><Relationship Type="http://schemas.openxmlformats.org/officeDocument/2006/relationships/hyperlink" Id="rId23" Target="../etrm/settlements.md" TargetMode="External" /><Relationship Type="http://schemas.openxmlformats.org/officeDocument/2006/relationships/hyperlink" Id="rId21" Target="./create_deal.md" TargetMode="External" /><Relationship Type="http://schemas.openxmlformats.org/officeDocument/2006/relationships/hyperlink" Id="rId20" Target="./overview.md" TargetMode="External" /></Relationships>
</file>

<file path=word/_rels/footnotes.xml.rels><?xml version="1.0" encoding="UTF-8"?><Relationships xmlns="http://schemas.openxmlformats.org/package/2006/relationships"><Relationship Type="http://schemas.openxmlformats.org/officeDocument/2006/relationships/hyperlink" Id="rId22" Target="../etrm/nominations.md" TargetMode="External" /><Relationship Type="http://schemas.openxmlformats.org/officeDocument/2006/relationships/hyperlink" Id="rId23" Target="../etrm/settlements.md" TargetMode="External" /><Relationship Type="http://schemas.openxmlformats.org/officeDocument/2006/relationships/hyperlink" Id="rId21" Target="./create_deal.md" TargetMode="External" /><Relationship Type="http://schemas.openxmlformats.org/officeDocument/2006/relationships/hyperlink" Id="rId20" Target="./overview.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2025-02-13T06:08:14Z</dcterms:created>
  <dcterms:modified xsi:type="dcterms:W3CDTF">2025-02-13T06:08:14Z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
    <vt:lpwstr/>
  </property>
</Properties>
</file>