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understanding-inventory-valuations"/>
    <w:p>
      <w:pPr>
        <w:pStyle w:val="Heading1"/>
      </w:pPr>
      <w:r>
        <w:t xml:space="preserve">Understanding inventory valuations</w:t>
      </w:r>
    </w:p>
    <w:p>
      <w:pPr>
        <w:pStyle w:val="FirstParagraph"/>
      </w:pPr>
      <w:r>
        <w:t xml:space="preserve">The inventory valuations section provides an overview of the inventory valuation configuration and the key fields available within the module. The configuration process includes defining and customizing views based on various business and storage criteria, which will be displayed in two major views:</w:t>
      </w:r>
      <w:r>
        <w:t xml:space="preserve"> </w:t>
      </w:r>
      <w:r>
        <w:rPr>
          <w:b/>
          <w:bCs/>
        </w:rPr>
        <w:t xml:space="preserve">Summary View</w:t>
      </w:r>
      <w:r>
        <w:t xml:space="preserve"> </w:t>
      </w:r>
      <w:r>
        <w:t xml:space="preserve">and</w:t>
      </w:r>
      <w:r>
        <w:t xml:space="preserve"> </w:t>
      </w:r>
      <w:r>
        <w:rPr>
          <w:b/>
          <w:bCs/>
        </w:rPr>
        <w:t xml:space="preserve">Detail View</w:t>
      </w:r>
      <w:r>
        <w:t xml:space="preserve">.</w:t>
      </w:r>
    </w:p>
    <w:bookmarkStart w:id="23" w:name="prerequisites"/>
    <w:p>
      <w:pPr>
        <w:pStyle w:val="Heading2"/>
      </w:pPr>
      <w:r>
        <w:t xml:space="preserve">Prerequisites</w:t>
      </w:r>
    </w:p>
    <w:p>
      <w:pPr>
        <w:pStyle w:val="FirstParagraph"/>
      </w:pPr>
      <w:r>
        <w:t xml:space="preserve">Before configuring the inventory Valuation, ensure the following:</w:t>
      </w:r>
    </w:p>
    <w:p>
      <w:pPr>
        <w:pStyle w:val="Compact"/>
        <w:numPr>
          <w:ilvl w:val="0"/>
          <w:numId w:val="1001"/>
        </w:numPr>
      </w:pPr>
      <w:r>
        <w:rPr>
          <w:b/>
          <w:bCs/>
        </w:rPr>
        <w:t xml:space="preserve">Pipeline contracts</w:t>
      </w:r>
      <w:r>
        <w:t xml:space="preserve"> </w:t>
      </w:r>
      <w:r>
        <w:t xml:space="preserve">are properly set up in the system.</w:t>
      </w:r>
    </w:p>
    <w:p>
      <w:pPr>
        <w:pStyle w:val="Compact"/>
        <w:numPr>
          <w:ilvl w:val="0"/>
          <w:numId w:val="1001"/>
        </w:numPr>
      </w:pPr>
      <w:r>
        <w:rPr>
          <w:b/>
          <w:bCs/>
        </w:rPr>
        <w:t xml:space="preserve">Storage volumes tab</w:t>
      </w:r>
      <w:r>
        <w:t xml:space="preserve"> </w:t>
      </w:r>
      <w:r>
        <w:t xml:space="preserve">is configured in the</w:t>
      </w:r>
      <w:r>
        <w:t xml:space="preserve"> </w:t>
      </w:r>
      <w:r>
        <w:rPr>
          <w:b/>
          <w:bCs/>
        </w:rPr>
        <w:t xml:space="preserve">Pipeline contract</w:t>
      </w:r>
      <w:r>
        <w:t xml:space="preserve"> </w:t>
      </w:r>
      <w:r>
        <w:t xml:space="preserve">screen.</w:t>
      </w:r>
    </w:p>
    <w:p>
      <w:pPr>
        <w:pStyle w:val="Compact"/>
        <w:numPr>
          <w:ilvl w:val="0"/>
          <w:numId w:val="1001"/>
        </w:numPr>
      </w:pPr>
      <w:hyperlink r:id="rId20">
        <w:r>
          <w:rPr>
            <w:rStyle w:val="Hyperlink"/>
            <w:b/>
            <w:bCs/>
          </w:rPr>
          <w:t xml:space="preserve">PZL configuration</w:t>
        </w:r>
      </w:hyperlink>
      <w:r>
        <w:t xml:space="preserve"> </w:t>
      </w:r>
      <w:r>
        <w:t xml:space="preserve">(Location and Zone) is complete.</w:t>
      </w:r>
    </w:p>
    <w:bookmarkStart w:id="22" w:name="process-steps"/>
    <w:p>
      <w:pPr>
        <w:pStyle w:val="Heading3"/>
      </w:pPr>
      <w:r>
        <w:t xml:space="preserve">Process Steps</w:t>
      </w:r>
    </w:p>
    <w:bookmarkStart w:id="21" w:name="X789c7170b473b43f9aa4884209daaa761c250d9"/>
    <w:p>
      <w:pPr>
        <w:pStyle w:val="Heading4"/>
      </w:pPr>
      <w:r>
        <w:t xml:space="preserve">Step 1: Navigate to the Internal inventory valuation screens</w:t>
      </w:r>
    </w:p>
    <w:p>
      <w:pPr>
        <w:pStyle w:val="Compact"/>
        <w:numPr>
          <w:ilvl w:val="0"/>
          <w:numId w:val="1002"/>
        </w:numPr>
      </w:pPr>
      <w:r>
        <w:t xml:space="preserve">Log in to the</w:t>
      </w:r>
      <w:r>
        <w:t xml:space="preserve"> </w:t>
      </w:r>
      <w:r>
        <w:rPr>
          <w:b/>
          <w:bCs/>
        </w:rPr>
        <w:t xml:space="preserve">nGenue</w:t>
      </w:r>
      <w:r>
        <w:t xml:space="preserve"> </w:t>
      </w:r>
      <w:r>
        <w:t xml:space="preserve">application.</w:t>
      </w:r>
    </w:p>
    <w:p>
      <w:pPr>
        <w:pStyle w:val="Compact"/>
        <w:numPr>
          <w:ilvl w:val="0"/>
          <w:numId w:val="1002"/>
        </w:numPr>
      </w:pPr>
      <w:r>
        <w:t xml:space="preserve">Click the</w:t>
      </w:r>
      <w:r>
        <w:t xml:space="preserve"> </w:t>
      </w:r>
      <w:r>
        <w:rPr>
          <w:b/>
          <w:bCs/>
        </w:rPr>
        <w:t xml:space="preserve">Search</w:t>
      </w:r>
      <w:r>
        <w:t xml:space="preserve"> </w:t>
      </w:r>
      <w:r>
        <w:t xml:space="preserve">icon and enter</w:t>
      </w:r>
      <w:r>
        <w:t xml:space="preserve"> </w:t>
      </w:r>
      <w:r>
        <w:rPr>
          <w:i/>
          <w:iCs/>
        </w:rPr>
        <w:t xml:space="preserve">Inventory valuation</w:t>
      </w:r>
      <w:r>
        <w:t xml:space="preserve"> </w:t>
      </w:r>
      <w:r>
        <w:t xml:space="preserve">in the search bar.</w:t>
      </w:r>
    </w:p>
    <w:p>
      <w:pPr>
        <w:pStyle w:val="Compact"/>
        <w:numPr>
          <w:ilvl w:val="0"/>
          <w:numId w:val="1002"/>
        </w:numPr>
      </w:pPr>
      <w:r>
        <w:t xml:space="preserve">Double-click</w:t>
      </w:r>
      <w:r>
        <w:t xml:space="preserve"> </w:t>
      </w:r>
      <w:r>
        <w:rPr>
          <w:b/>
          <w:bCs/>
        </w:rPr>
        <w:t xml:space="preserve">Inventory valuation</w:t>
      </w:r>
      <w:r>
        <w:t xml:space="preserve"> </w:t>
      </w:r>
      <w:r>
        <w:t xml:space="preserve">to open the respective screen.</w:t>
      </w:r>
      <w:r>
        <w:t xml:space="preserve"> </w:t>
      </w:r>
      <w:r>
        <w:t xml:space="preserve">inventory_valuation</w:t>
      </w:r>
    </w:p>
    <w:p>
      <w:pPr>
        <w:pStyle w:val="Compact"/>
        <w:numPr>
          <w:ilvl w:val="0"/>
          <w:numId w:val="1002"/>
        </w:numPr>
      </w:pPr>
      <w:r>
        <w:t xml:space="preserve">The next screen is divided into two sections:</w:t>
      </w:r>
      <w:r>
        <w:t xml:space="preserve"> </w:t>
      </w:r>
      <w:r>
        <w:rPr>
          <w:b/>
          <w:bCs/>
        </w:rPr>
        <w:t xml:space="preserve">Query and settings</w:t>
      </w:r>
      <w:r>
        <w:t xml:space="preserve"> </w:t>
      </w:r>
      <w:r>
        <w:t xml:space="preserve">and</w:t>
      </w:r>
      <w:r>
        <w:t xml:space="preserve"> </w:t>
      </w:r>
      <w:r>
        <w:rPr>
          <w:b/>
          <w:bCs/>
        </w:rPr>
        <w:t xml:space="preserve">Inventory valuation data</w:t>
      </w:r>
      <w:r>
        <w:t xml:space="preserve"> </w:t>
      </w:r>
      <w:r>
        <w:t xml:space="preserve">inventory_screen</w:t>
      </w:r>
    </w:p>
    <w:p>
      <w:pPr>
        <w:pStyle w:val="FirstParagraph"/>
      </w:pPr>
      <w:r>
        <w:rPr>
          <w:b/>
          <w:bCs/>
        </w:rPr>
        <w:t xml:space="preserve">Query and settings</w:t>
      </w:r>
    </w:p>
    <w:p>
      <w:pPr>
        <w:pStyle w:val="BodyText"/>
      </w:pPr>
      <w:r>
        <w:t xml:space="preserve">This section allows users to apply filters and refine data to display only the relevant inventory valuation records. These filters help in narrowing down data for specific transactions, locations, or business entities.</w:t>
      </w:r>
      <w:r>
        <w:t xml:space="preserve"> </w:t>
      </w:r>
      <w:r>
        <w:t xml:space="preserve">Query_settings</w:t>
      </w:r>
    </w:p>
    <w:p>
      <w:pPr>
        <w:pStyle w:val="BodyText"/>
      </w:pPr>
      <w:r>
        <w:t xml:space="preserve">Below are the field available in the</w:t>
      </w:r>
      <w:r>
        <w:t xml:space="preserve"> </w:t>
      </w:r>
      <w:r>
        <w:rPr>
          <w:b/>
          <w:bCs/>
        </w:rPr>
        <w:t xml:space="preserve">Query and settings</w:t>
      </w:r>
      <w:r>
        <w:t xml:space="preserve"> </w:t>
      </w:r>
      <w:r>
        <w:t xml:space="preserve">screen: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Pipeline</w:t>
            </w:r>
          </w:p>
        </w:tc>
        <w:tc>
          <w:tcPr/>
          <w:p>
            <w:pPr>
              <w:pStyle w:val="Compact"/>
            </w:pPr>
            <w:r>
              <w:t xml:space="preserve">Identifies the pipeline associated with transactions.</w:t>
            </w:r>
          </w:p>
        </w:tc>
      </w:tr>
      <w:tr>
        <w:tc>
          <w:tcPr/>
          <w:p>
            <w:pPr>
              <w:pStyle w:val="Compact"/>
            </w:pPr>
            <w:r>
              <w:t xml:space="preserve">Zone</w:t>
            </w:r>
          </w:p>
        </w:tc>
        <w:tc>
          <w:tcPr/>
          <w:p>
            <w:pPr>
              <w:pStyle w:val="Compact"/>
            </w:pPr>
            <w:r>
              <w:t xml:space="preserve">Filters data based on Zone.</w:t>
            </w:r>
          </w:p>
        </w:tc>
      </w:tr>
      <w:tr>
        <w:tc>
          <w:tcPr/>
          <w:p>
            <w:pPr>
              <w:pStyle w:val="Compact"/>
            </w:pPr>
            <w:r>
              <w:t xml:space="preserve">Location</w:t>
            </w:r>
          </w:p>
        </w:tc>
        <w:tc>
          <w:tcPr/>
          <w:p>
            <w:pPr>
              <w:pStyle w:val="Compact"/>
            </w:pPr>
            <w:r>
              <w:t xml:space="preserve">Filters based on location.</w:t>
            </w:r>
          </w:p>
        </w:tc>
      </w:tr>
      <w:tr>
        <w:tc>
          <w:tcPr/>
          <w:p>
            <w:pPr>
              <w:pStyle w:val="Compact"/>
            </w:pPr>
            <w:r>
              <w:t xml:space="preserve">External legal entity</w:t>
            </w:r>
          </w:p>
        </w:tc>
        <w:tc>
          <w:tcPr/>
          <w:p>
            <w:pPr>
              <w:pStyle w:val="Compact"/>
            </w:pPr>
            <w:r>
              <w:t xml:space="preserve">Represents the external legal entity for the deal and storage contract.</w:t>
            </w:r>
          </w:p>
        </w:tc>
      </w:tr>
      <w:tr>
        <w:tc>
          <w:tcPr/>
          <w:p>
            <w:pPr>
              <w:pStyle w:val="Compact"/>
            </w:pPr>
            <w:r>
              <w:t xml:space="preserve">Internal legal entity</w:t>
            </w:r>
          </w:p>
        </w:tc>
        <w:tc>
          <w:tcPr/>
          <w:p>
            <w:pPr>
              <w:pStyle w:val="Compact"/>
            </w:pPr>
            <w:r>
              <w:t xml:space="preserve">Represents the internal legal entity for the deal and storage contract.</w:t>
            </w:r>
          </w:p>
        </w:tc>
      </w:tr>
      <w:tr>
        <w:tc>
          <w:tcPr/>
          <w:p>
            <w:pPr>
              <w:pStyle w:val="Compact"/>
            </w:pPr>
            <w:r>
              <w:t xml:space="preserve">External business unit</w:t>
            </w:r>
          </w:p>
        </w:tc>
        <w:tc>
          <w:tcPr/>
          <w:p>
            <w:pPr>
              <w:pStyle w:val="Compact"/>
            </w:pPr>
            <w:r>
              <w:t xml:space="preserve">The external business unit handling the deal.</w:t>
            </w:r>
          </w:p>
        </w:tc>
      </w:tr>
      <w:tr>
        <w:tc>
          <w:tcPr/>
          <w:p>
            <w:pPr>
              <w:pStyle w:val="Compact"/>
            </w:pPr>
            <w:r>
              <w:t xml:space="preserve">Internal business unit</w:t>
            </w:r>
          </w:p>
        </w:tc>
        <w:tc>
          <w:tcPr/>
          <w:p>
            <w:pPr>
              <w:pStyle w:val="Compact"/>
            </w:pPr>
            <w:r>
              <w:t xml:space="preserve">The internal business unit handling the deal.</w:t>
            </w:r>
          </w:p>
        </w:tc>
      </w:tr>
      <w:tr>
        <w:tc>
          <w:tcPr/>
          <w:p>
            <w:pPr>
              <w:pStyle w:val="Compact"/>
            </w:pPr>
            <w:r>
              <w:t xml:space="preserve">Storage contract</w:t>
            </w:r>
          </w:p>
        </w:tc>
        <w:tc>
          <w:tcPr/>
          <w:p>
            <w:pPr>
              <w:pStyle w:val="Compact"/>
            </w:pPr>
            <w:r>
              <w:t xml:space="preserve">Filters by associated storage contracts.</w:t>
            </w:r>
          </w:p>
        </w:tc>
      </w:tr>
      <w:tr>
        <w:tc>
          <w:tcPr/>
          <w:p>
            <w:pPr>
              <w:pStyle w:val="Compact"/>
            </w:pPr>
            <w:r>
              <w:t xml:space="preserve">Storage contract group</w:t>
            </w:r>
          </w:p>
        </w:tc>
        <w:tc>
          <w:tcPr/>
          <w:p>
            <w:pPr>
              <w:pStyle w:val="Compact"/>
            </w:pPr>
            <w:r>
              <w:t xml:space="preserve">Groups storage contracts together.</w:t>
            </w:r>
          </w:p>
        </w:tc>
      </w:tr>
    </w:tbl>
    <w:p>
      <w:pPr>
        <w:pStyle w:val="BodyText"/>
      </w:pPr>
      <w:r>
        <w:t xml:space="preserve">After clicking</w:t>
      </w:r>
      <w:r>
        <w:t xml:space="preserve"> </w:t>
      </w:r>
      <w:r>
        <w:rPr>
          <w:b/>
          <w:bCs/>
        </w:rPr>
        <w:t xml:space="preserve">Load storage contracts</w:t>
      </w:r>
      <w:r>
        <w:t xml:space="preserve">, the relevant data will be displayed.</w:t>
      </w:r>
    </w:p>
    <w:p>
      <w:pPr>
        <w:pStyle w:val="BodyText"/>
      </w:pPr>
      <w:r>
        <w:rPr>
          <w:b/>
          <w:bCs/>
        </w:rPr>
        <w:t xml:space="preserve">Inventory valuation data</w:t>
      </w:r>
    </w:p>
    <w:p>
      <w:pPr>
        <w:pStyle w:val="BodyText"/>
      </w:pPr>
      <w:r>
        <w:t xml:space="preserve">Once the filters in</w:t>
      </w:r>
      <w:r>
        <w:t xml:space="preserve"> </w:t>
      </w:r>
      <w:r>
        <w:rPr>
          <w:b/>
          <w:bCs/>
        </w:rPr>
        <w:t xml:space="preserve">Query and Settings</w:t>
      </w:r>
      <w:r>
        <w:t xml:space="preserve"> </w:t>
      </w:r>
      <w:r>
        <w:t xml:space="preserve">are applied, the</w:t>
      </w:r>
      <w:r>
        <w:t xml:space="preserve"> </w:t>
      </w:r>
      <w:r>
        <w:rPr>
          <w:b/>
          <w:bCs/>
        </w:rPr>
        <w:t xml:space="preserve">Inventory valuation Data</w:t>
      </w:r>
      <w:r>
        <w:t xml:space="preserve"> </w:t>
      </w:r>
      <w:r>
        <w:t xml:space="preserve">section presents the relevant data. This section is divided into two key tabs:</w:t>
      </w:r>
      <w:r>
        <w:t xml:space="preserve"> </w:t>
      </w:r>
      <w:r>
        <w:rPr>
          <w:b/>
          <w:bCs/>
        </w:rPr>
        <w:t xml:space="preserve">Summary view</w:t>
      </w:r>
      <w:r>
        <w:t xml:space="preserve"> </w:t>
      </w:r>
      <w:r>
        <w:t xml:space="preserve">and</w:t>
      </w:r>
      <w:r>
        <w:t xml:space="preserve"> </w:t>
      </w:r>
      <w:r>
        <w:rPr>
          <w:b/>
          <w:bCs/>
        </w:rPr>
        <w:t xml:space="preserve">Detail view</w:t>
      </w:r>
    </w:p>
    <w:p>
      <w:pPr>
        <w:pStyle w:val="BodyText"/>
      </w:pPr>
      <w:r>
        <w:rPr>
          <w:b/>
          <w:bCs/>
        </w:rPr>
        <w:t xml:space="preserve">Summary View</w:t>
      </w:r>
    </w:p>
    <w:p>
      <w:pPr>
        <w:pStyle w:val="BodyText"/>
      </w:pPr>
      <w:r>
        <w:t xml:space="preserve">This tab provides a high-level overview of inventory valuation, giving a snapshot of essential financial and volume-related data. This tab is useful for quick analysis and reporting.</w:t>
      </w:r>
    </w:p>
    <w:tbl>
      <w:tblPr>
        <w:tblStyle w:val="FigureTable"/>
        <w:tblW w:type="auto" w:w="0"/>
        <w:jc w:val="center"/>
        <w:tblLook w:firstRow="0" w:lastRow="0" w:firstColumn="0" w:lastColumn="0"/>
      </w:tblPr>
      <w:tblGrid>
        <w:gridCol w:w="7920"/>
      </w:tblGrid>
      <w:tr>
        <w:tc>
          <w:tcPr/>
          <w:p>
            <w:pPr>
              <w:pStyle w:val="Compact"/>
              <w:jc w:val="center"/>
            </w:pPr>
            <w:r>
              <w:t xml:space="preserve">Query_settings</w:t>
            </w:r>
          </w:p>
        </w:tc>
      </w:tr>
    </w:tbl>
    <w:p>
      <w:pPr>
        <w:pStyle w:val="ImageCaption"/>
      </w:pPr>
      <w:r>
        <w:t xml:space="preserve">Query_settings</w:t>
      </w:r>
    </w:p>
    <w:p>
      <w:pPr>
        <w:pStyle w:val="BodyText"/>
      </w:pPr>
      <w:r>
        <w:t xml:space="preserve">Below are the field available in the</w:t>
      </w:r>
      <w:r>
        <w:t xml:space="preserve"> </w:t>
      </w:r>
      <w:r>
        <w:rPr>
          <w:b/>
          <w:bCs/>
        </w:rPr>
        <w:t xml:space="preserve">Summary view</w:t>
      </w:r>
      <w:r>
        <w:t xml:space="preserve"> </w:t>
      </w:r>
      <w:r>
        <w:t xml:space="preserve">tab:</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Actual COG (Cost of gas)</w:t>
            </w:r>
          </w:p>
        </w:tc>
        <w:tc>
          <w:tcPr/>
          <w:p>
            <w:pPr>
              <w:pStyle w:val="Compact"/>
            </w:pPr>
            <w:r>
              <w:t xml:space="preserve">Includes the cost incurred to produce, transport, and deliver gas, including:</w:t>
            </w:r>
            <w:r>
              <w:t xml:space="preserve"> </w:t>
            </w:r>
            <w:r>
              <w:t xml:space="preserve"> </w:t>
            </w:r>
            <w:r>
              <w:t xml:space="preserve">1. Production costs</w:t>
            </w:r>
            <w:r>
              <w:t xml:space="preserve"> </w:t>
            </w:r>
            <w:r>
              <w:t xml:space="preserve"> </w:t>
            </w:r>
            <w:r>
              <w:t xml:space="preserve">2. Transportation costs</w:t>
            </w:r>
            <w:r>
              <w:t xml:space="preserve"> </w:t>
            </w:r>
            <w:r>
              <w:t xml:space="preserve"> </w:t>
            </w:r>
            <w:r>
              <w:t xml:space="preserve">3. Processing costs</w:t>
            </w:r>
          </w:p>
        </w:tc>
      </w:tr>
      <w:tr>
        <w:tc>
          <w:tcPr/>
          <w:p>
            <w:pPr>
              <w:pStyle w:val="Compact"/>
            </w:pPr>
            <w:r>
              <w:t xml:space="preserve">Inventory volume</w:t>
            </w:r>
          </w:p>
        </w:tc>
        <w:tc>
          <w:tcPr/>
          <w:p>
            <w:pPr>
              <w:pStyle w:val="Compact"/>
            </w:pPr>
            <w:r>
              <w:t xml:space="preserve">Total amount of gas held in storage, measured in cubic feet (cf) or million cubic feet (MMcf).</w:t>
            </w:r>
          </w:p>
        </w:tc>
      </w:tr>
      <w:tr>
        <w:tc>
          <w:tcPr/>
          <w:p>
            <w:pPr>
              <w:pStyle w:val="Compact"/>
            </w:pPr>
            <w:r>
              <w:t xml:space="preserve">Actual COG/Unit</w:t>
            </w:r>
          </w:p>
        </w:tc>
        <w:tc>
          <w:tcPr/>
          <w:p>
            <w:pPr>
              <w:pStyle w:val="Compact"/>
            </w:pPr>
            <w:r>
              <w:t xml:space="preserve">The cost of gas per unit of natural gas.</w:t>
            </w:r>
          </w:p>
        </w:tc>
      </w:tr>
    </w:tbl>
    <w:p>
      <w:pPr>
        <w:pStyle w:val="BodyText"/>
      </w:pPr>
      <w:r>
        <w:t xml:space="preserve">!!! note</w:t>
      </w:r>
      <w:r>
        <w:t xml:space="preserve"> </w:t>
      </w:r>
      <w:r>
        <w:t xml:space="preserve">“Note”</w:t>
      </w:r>
      <w:r>
        <w:t xml:space="preserve"> </w:t>
      </w:r>
      <w:r>
        <w:t xml:space="preserve">Ensure the</w:t>
      </w:r>
      <w:r>
        <w:t xml:space="preserve"> </w:t>
      </w:r>
      <w:r>
        <w:rPr>
          <w:b/>
          <w:bCs/>
        </w:rPr>
        <w:t xml:space="preserve">Inventory valuation screen</w:t>
      </w:r>
      <w:r>
        <w:t xml:space="preserve"> </w:t>
      </w:r>
      <w:r>
        <w:t xml:space="preserve">is properly configured in the</w:t>
      </w:r>
      <w:r>
        <w:t xml:space="preserve"> </w:t>
      </w:r>
      <w:r>
        <w:rPr>
          <w:b/>
          <w:bCs/>
        </w:rPr>
        <w:t xml:space="preserve">Pipeline contract screen</w:t>
      </w:r>
      <w:r>
        <w:t xml:space="preserve"> </w:t>
      </w:r>
      <w:r>
        <w:t xml:space="preserve">under the</w:t>
      </w:r>
      <w:r>
        <w:t xml:space="preserve"> </w:t>
      </w:r>
      <w:r>
        <w:rPr>
          <w:b/>
          <w:bCs/>
        </w:rPr>
        <w:t xml:space="preserve">Storage volumes</w:t>
      </w:r>
      <w:r>
        <w:t xml:space="preserve"> </w:t>
      </w:r>
      <w:r>
        <w:t xml:space="preserve">tab for accurate data representation.</w:t>
      </w:r>
    </w:p>
    <w:p>
      <w:pPr>
        <w:pStyle w:val="BodyText"/>
      </w:pPr>
      <w:r>
        <w:rPr>
          <w:b/>
          <w:bCs/>
        </w:rPr>
        <w:t xml:space="preserve">Detail View</w:t>
      </w:r>
    </w:p>
    <w:p>
      <w:pPr>
        <w:pStyle w:val="BodyText"/>
      </w:pPr>
      <w:r>
        <w:t xml:space="preserve">This tab offers an in-depth breakdown of inventory valuation by providing transaction-level data on gas injections, withdrawals, sales, and cost fluctuations over time.</w:t>
      </w:r>
      <w:r>
        <w:t xml:space="preserve"> </w:t>
      </w:r>
      <w:r>
        <w:t xml:space="preserve">Query_settings</w:t>
      </w:r>
    </w:p>
    <w:p>
      <w:pPr>
        <w:pStyle w:val="BodyText"/>
      </w:pPr>
      <w:r>
        <w:t xml:space="preserve">Below are the field available in the</w:t>
      </w:r>
      <w:r>
        <w:t xml:space="preserve"> </w:t>
      </w:r>
      <w:r>
        <w:rPr>
          <w:b/>
          <w:bCs/>
        </w:rPr>
        <w:t xml:space="preserve">Detail view</w:t>
      </w:r>
      <w:r>
        <w:t xml:space="preserve"> </w:t>
      </w:r>
      <w:r>
        <w:t xml:space="preserve">tab:</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Month/Year</w:t>
            </w:r>
          </w:p>
        </w:tc>
        <w:tc>
          <w:tcPr/>
          <w:p>
            <w:pPr>
              <w:pStyle w:val="Compact"/>
            </w:pPr>
            <w:r>
              <w:t xml:space="preserve">Dropdown for selecting months and years.</w:t>
            </w:r>
          </w:p>
        </w:tc>
      </w:tr>
      <w:tr>
        <w:tc>
          <w:tcPr/>
          <w:p>
            <w:pPr>
              <w:pStyle w:val="Compact"/>
            </w:pPr>
            <w:r>
              <w:t xml:space="preserve">Injection volume (Inj volume)</w:t>
            </w:r>
          </w:p>
        </w:tc>
        <w:tc>
          <w:tcPr/>
          <w:p>
            <w:pPr>
              <w:pStyle w:val="Compact"/>
            </w:pPr>
            <w:r>
              <w:t xml:space="preserve">Volume of gas injected into storage.</w:t>
            </w:r>
          </w:p>
        </w:tc>
      </w:tr>
      <w:tr>
        <w:tc>
          <w:tcPr/>
          <w:p>
            <w:pPr>
              <w:pStyle w:val="Compact"/>
            </w:pPr>
            <w:r>
              <w:t xml:space="preserve">Purchase price</w:t>
            </w:r>
          </w:p>
        </w:tc>
        <w:tc>
          <w:tcPr/>
          <w:p>
            <w:pPr>
              <w:pStyle w:val="Compact"/>
            </w:pPr>
            <w:r>
              <w:t xml:space="preserve">Price at which gas is acquired.</w:t>
            </w:r>
          </w:p>
        </w:tc>
      </w:tr>
      <w:tr>
        <w:tc>
          <w:tcPr/>
          <w:p>
            <w:pPr>
              <w:pStyle w:val="Compact"/>
            </w:pPr>
            <w:r>
              <w:t xml:space="preserve">Injection price (Inj price)</w:t>
            </w:r>
          </w:p>
        </w:tc>
        <w:tc>
          <w:tcPr/>
          <w:p>
            <w:pPr>
              <w:pStyle w:val="Compact"/>
            </w:pPr>
            <w:r>
              <w:t xml:space="preserve">Price at which gas is injected into storage or the pipeline.</w:t>
            </w:r>
          </w:p>
        </w:tc>
      </w:tr>
      <w:tr>
        <w:tc>
          <w:tcPr/>
          <w:p>
            <w:pPr>
              <w:pStyle w:val="Compact"/>
            </w:pPr>
            <w:r>
              <w:t xml:space="preserve">Injection value (Inj value)</w:t>
            </w:r>
          </w:p>
        </w:tc>
        <w:tc>
          <w:tcPr/>
          <w:p>
            <w:pPr>
              <w:pStyle w:val="Compact"/>
            </w:pPr>
            <w:r>
              <w:t xml:space="preserve">Total value of gas being injected.</w:t>
            </w:r>
          </w:p>
        </w:tc>
      </w:tr>
      <w:tr>
        <w:tc>
          <w:tcPr/>
          <w:p>
            <w:pPr>
              <w:pStyle w:val="Compact"/>
            </w:pPr>
            <w:r>
              <w:t xml:space="preserve">Withdrawal volume (W/D volume)</w:t>
            </w:r>
          </w:p>
        </w:tc>
        <w:tc>
          <w:tcPr/>
          <w:p>
            <w:pPr>
              <w:pStyle w:val="Compact"/>
            </w:pPr>
            <w:r>
              <w:t xml:space="preserve">Volume of gas withdrawn from storage.</w:t>
            </w:r>
          </w:p>
        </w:tc>
      </w:tr>
      <w:tr>
        <w:tc>
          <w:tcPr/>
          <w:p>
            <w:pPr>
              <w:pStyle w:val="Compact"/>
            </w:pPr>
            <w:r>
              <w:t xml:space="preserve">Sales price</w:t>
            </w:r>
          </w:p>
        </w:tc>
        <w:tc>
          <w:tcPr/>
          <w:p>
            <w:pPr>
              <w:pStyle w:val="Compact"/>
            </w:pPr>
            <w:r>
              <w:t xml:space="preserve">Price at which gas is sold to customers.</w:t>
            </w:r>
          </w:p>
        </w:tc>
      </w:tr>
      <w:tr>
        <w:tc>
          <w:tcPr/>
          <w:p>
            <w:pPr>
              <w:pStyle w:val="Compact"/>
            </w:pPr>
            <w:r>
              <w:t xml:space="preserve">Withdrawal price (W/D price)</w:t>
            </w:r>
          </w:p>
        </w:tc>
        <w:tc>
          <w:tcPr/>
          <w:p>
            <w:pPr>
              <w:pStyle w:val="Compact"/>
            </w:pPr>
            <w:r>
              <w:t xml:space="preserve">Price at which gas is sold or delivered during withdrawal.</w:t>
            </w:r>
          </w:p>
        </w:tc>
      </w:tr>
      <w:tr>
        <w:tc>
          <w:tcPr/>
          <w:p>
            <w:pPr>
              <w:pStyle w:val="Compact"/>
            </w:pPr>
            <w:r>
              <w:t xml:space="preserve">Withdrawal value (W/D value)</w:t>
            </w:r>
          </w:p>
        </w:tc>
        <w:tc>
          <w:tcPr/>
          <w:p>
            <w:pPr>
              <w:pStyle w:val="Compact"/>
            </w:pPr>
            <w:r>
              <w:t xml:space="preserve">Monetary value of gas withdrawn.</w:t>
            </w:r>
          </w:p>
        </w:tc>
      </w:tr>
      <w:tr>
        <w:tc>
          <w:tcPr/>
          <w:p>
            <w:pPr>
              <w:pStyle w:val="Compact"/>
            </w:pPr>
            <w:r>
              <w:t xml:space="preserve">Fuel loss</w:t>
            </w:r>
          </w:p>
        </w:tc>
        <w:tc>
          <w:tcPr/>
          <w:p>
            <w:pPr>
              <w:pStyle w:val="Compact"/>
            </w:pPr>
            <w:r>
              <w:t xml:space="preserve">Loss of gas during transportation or storage.</w:t>
            </w:r>
          </w:p>
        </w:tc>
      </w:tr>
      <w:tr>
        <w:tc>
          <w:tcPr/>
          <w:p>
            <w:pPr>
              <w:pStyle w:val="Compact"/>
            </w:pPr>
            <w:r>
              <w:t xml:space="preserve">Inventory volume (Inv volume)</w:t>
            </w:r>
          </w:p>
        </w:tc>
        <w:tc>
          <w:tcPr/>
          <w:p>
            <w:pPr>
              <w:pStyle w:val="Compact"/>
            </w:pPr>
            <w:r>
              <w:t xml:space="preserve">Total volume of gas in storage.</w:t>
            </w:r>
          </w:p>
        </w:tc>
      </w:tr>
      <w:tr>
        <w:tc>
          <w:tcPr/>
          <w:p>
            <w:pPr>
              <w:pStyle w:val="Compact"/>
            </w:pPr>
            <w:r>
              <w:t xml:space="preserve">Previous actual COG</w:t>
            </w:r>
          </w:p>
        </w:tc>
        <w:tc>
          <w:tcPr/>
          <w:p>
            <w:pPr>
              <w:pStyle w:val="Compact"/>
            </w:pPr>
            <w:r>
              <w:t xml:space="preserve">Cost of gas as recorded previously.</w:t>
            </w:r>
          </w:p>
        </w:tc>
      </w:tr>
      <w:tr>
        <w:tc>
          <w:tcPr/>
          <w:p>
            <w:pPr>
              <w:pStyle w:val="Compact"/>
            </w:pPr>
            <w:r>
              <w:t xml:space="preserve">Actual COG</w:t>
            </w:r>
          </w:p>
        </w:tc>
        <w:tc>
          <w:tcPr/>
          <w:p>
            <w:pPr>
              <w:pStyle w:val="Compact"/>
            </w:pPr>
            <w:r>
              <w:t xml:space="preserve">Total cost incurred to produce, transport, and deliver gas.</w:t>
            </w:r>
          </w:p>
        </w:tc>
      </w:tr>
      <w:tr>
        <w:tc>
          <w:tcPr/>
          <w:p>
            <w:pPr>
              <w:pStyle w:val="Compact"/>
            </w:pPr>
            <w:r>
              <w:t xml:space="preserve">Actual COG/Unit</w:t>
            </w:r>
          </w:p>
        </w:tc>
        <w:tc>
          <w:tcPr/>
          <w:p>
            <w:pPr>
              <w:pStyle w:val="Compact"/>
            </w:pPr>
            <w:r>
              <w:t xml:space="preserve">Cost per unit of gas.</w:t>
            </w:r>
          </w:p>
        </w:tc>
      </w:tr>
    </w:tbl>
    <w:p>
      <w:pPr>
        <w:pStyle w:val="BodyText"/>
      </w:pPr>
      <w:r>
        <w:t xml:space="preserve">!!! note</w:t>
      </w:r>
      <w:r>
        <w:t xml:space="preserve"> </w:t>
      </w:r>
      <w:r>
        <w:t xml:space="preserve">“Note”</w:t>
      </w:r>
      <w:r>
        <w:t xml:space="preserve"> </w:t>
      </w:r>
      <w:r>
        <w:t xml:space="preserve">The above fields are populated once the</w:t>
      </w:r>
      <w:r>
        <w:t xml:space="preserve"> </w:t>
      </w:r>
      <w:r>
        <w:rPr>
          <w:b/>
          <w:bCs/>
        </w:rPr>
        <w:t xml:space="preserve">Pipeline contracts</w:t>
      </w:r>
      <w:r>
        <w:t xml:space="preserve">,</w:t>
      </w:r>
      <w:r>
        <w:t xml:space="preserve"> </w:t>
      </w:r>
      <w:r>
        <w:rPr>
          <w:b/>
          <w:bCs/>
        </w:rPr>
        <w:t xml:space="preserve">PZL configuration</w:t>
      </w:r>
      <w:r>
        <w:t xml:space="preserve">, and</w:t>
      </w:r>
      <w:r>
        <w:t xml:space="preserve"> </w:t>
      </w:r>
      <w:r>
        <w:rPr>
          <w:b/>
          <w:bCs/>
        </w:rPr>
        <w:t xml:space="preserve">Storage volumes</w:t>
      </w:r>
      <w:r>
        <w:t xml:space="preserve"> </w:t>
      </w:r>
      <w:r>
        <w:t xml:space="preserve">are correctly configured.</w:t>
      </w:r>
    </w:p>
    <w:bookmarkEnd w:id="21"/>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etting_started/configure_pipeline.md" TargetMode="External" /></Relationships>
</file>

<file path=word/_rels/footnotes.xml.rels><?xml version="1.0" encoding="UTF-8"?><Relationships xmlns="http://schemas.openxmlformats.org/package/2006/relationships"><Relationship Type="http://schemas.openxmlformats.org/officeDocument/2006/relationships/hyperlink" Id="rId20" Target="../getting_started/configure_pipelin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2025-02-13T06:08:49Z</dcterms:created>
  <dcterms:modified xsi:type="dcterms:W3CDTF">2025-02-13T06:08:49Z</dcterms:modified>
</cp:coreProperties>
</file>

<file path=docProps/custom.xml><?xml version="1.0" encoding="utf-8"?>
<Properties xmlns="http://schemas.openxmlformats.org/officeDocument/2006/custom-properties" xmlns:vt="http://schemas.openxmlformats.org/officeDocument/2006/docPropsVTypes"/>
</file>