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</w:pPr>
      <w:r>
        <w:rPr>
          <w:rFonts w:ascii="Segoe UI" w:hAnsi="Segoe UI"/>
          <w:b/>
          <w:i w:val="0"/>
          <w:color w:val="102C57"/>
          <w:sz w:val="44"/>
        </w:rPr>
        <w:t>Techma Zone</w:t>
      </w:r>
    </w:p>
    <w:p>
      <w:pPr>
        <w:spacing w:before="0" w:after="360"/>
      </w:pPr>
      <w:r>
        <w:rPr>
          <w:rFonts w:ascii="Segoe UI" w:hAnsi="Segoe UI"/>
          <w:b/>
          <w:i w:val="0"/>
          <w:color w:val="35598E"/>
          <w:sz w:val="26"/>
        </w:rPr>
        <w:t>Executive Analytics &amp; Student Lifecycle Dashboard Documentation</w:t>
      </w:r>
    </w:p>
    <w:p>
      <w:pPr>
        <w:keepNext/>
        <w:spacing w:before="320" w:after="120"/>
      </w:pPr>
      <w:r>
        <w:rPr>
          <w:rFonts w:ascii="Segoe UI" w:hAnsi="Segoe UI"/>
          <w:b/>
          <w:i w:val="0"/>
          <w:color w:val="102C57"/>
          <w:sz w:val="28"/>
        </w:rPr>
        <w:t>Executive Summary</w:t>
      </w:r>
    </w:p>
    <w:p>
      <w:pPr>
        <w:spacing w:before="0" w:after="120" w:line="276" w:lineRule="auto"/>
      </w:pPr>
      <w:r>
        <w:rPr>
          <w:rFonts w:ascii="Segoe UI" w:hAnsi="Segoe UI"/>
          <w:b w:val="0"/>
          <w:i w:val="0"/>
          <w:color w:val="212529"/>
          <w:sz w:val="21"/>
        </w:rPr>
        <w:t>The Techma Zone Institute Performance Dashboard is an end-to-end Business Intelligence solution engineered to evaluate student performance, course enrollment dynamics, revenue generation, and post-graduation career placement outcomes. Utilizing a dataset of 1,688 student records, this interactive 3-page reporting solution transforms raw educational data into actionable insights, enabling leadership to optimize curriculum strategy, refine placement programs, and maximize institutional revenue.</w:t>
      </w:r>
    </w:p>
    <w:p>
      <w:pPr>
        <w:keepNext/>
        <w:spacing w:before="320" w:after="120"/>
      </w:pPr>
      <w:r>
        <w:rPr>
          <w:rFonts w:ascii="Segoe UI" w:hAnsi="Segoe UI"/>
          <w:b/>
          <w:i w:val="0"/>
          <w:color w:val="102C57"/>
          <w:sz w:val="28"/>
        </w:rPr>
        <w:t>Technical Architecture &amp; Key Capabilities</w:t>
      </w:r>
    </w:p>
    <w:p>
      <w:pPr>
        <w:pStyle w:val="ListBullet"/>
        <w:spacing w:before="0" w:after="80" w:line="276" w:lineRule="auto"/>
      </w:pPr>
      <w:r>
        <w:rPr>
          <w:rFonts w:ascii="Segoe UI" w:hAnsi="Segoe UI"/>
          <w:b/>
          <w:i w:val="0"/>
          <w:color w:val="212529"/>
          <w:sz w:val="21"/>
        </w:rPr>
        <w:t xml:space="preserve">Data Transformation &amp; Cleaning: </w:t>
      </w:r>
      <w:r>
        <w:rPr>
          <w:rFonts w:ascii="Segoe UI" w:hAnsi="Segoe UI"/>
          <w:b w:val="0"/>
          <w:i w:val="0"/>
          <w:color w:val="212529"/>
          <w:sz w:val="21"/>
        </w:rPr>
        <w:t>Processed, cleaned, and structured flat datasets combining student demographic details, enrollment logs, fee structures, completion milestones, and employment tracking.</w:t>
      </w:r>
    </w:p>
    <w:p>
      <w:pPr>
        <w:pStyle w:val="ListBullet"/>
        <w:spacing w:before="0" w:after="80" w:line="276" w:lineRule="auto"/>
      </w:pPr>
      <w:r>
        <w:rPr>
          <w:rFonts w:ascii="Segoe UI" w:hAnsi="Segoe UI"/>
          <w:b/>
          <w:i w:val="0"/>
          <w:color w:val="212529"/>
          <w:sz w:val="21"/>
        </w:rPr>
        <w:t xml:space="preserve">Advanced DAX &amp; Metrics Engineering: </w:t>
      </w:r>
      <w:r>
        <w:rPr>
          <w:rFonts w:ascii="Segoe UI" w:hAnsi="Segoe UI"/>
          <w:b w:val="0"/>
          <w:i w:val="0"/>
          <w:color w:val="212529"/>
          <w:sz w:val="21"/>
        </w:rPr>
        <w:t>Developed custom Data Analysis Expressions (DAX) measures to compute key performance indicators dynamically, including Completion Rate % (82.4%), Placement Rate % (55.4%), Total Revenue generated (73M), and Freelance Engagement.</w:t>
      </w:r>
    </w:p>
    <w:p>
      <w:pPr>
        <w:pStyle w:val="ListBullet"/>
        <w:spacing w:before="0" w:after="80" w:line="276" w:lineRule="auto"/>
      </w:pPr>
      <w:r>
        <w:rPr>
          <w:rFonts w:ascii="Segoe UI" w:hAnsi="Segoe UI"/>
          <w:b/>
          <w:i w:val="0"/>
          <w:color w:val="212529"/>
          <w:sz w:val="21"/>
        </w:rPr>
        <w:t xml:space="preserve">User Interface &amp; User Experience (UI/UX): </w:t>
      </w:r>
      <w:r>
        <w:rPr>
          <w:rFonts w:ascii="Segoe UI" w:hAnsi="Segoe UI"/>
          <w:b w:val="0"/>
          <w:i w:val="0"/>
          <w:color w:val="212529"/>
          <w:sz w:val="21"/>
        </w:rPr>
        <w:t>Designed a sleek, dark-themed custom navigation panel for seamless multi-page cross-filtering and drill-through navigation across Overview, Course Analysis, and Placement Analysis views.</w:t>
      </w:r>
    </w:p>
    <w:p>
      <w:pPr>
        <w:pStyle w:val="ListBullet"/>
        <w:spacing w:before="0" w:after="80" w:line="276" w:lineRule="auto"/>
      </w:pPr>
      <w:r>
        <w:rPr>
          <w:rFonts w:ascii="Segoe UI" w:hAnsi="Segoe UI"/>
          <w:b/>
          <w:i w:val="0"/>
          <w:color w:val="212529"/>
          <w:sz w:val="21"/>
        </w:rPr>
        <w:t xml:space="preserve">Dynamic Multi-Dimensional Slicers: </w:t>
      </w:r>
      <w:r>
        <w:rPr>
          <w:rFonts w:ascii="Segoe UI" w:hAnsi="Segoe UI"/>
          <w:b w:val="0"/>
          <w:i w:val="0"/>
          <w:color w:val="212529"/>
          <w:sz w:val="21"/>
        </w:rPr>
        <w:t>Integrated dynamic global filters (Course, Gender, Study Mode, Batch, Year, and City) for granular slice-and-dice diagnostic capabilities.</w:t>
      </w:r>
    </w:p>
    <w:p>
      <w:pPr>
        <w:keepNext/>
        <w:spacing w:before="320" w:after="120"/>
      </w:pPr>
      <w:r>
        <w:rPr>
          <w:rFonts w:ascii="Segoe UI" w:hAnsi="Segoe UI"/>
          <w:b/>
          <w:i w:val="0"/>
          <w:color w:val="102C57"/>
          <w:sz w:val="28"/>
        </w:rPr>
        <w:t>Dashboard Architecture &amp; Visual Breakdown</w:t>
      </w:r>
    </w:p>
    <w:p>
      <w:pPr>
        <w:keepNext/>
        <w:spacing w:before="240" w:after="80"/>
      </w:pPr>
      <w:r>
        <w:rPr>
          <w:rFonts w:ascii="Segoe UI" w:hAnsi="Segoe UI"/>
          <w:b/>
          <w:i w:val="0"/>
          <w:color w:val="35598E"/>
          <w:sz w:val="24"/>
        </w:rPr>
        <w:t>Page 1: Executive Overview</w:t>
      </w:r>
    </w:p>
    <w:p>
      <w:pPr>
        <w:pStyle w:val="ListBullet"/>
        <w:spacing w:before="0" w:after="80" w:line="276" w:lineRule="auto"/>
      </w:pPr>
      <w:r>
        <w:rPr>
          <w:rFonts w:ascii="Segoe UI" w:hAnsi="Segoe UI"/>
          <w:b/>
          <w:i w:val="0"/>
          <w:color w:val="212529"/>
          <w:sz w:val="21"/>
        </w:rPr>
        <w:t xml:space="preserve">Key Performance Indicators: </w:t>
      </w:r>
      <w:r>
        <w:rPr>
          <w:rFonts w:ascii="Segoe UI" w:hAnsi="Segoe UI"/>
          <w:b w:val="0"/>
          <w:i w:val="0"/>
          <w:color w:val="212529"/>
          <w:sz w:val="21"/>
        </w:rPr>
        <w:t>Highlights macro-level operational metrics — 1,688 Total Enrolled Students, 73M Total Course Fees generated, 82.4% Completion Rate, 55.4% Placement Rate, and 297 Currently Active Students.</w:t>
      </w:r>
    </w:p>
    <w:p>
      <w:pPr>
        <w:pStyle w:val="ListBullet"/>
        <w:spacing w:before="0" w:after="80" w:line="276" w:lineRule="auto"/>
      </w:pPr>
      <w:r>
        <w:rPr>
          <w:rFonts w:ascii="Segoe UI" w:hAnsi="Segoe UI"/>
          <w:b/>
          <w:i w:val="0"/>
          <w:color w:val="212529"/>
          <w:sz w:val="21"/>
        </w:rPr>
        <w:t xml:space="preserve">Enrollment Distribution by Course: </w:t>
      </w:r>
      <w:r>
        <w:rPr>
          <w:rFonts w:ascii="Segoe UI" w:hAnsi="Segoe UI"/>
          <w:b w:val="0"/>
          <w:i w:val="0"/>
          <w:color w:val="212529"/>
          <w:sz w:val="21"/>
        </w:rPr>
        <w:t>Identifies Artificial Intelligence as the primary driver of student intake (314 students), closely followed by Data Engineering (298) and Data Science (283).</w:t>
      </w:r>
    </w:p>
    <w:p>
      <w:pPr>
        <w:pStyle w:val="ListBullet"/>
        <w:spacing w:before="0" w:after="80" w:line="276" w:lineRule="auto"/>
      </w:pPr>
      <w:r>
        <w:rPr>
          <w:rFonts w:ascii="Segoe UI" w:hAnsi="Segoe UI"/>
          <w:b/>
          <w:i w:val="0"/>
          <w:color w:val="212529"/>
          <w:sz w:val="21"/>
        </w:rPr>
        <w:t xml:space="preserve">Temporal Enrollment Trend: </w:t>
      </w:r>
      <w:r>
        <w:rPr>
          <w:rFonts w:ascii="Segoe UI" w:hAnsi="Segoe UI"/>
          <w:b w:val="0"/>
          <w:i w:val="0"/>
          <w:color w:val="212529"/>
          <w:sz w:val="21"/>
        </w:rPr>
        <w:t>Line visual highlighting enrollment trajectory and seasonality patterns over time.</w:t>
      </w:r>
    </w:p>
    <w:p>
      <w:pPr>
        <w:pStyle w:val="ListBullet"/>
        <w:spacing w:before="0" w:after="80" w:line="276" w:lineRule="auto"/>
      </w:pPr>
      <w:r>
        <w:rPr>
          <w:rFonts w:ascii="Segoe UI" w:hAnsi="Segoe UI"/>
          <w:b/>
          <w:i w:val="0"/>
          <w:color w:val="212529"/>
          <w:sz w:val="21"/>
        </w:rPr>
        <w:t xml:space="preserve">Course Revenue Contribution: </w:t>
      </w:r>
      <w:r>
        <w:rPr>
          <w:rFonts w:ascii="Segoe UI" w:hAnsi="Segoe UI"/>
          <w:b w:val="0"/>
          <w:i w:val="0"/>
          <w:color w:val="212529"/>
          <w:sz w:val="21"/>
        </w:rPr>
        <w:t>Bar chart illustrating top revenue-generating programs.</w:t>
      </w:r>
    </w:p>
    <w:p>
      <w:pPr>
        <w:pStyle w:val="ListBullet"/>
        <w:spacing w:before="0" w:after="80" w:line="276" w:lineRule="auto"/>
      </w:pPr>
      <w:r>
        <w:rPr>
          <w:rFonts w:ascii="Segoe UI" w:hAnsi="Segoe UI"/>
          <w:b/>
          <w:i w:val="0"/>
          <w:color w:val="212529"/>
          <w:sz w:val="21"/>
        </w:rPr>
        <w:t xml:space="preserve">Study Mode Preference: </w:t>
      </w:r>
      <w:r>
        <w:rPr>
          <w:rFonts w:ascii="Segoe UI" w:hAnsi="Segoe UI"/>
          <w:b w:val="0"/>
          <w:i w:val="0"/>
          <w:color w:val="212529"/>
          <w:sz w:val="21"/>
        </w:rPr>
        <w:t>Donut visual indicating student distribution across learning models (64.22% Onsite vs. 35.78% Online).</w:t>
      </w:r>
    </w:p>
    <w:p>
      <w:pPr>
        <w:keepNext/>
        <w:spacing w:before="240" w:after="80"/>
      </w:pPr>
      <w:r>
        <w:rPr>
          <w:rFonts w:ascii="Segoe UI" w:hAnsi="Segoe UI"/>
          <w:b/>
          <w:i w:val="0"/>
          <w:color w:val="35598E"/>
          <w:sz w:val="24"/>
        </w:rPr>
        <w:t>Page 2: Course &amp; Student Lifecycle Analysis</w:t>
      </w:r>
    </w:p>
    <w:p>
      <w:pPr>
        <w:pStyle w:val="ListBullet"/>
        <w:spacing w:before="0" w:after="80" w:line="276" w:lineRule="auto"/>
      </w:pPr>
      <w:r>
        <w:rPr>
          <w:rFonts w:ascii="Segoe UI" w:hAnsi="Segoe UI"/>
          <w:b/>
          <w:i w:val="0"/>
          <w:color w:val="212529"/>
          <w:sz w:val="21"/>
        </w:rPr>
        <w:t xml:space="preserve">Key Performance Indicators: </w:t>
      </w:r>
      <w:r>
        <w:rPr>
          <w:rFonts w:ascii="Segoe UI" w:hAnsi="Segoe UI"/>
          <w:b w:val="0"/>
          <w:i w:val="0"/>
          <w:color w:val="212529"/>
          <w:sz w:val="21"/>
        </w:rPr>
        <w:t>Details student operational metrics — 1,688 Total Enrolled, 297 Ongoing Enrollees, 43.05K Average Course Fee, and 1,391 Completed Students.</w:t>
      </w:r>
    </w:p>
    <w:p>
      <w:pPr>
        <w:pStyle w:val="ListBullet"/>
        <w:spacing w:before="0" w:after="80" w:line="276" w:lineRule="auto"/>
      </w:pPr>
      <w:r>
        <w:rPr>
          <w:rFonts w:ascii="Segoe UI" w:hAnsi="Segoe UI"/>
          <w:b/>
          <w:i w:val="0"/>
          <w:color w:val="212529"/>
          <w:sz w:val="21"/>
        </w:rPr>
        <w:t xml:space="preserve">Course Completion &amp; Engagement Status: </w:t>
      </w:r>
      <w:r>
        <w:rPr>
          <w:rFonts w:ascii="Segoe UI" w:hAnsi="Segoe UI"/>
          <w:b w:val="0"/>
          <w:i w:val="0"/>
          <w:color w:val="212529"/>
          <w:sz w:val="21"/>
        </w:rPr>
        <w:t>Stacked and horizontal bar visuals comparing completed versus active student cohorts across key tech tracks.</w:t>
      </w:r>
    </w:p>
    <w:p>
      <w:pPr>
        <w:pStyle w:val="ListBullet"/>
        <w:spacing w:before="0" w:after="80" w:line="276" w:lineRule="auto"/>
      </w:pPr>
      <w:r>
        <w:rPr>
          <w:rFonts w:ascii="Segoe UI" w:hAnsi="Segoe UI"/>
          <w:b/>
          <w:i w:val="0"/>
          <w:color w:val="212529"/>
          <w:sz w:val="21"/>
        </w:rPr>
        <w:t xml:space="preserve">Course Performance Matrix: </w:t>
      </w:r>
      <w:r>
        <w:rPr>
          <w:rFonts w:ascii="Segoe UI" w:hAnsi="Segoe UI"/>
          <w:b w:val="0"/>
          <w:i w:val="0"/>
          <w:color w:val="212529"/>
          <w:sz w:val="21"/>
        </w:rPr>
        <w:t>Tabular visual detailing active, completed, and placed counts per individual course offering.</w:t>
      </w:r>
    </w:p>
    <w:p>
      <w:pPr>
        <w:pStyle w:val="ListBullet"/>
        <w:spacing w:before="0" w:after="80" w:line="276" w:lineRule="auto"/>
      </w:pPr>
      <w:r>
        <w:rPr>
          <w:rFonts w:ascii="Segoe UI" w:hAnsi="Segoe UI"/>
          <w:b/>
          <w:i w:val="0"/>
          <w:color w:val="212529"/>
          <w:sz w:val="21"/>
        </w:rPr>
        <w:t xml:space="preserve">Demographic Parity: </w:t>
      </w:r>
      <w:r>
        <w:rPr>
          <w:rFonts w:ascii="Segoe UI" w:hAnsi="Segoe UI"/>
          <w:b w:val="0"/>
          <w:i w:val="0"/>
          <w:color w:val="212529"/>
          <w:sz w:val="21"/>
        </w:rPr>
        <w:t>Visual indicating balanced demographic representation (50.83% Male vs. 49.17% Female).</w:t>
      </w:r>
    </w:p>
    <w:p>
      <w:pPr>
        <w:keepNext/>
        <w:spacing w:before="240" w:after="80"/>
      </w:pPr>
      <w:r>
        <w:rPr>
          <w:rFonts w:ascii="Segoe UI" w:hAnsi="Segoe UI"/>
          <w:b/>
          <w:i w:val="0"/>
          <w:color w:val="35598E"/>
          <w:sz w:val="24"/>
        </w:rPr>
        <w:t>Page 3: Career Placement &amp; Graduate Outcomes</w:t>
      </w:r>
    </w:p>
    <w:p>
      <w:pPr>
        <w:pStyle w:val="ListBullet"/>
        <w:spacing w:before="0" w:after="80" w:line="276" w:lineRule="auto"/>
      </w:pPr>
      <w:r>
        <w:rPr>
          <w:rFonts w:ascii="Segoe UI" w:hAnsi="Segoe UI"/>
          <w:b/>
          <w:i w:val="0"/>
          <w:color w:val="212529"/>
          <w:sz w:val="21"/>
        </w:rPr>
        <w:t xml:space="preserve">Key Performance Indicators: </w:t>
      </w:r>
      <w:r>
        <w:rPr>
          <w:rFonts w:ascii="Segoe UI" w:hAnsi="Segoe UI"/>
          <w:b w:val="0"/>
          <w:i w:val="0"/>
          <w:color w:val="212529"/>
          <w:sz w:val="21"/>
        </w:rPr>
        <w:t>Monitors career transition efficiency — 1,000 Eligible Graduates, 770 Successfully Placed Graduates, 216 Active Freelancers, 405 Unplaced Alumni, and an overall 55.4% Placement Rate.</w:t>
      </w:r>
    </w:p>
    <w:p>
      <w:pPr>
        <w:pStyle w:val="ListBullet"/>
        <w:spacing w:before="0" w:after="80" w:line="276" w:lineRule="auto"/>
      </w:pPr>
      <w:r>
        <w:rPr>
          <w:rFonts w:ascii="Segoe UI" w:hAnsi="Segoe UI"/>
          <w:b/>
          <w:i w:val="0"/>
          <w:color w:val="212529"/>
          <w:sz w:val="21"/>
        </w:rPr>
        <w:t xml:space="preserve">Cohort-Wise Placement Performance: </w:t>
      </w:r>
      <w:r>
        <w:rPr>
          <w:rFonts w:ascii="Segoe UI" w:hAnsi="Segoe UI"/>
          <w:b w:val="0"/>
          <w:i w:val="0"/>
          <w:color w:val="212529"/>
          <w:sz w:val="21"/>
        </w:rPr>
        <w:t>Comparative stacked bar analysis tracking placement rates across sequential training batches.</w:t>
      </w:r>
    </w:p>
    <w:p>
      <w:pPr>
        <w:pStyle w:val="ListBullet"/>
        <w:spacing w:before="0" w:after="80" w:line="276" w:lineRule="auto"/>
      </w:pPr>
      <w:r>
        <w:rPr>
          <w:rFonts w:ascii="Segoe UI" w:hAnsi="Segoe UI"/>
          <w:b/>
          <w:i w:val="0"/>
          <w:color w:val="212529"/>
          <w:sz w:val="21"/>
        </w:rPr>
        <w:t xml:space="preserve">Program Placement Effectiveness: </w:t>
      </w:r>
      <w:r>
        <w:rPr>
          <w:rFonts w:ascii="Segoe UI" w:hAnsi="Segoe UI"/>
          <w:b w:val="0"/>
          <w:i w:val="0"/>
          <w:color w:val="212529"/>
          <w:sz w:val="21"/>
        </w:rPr>
        <w:t>Ranks individual courses based on career outcomes and employment conversion rates.</w:t>
      </w:r>
    </w:p>
    <w:p>
      <w:pPr>
        <w:pStyle w:val="ListBullet"/>
        <w:spacing w:before="0" w:after="80" w:line="276" w:lineRule="auto"/>
      </w:pPr>
      <w:r>
        <w:rPr>
          <w:rFonts w:ascii="Segoe UI" w:hAnsi="Segoe UI"/>
          <w:b/>
          <w:i w:val="0"/>
          <w:color w:val="212529"/>
          <w:sz w:val="21"/>
        </w:rPr>
        <w:t xml:space="preserve">Post-Graduation Status Matrix: </w:t>
      </w:r>
      <w:r>
        <w:rPr>
          <w:rFonts w:ascii="Segoe UI" w:hAnsi="Segoe UI"/>
          <w:b w:val="0"/>
          <w:i w:val="0"/>
          <w:color w:val="212529"/>
          <w:sz w:val="21"/>
        </w:rPr>
        <w:t>Detailed breakdown table categorizing completed students directly into employment, freelancing, or pending status.</w:t>
      </w:r>
    </w:p>
    <w:p>
      <w:pPr>
        <w:pStyle w:val="ListBullet"/>
        <w:spacing w:before="0" w:after="80" w:line="276" w:lineRule="auto"/>
      </w:pPr>
      <w:r>
        <w:rPr>
          <w:rFonts w:ascii="Segoe UI" w:hAnsi="Segoe UI"/>
          <w:b/>
          <w:i w:val="0"/>
          <w:color w:val="212529"/>
          <w:sz w:val="21"/>
        </w:rPr>
        <w:t xml:space="preserve">Overall Employment Distribution: </w:t>
      </w:r>
      <w:r>
        <w:rPr>
          <w:rFonts w:ascii="Segoe UI" w:hAnsi="Segoe UI"/>
          <w:b w:val="0"/>
          <w:i w:val="0"/>
          <w:color w:val="212529"/>
          <w:sz w:val="21"/>
        </w:rPr>
        <w:t>Donut visualization charting graduate career outcomes (55.36% Full-time Employment, 15.53% Freelance, 29.12% Seeking Placement).</w:t>
      </w:r>
    </w:p>
    <w:p>
      <w:pPr>
        <w:keepNext/>
        <w:spacing w:before="320" w:after="120"/>
      </w:pPr>
      <w:r>
        <w:rPr>
          <w:rFonts w:ascii="Segoe UI" w:hAnsi="Segoe UI"/>
          <w:b/>
          <w:i w:val="0"/>
          <w:color w:val="102C57"/>
          <w:sz w:val="28"/>
        </w:rPr>
        <w:t>Core Business Takeaways</w:t>
      </w:r>
    </w:p>
    <w:p>
      <w:pPr>
        <w:pStyle w:val="ListBullet"/>
        <w:spacing w:before="0" w:after="80" w:line="276" w:lineRule="auto"/>
      </w:pPr>
      <w:r>
        <w:rPr>
          <w:rFonts w:ascii="Segoe UI" w:hAnsi="Segoe UI"/>
          <w:b/>
          <w:i w:val="0"/>
          <w:color w:val="212529"/>
          <w:sz w:val="21"/>
        </w:rPr>
        <w:t xml:space="preserve">1. Robust Operational Completion: </w:t>
      </w:r>
      <w:r>
        <w:rPr>
          <w:rFonts w:ascii="Segoe UI" w:hAnsi="Segoe UI"/>
          <w:b w:val="0"/>
          <w:i w:val="0"/>
          <w:color w:val="212529"/>
          <w:sz w:val="21"/>
        </w:rPr>
        <w:t>An overall 82.4% completion rate demonstrates strong student retention and course satisfaction.</w:t>
      </w:r>
    </w:p>
    <w:p>
      <w:pPr>
        <w:pStyle w:val="ListBullet"/>
        <w:spacing w:before="0" w:after="80" w:line="276" w:lineRule="auto"/>
      </w:pPr>
      <w:r>
        <w:rPr>
          <w:rFonts w:ascii="Segoe UI" w:hAnsi="Segoe UI"/>
          <w:b/>
          <w:i w:val="0"/>
          <w:color w:val="212529"/>
          <w:sz w:val="21"/>
        </w:rPr>
        <w:t xml:space="preserve">2. Key Growth Drivers: </w:t>
      </w:r>
      <w:r>
        <w:rPr>
          <w:rFonts w:ascii="Segoe UI" w:hAnsi="Segoe UI"/>
          <w:b w:val="0"/>
          <w:i w:val="0"/>
          <w:color w:val="212529"/>
          <w:sz w:val="21"/>
        </w:rPr>
        <w:t>AI, Data Engineering, and Data Science represent the institute’s core growth drivers in both student acquisition and revenue realization.</w:t>
      </w:r>
    </w:p>
    <w:p>
      <w:pPr>
        <w:pStyle w:val="ListBullet"/>
        <w:spacing w:before="0" w:after="80" w:line="276" w:lineRule="auto"/>
      </w:pPr>
      <w:r>
        <w:rPr>
          <w:rFonts w:ascii="Segoe UI" w:hAnsi="Segoe UI"/>
          <w:b/>
          <w:i w:val="0"/>
          <w:color w:val="212529"/>
          <w:sz w:val="21"/>
        </w:rPr>
        <w:t xml:space="preserve">3. High Industry Alignment: </w:t>
      </w:r>
      <w:r>
        <w:rPr>
          <w:rFonts w:ascii="Segoe UI" w:hAnsi="Segoe UI"/>
          <w:b w:val="0"/>
          <w:i w:val="0"/>
          <w:color w:val="212529"/>
          <w:sz w:val="21"/>
        </w:rPr>
        <w:t>Combined job placement and freelance conversion rates account for over 70% of graduates, validating strong curriculum relevance to current tech market demand.</w:t>
      </w:r>
    </w:p>
    <w:p>
      <w:pPr>
        <w:keepNext/>
        <w:spacing w:before="320" w:after="120"/>
      </w:pPr>
      <w:r>
        <w:rPr>
          <w:rFonts w:ascii="Segoe UI" w:hAnsi="Segoe UI"/>
          <w:b/>
          <w:i w:val="0"/>
          <w:color w:val="102C57"/>
          <w:sz w:val="28"/>
        </w:rPr>
        <w:t>Strategic Value &amp; Conclusion</w:t>
      </w:r>
    </w:p>
    <w:p>
      <w:pPr>
        <w:spacing w:before="0" w:after="120" w:line="276" w:lineRule="auto"/>
      </w:pPr>
      <w:r>
        <w:rPr>
          <w:rFonts w:ascii="Segoe UI" w:hAnsi="Segoe UI"/>
          <w:b w:val="0"/>
          <w:i w:val="0"/>
          <w:color w:val="212529"/>
          <w:sz w:val="21"/>
        </w:rPr>
        <w:t>This 3-page Business Intelligence dashboard provides executive management with direct operational visibility across the entire student lifecycle. By bridging raw academic data with actionable key metrics, the solution enables data-driven decision-making to optimize resource allocation, target career assistance programs, and maximize student career outcomes.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