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C3" w:rsidRDefault="00E909C3" w:rsidP="00E909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Supplementary Table S</w:t>
      </w:r>
      <w:r>
        <w:rPr>
          <w:rFonts w:ascii="Arial" w:hAnsi="Arial" w:cs="Arial"/>
          <w:b/>
          <w:sz w:val="24"/>
          <w:szCs w:val="24"/>
          <w:lang w:val="en-US"/>
        </w:rPr>
        <w:t>6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Immune-related expression profile gene signatures.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b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b/>
                <w:color w:val="000000"/>
                <w:sz w:val="24"/>
                <w:szCs w:val="24"/>
              </w:rPr>
              <w:t>Genes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Antigen processing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TAPBP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TAP1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TAP2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PSMB9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PSMB8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B-cell 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CD79A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MS4A1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CD19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STAP1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KIAA0125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POU2AF1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FCRL5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CD8 </w:t>
            </w:r>
            <w:proofErr w:type="spellStart"/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Teff</w:t>
            </w:r>
            <w:proofErr w:type="spellEnd"/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CD8A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GZMA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GZMB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IFNG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EOMES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PRF1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Costimulatory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eceptors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CD27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CD28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ICOS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TNFRSF4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TNFRSF14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TNFRSF18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TNFRSF14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TNFSF14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CD226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Cytolytic 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GNLY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KLRK1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KLRB1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GZMH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GZMA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KLRD1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NKG7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Cytotoxic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KLRK1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PRF1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Immune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blockers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PDCD1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LAG3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TIGIT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CD27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CD72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GITRL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IDO1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Immune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c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heckpoints-T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cells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BTLA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LAG3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HAVCR2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PDCD1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TIGIT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CTLA4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Major histocompatibility class I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HLA-A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HLA-C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Natural killer cell 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KLRC3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KLRK1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KLRC2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KLRD1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T-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ell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xhaustion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CXCL13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TNFRSF1B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RGS2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TIGIT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CD27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TNFRSF9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SLA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RNF19A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INPP5F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XCL2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HLA-DMA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FAM3C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UQCRC1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WARS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EIF3L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KCNK5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TMBIM6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CD200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ZC3H7A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SH2D1A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ATP1B3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MYO7A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THADA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PARK7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EGR2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FDFT1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CRTAM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IFI16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Angiogenesis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ESM1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ANGPT2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LAMA4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NID2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CDH5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FLT1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PECAM1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CD34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PLVAP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Epithelial-mesenchymal transition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VIM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ZEB1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ZEB2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TWIST1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TWIST2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SNAI1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SNAI2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RUNX2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ZYX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CDH1</w:t>
            </w:r>
          </w:p>
        </w:tc>
      </w:tr>
      <w:tr w:rsidR="00E909C3" w:rsidTr="00064751">
        <w:tc>
          <w:tcPr>
            <w:tcW w:w="2972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Mitogen-activated protein kinase</w:t>
            </w:r>
          </w:p>
        </w:tc>
        <w:tc>
          <w:tcPr>
            <w:tcW w:w="6044" w:type="dxa"/>
            <w:vAlign w:val="center"/>
          </w:tcPr>
          <w:p w:rsidR="00E909C3" w:rsidRPr="00676AAD" w:rsidRDefault="00E909C3" w:rsidP="0006475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DUSP4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DUSP6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SPRY2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SPRY4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CCND1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ETV4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ETV5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EPHA2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EPHA4</w:t>
            </w:r>
            <w:r w:rsidRPr="006A4C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6A4CD3">
              <w:rPr>
                <w:rFonts w:ascii="Arial" w:hAnsi="Arial" w:cs="Arial"/>
                <w:i/>
                <w:color w:val="000000"/>
                <w:sz w:val="24"/>
                <w:szCs w:val="24"/>
              </w:rPr>
              <w:t>PHLDA1</w:t>
            </w:r>
          </w:p>
        </w:tc>
      </w:tr>
    </w:tbl>
    <w:p w:rsidR="00A06327" w:rsidRPr="00E909C3" w:rsidRDefault="00A06327">
      <w:pPr>
        <w:rPr>
          <w:rFonts w:ascii="Arial" w:hAnsi="Arial" w:cs="Arial"/>
          <w:b/>
          <w:sz w:val="24"/>
          <w:szCs w:val="24"/>
          <w:lang w:val="en-US"/>
        </w:rPr>
      </w:pPr>
    </w:p>
    <w:sectPr w:rsidR="00A06327" w:rsidRPr="00E9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3"/>
    <w:rsid w:val="00A06327"/>
    <w:rsid w:val="00E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6381"/>
  <w15:chartTrackingRefBased/>
  <w15:docId w15:val="{577DB9D6-07BF-4009-A8FA-AC307795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9C3"/>
    <w:rPr>
      <w:rFonts w:ascii="Calibri" w:eastAsia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Mackey, Kimberly</dc:creator>
  <cp:keywords/>
  <dc:description/>
  <cp:lastModifiedBy>Mackey, Kimberly</cp:lastModifiedBy>
  <cp:revision>1</cp:revision>
  <dcterms:created xsi:type="dcterms:W3CDTF">2019-04-03T20:06:00Z</dcterms:created>
  <dcterms:modified xsi:type="dcterms:W3CDTF">2019-04-03T20:06:00Z</dcterms:modified>
</cp:coreProperties>
</file>