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Annotation Guidelines</w:t>
        <w:br w:type="textWrapping"/>
      </w:r>
    </w:p>
    <w:p w:rsidR="00000000" w:rsidDel="00000000" w:rsidP="00000000" w:rsidRDefault="00000000" w:rsidRPr="00000000" w14:paraId="0000000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AAE, or African American English, is a language variety spoken by many African Americans with its own grammatical rules and structures. Below are guidelines for identifying and annotating these features in interview transcripts. Note that transcription of AAE does not require correction; annotate but do not edit or change the phrases to SAE, or Standard American English.</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Habitual Be</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AAE, ‘be’ is used to indicate a habitual occurrence or state. Most often, habituality is indicated by the usage of present or past tense in conjunction with a verb immediately succeeding the ‘be’, though this is not an exhaustive or exclusionary rule.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Habitual Be: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be blowing up my phone every day’</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be sharing information.’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fine; we don’t be waiting too long.’</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Non-Habitual Be: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know he is going to be blowing up my phone.’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will be sharing information.’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fine; we will not be waiting too long.’</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Negation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AAE, multiple negators can be used within phrases to emphasize negation. This feature presents when at least two negators are used within the same phrase (i.e. uninterrupted by punctuation or conjunction) to emphasize negation.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Multiple Negation: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don’t be bothering nobody up at the school.’</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‘Wasn’t no sawmill in Elzey.’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ain’t never had nobody do me like that.’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Non-Multiple Negation: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don’t be bothering anybody up at the school because nobody is there.’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wasn’t a sawmill in Elzey.’</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‘I’ve never had somebody do me like that.’</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 Number Disagreement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AAE, verbs conjugated in the 3rd person (he/she/it/etc) do not reflect the -s morpheme found in American English. Person number disagreement can appear in a sentence where there is a plural subject attached to a singular verb, or in a sentence where there is a singular subject attached to a plural verb.</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Person Number Disagreement: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play too much.’</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does better than me.’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opportunities for whatever you wanted to do.’</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Person Number Agreement: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plays too much.’</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do better than me.’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opportunities for whatever you wanted to do.’</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Remote Past Bin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AAE, bin (or been) is ‘used to indicate that the time period referred to is longer than normal [...] or used to affirm that a state has indeed held for a [long time].’ (Green, 2002)</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Remote Past Bin:</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been cleaned up the kitchen.’</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been a hundred and one.’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if not for my job, I would’ve been moved to New York.’</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Non-Remote Past Bin: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been to the kitchen.’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has been alive for over a hundred years.’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if not for my job, I would’ve been eager to move.’</w:t>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Existential It/Dey</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AAE, it/dey can be used similarly to ‘there are/there is’ constructions in American English. Various forms include ‘it/dey is’, ‘it/dey are’, ‘it/dey got’, and ‘it/dey have.’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Existential It/Dey:</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a big bear that started chasing me.’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‘Dey got some good sales at Publix.’</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some men that were working with the paint.’</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Non-Existential It/Dey:</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started chasing me.’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shopped the good sales at Publix.’</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being painted by some men.’</w:t>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Perfect Done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AAE, done is similar to the ‘have x’ construction in SAE - it signals that an event has concluded or is complete. The ‘x’ typically represents a verb, i.e. ‘done x’ in AAE would roughly translate to ‘have x’ in SAE.</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Perfect Done: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done told you to leave my flowers alone.’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we done ran all our errands and yours too.’</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done come in, made a whole ruckus.’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Non-Perfect Done: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done some work on my flowers.’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we are done with all our errands, and yours too.’</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came in, made a whole ruckus before they were done.’</w:t>
      </w:r>
    </w:p>
    <w:sectPr>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