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9d8aa647a493ae24c5f85556e52a4205baef6b"/>
    <w:p>
      <w:pPr>
        <w:pStyle w:val="Heading1"/>
      </w:pPr>
      <w:r>
        <w:t xml:space="preserve">Actionable targets in ER-positive breast cancer bone metastasis: prioritisation across intervention routes</w:t>
      </w:r>
    </w:p>
    <w:bookmarkStart w:id="2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Cs/>
          <w:b/>
        </w:rPr>
        <w:t xml:space="preserve">Data source and processing.</w:t>
      </w:r>
      <w:r>
        <w:t xml:space="preserve"> </w:t>
      </w:r>
      <w:r>
        <w:t xml:space="preserve">Targets were nominated by reanalysis of the exome-capture RNA-sequencing dataset of 11 estrogen receptor (ER)-positive primary breast cancers and patient-matched bone metastases reported by Priedigkeit et al.¹ Gene-level Salmon² quantifications (raw counts and TPM) were obtained from the study repository; genes with TPM &gt; 0.5 in more than three of 22 samples were retained, as in the original study.¹</w:t>
      </w:r>
    </w:p>
    <w:p>
      <w:pPr>
        <w:pStyle w:val="BodyText"/>
      </w:pPr>
      <w:r>
        <w:rPr>
          <w:bCs/>
          <w:b/>
        </w:rPr>
        <w:t xml:space="preserve">Cohort-level differential expression (engineering routes A/B).</w:t>
      </w:r>
      <w:r>
        <w:t xml:space="preserve"> </w:t>
      </w:r>
      <w:r>
        <w:t xml:space="preserve">Bone metastases were compared with matched primaries using a paired negative-binomial generalised linear model (design</w:t>
      </w:r>
      <w:r>
        <w:t xml:space="preserve"> </w:t>
      </w:r>
      <w:r>
        <w:rPr>
          <w:rStyle w:val="VerbatimChar"/>
        </w:rPr>
        <w:t xml:space="preserve">~ patient + tissue</w:t>
      </w:r>
      <w:r>
        <w:t xml:space="preserve">) in PyDESeq2,⁵ a Python reimplementation of DESeq2,⁴ with Wald testing of the tissue coefficient and Benjamini–Hochberg false-discovery-rate (FDR) control.⁸ Counts were modelled without the tximport³ length offset used in the original report, recovering all originally described genes with concordant direction.</w:t>
      </w:r>
    </w:p>
    <w:p>
      <w:pPr>
        <w:pStyle w:val="BodyText"/>
      </w:pPr>
      <w:r>
        <w:rPr>
          <w:bCs/>
          <w:b/>
        </w:rPr>
        <w:t xml:space="preserve">Patient-level recurrence (engineering routes A/B).</w:t>
      </w:r>
      <w:r>
        <w:t xml:space="preserve"> </w:t>
      </w:r>
      <w:r>
        <w:t xml:space="preserve">Each pair was analysed independently: per-pair log₂ fold changes were computed from library-size–normalised expression (log₂[CPM + 1]⁶,⁷), and a gene was called gained or lost in a pair if its change exceeded that pair’s 95th or fell below its 5th percentile, reproducing the case-specific thresholding of the source study.¹ Recurrence is the number of the 11 pairs (n/11) concordantly altered.</w:t>
      </w:r>
    </w:p>
    <w:p>
      <w:pPr>
        <w:pStyle w:val="BodyText"/>
      </w:pPr>
      <w:r>
        <w:rPr>
          <w:bCs/>
          <w:b/>
        </w:rPr>
        <w:t xml:space="preserve">Primary-tumour association with bone relapse (route C).</w:t>
      </w:r>
      <w:r>
        <w:t xml:space="preserve"> </w:t>
      </w:r>
      <w:r>
        <w:t xml:space="preserve">To test whether a gene’s expression</w:t>
      </w:r>
      <w:r>
        <w:t xml:space="preserve"> </w:t>
      </w:r>
      <w:r>
        <w:rPr>
          <w:iCs/>
          <w:i/>
        </w:rPr>
        <w:t xml:space="preserve">in the primary tumour</w:t>
      </w:r>
      <w:r>
        <w:t xml:space="preserve"> </w:t>
      </w:r>
      <w:r>
        <w:t xml:space="preserve">is associated with subsequent bone metastasis, an independent cohort of 204 primary breast tumours with site-specific relapse-free survival (GSE12276¹¹) was used; 192 had bone-relapse annotation. For each gene, standardised GCRMA-summarised primary-tumour expression was related to bone-metastasis-free survival (event = bone relapse; time = metastasis-free survival, months) by Cox proportional-hazards regression.¹² Concordance was defined as a hazard-ratio direction matching the metastatic change (HR &gt; 1 for genes gained in metastases; HR &lt; 1 for genes lost). A recurrent-DEG composite score (mean standardised expression of recurrently gained minus recurrently lost genes) was evaluated identically; RBBP8, nominated by the source study,¹ served as a positive control.</w:t>
      </w:r>
    </w:p>
    <w:p>
      <w:pPr>
        <w:pStyle w:val="BodyText"/>
      </w:pPr>
      <w:r>
        <w:rPr>
          <w:bCs/>
          <w:b/>
        </w:rPr>
        <w:t xml:space="preserve">Prioritisation.</w:t>
      </w:r>
      <w:r>
        <w:t xml:space="preserve"> </w:t>
      </w:r>
      <w:r>
        <w:t xml:space="preserve">Engineering candidates (routes A/B) were required to be cohort-significant and recurrently altered with concordant direction and ≤ 1 opposing pair, tiered as Tier 1 (FDR &lt; 0.05, ≥ 7/11 pairs) or Tier 2 (FDR &lt; 0.10, ≥ 6/11 pairs). Druggable genes were annotated against the clinically actionable gene set from the Drug–Gene Interaction Database (DGIdb).⁹ Gene identifiers were mapped to symbols using Ensembl GRCh38 annotations.¹⁰</w:t>
      </w:r>
    </w:p>
    <w:p>
      <w:pPr>
        <w:pStyle w:val="BodyText"/>
      </w:pPr>
      <w:r>
        <w:rPr>
          <w:bCs/>
          <w:b/>
        </w:rPr>
        <w:t xml:space="preserve">Key methodological finding.</w:t>
      </w:r>
      <w:r>
        <w:t xml:space="preserve"> </w:t>
      </w:r>
      <w:r>
        <w:t xml:space="preserve">Across 104 recurrently altered genes, no single primary-tumour expression value was associated with bone relapse after FDR correction (minimum FDR 0.12), and the recurrent-DEG composite was not prognostic (</w:t>
      </w:r>
      <w:r>
        <w:rPr>
          <w:iCs/>
          <w:i/>
        </w:rPr>
        <w:t xml:space="preserve">P</w:t>
      </w:r>
      <w:r>
        <w:t xml:space="preserve"> </w:t>
      </w:r>
      <w:r>
        <w:t xml:space="preserve">= 0.78), whereas RBBP8 reproduced its reported association (HR 0.80 per SD,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0.015). Genes suitable for engineering into metastasis models (routes A/B) and genes informative as primary-tumour biomarkers (route C) therefore constitute largely distinct populations; route-C biomarkers are best pursued by dedicated discovery in primary-tumour outcome cohorts (e.g. GSE12276,¹¹ METABRIC) rather than read from metastatic differential expression.</w:t>
      </w:r>
    </w:p>
    <w:p>
      <w:pPr>
        <w:pStyle w:val="BodyText"/>
      </w:pPr>
      <w:r>
        <w:rPr>
          <w:bCs/>
          <w:b/>
        </w:rPr>
        <w:t xml:space="preserve">Limitation.</w:t>
      </w:r>
      <w:r>
        <w:t xml:space="preserve"> </w:t>
      </w:r>
      <w:r>
        <w:t xml:space="preserve">Primary breast and bone-core metastasis specimens differ systematically in non-tumour composition (osteoblastic, haematopoietic, muscle, stromal/ECM). The most recurrently altered genes partly reflect microenvironment rather than tumour-cell-autonomous change; such genes were flagged and de-prioritised. Candidates should be confirmed in tumour-enriched or single-cell data before functional study.</w:t>
      </w:r>
    </w:p>
    <w:bookmarkEnd w:id="20"/>
    <w:bookmarkStart w:id="21" w:name="X7861e3be6f3c9512837a659dc2cf0b45b144729"/>
    <w:p>
      <w:pPr>
        <w:pStyle w:val="Heading2"/>
      </w:pPr>
      <w:r>
        <w:t xml:space="preserve">Table 1. Prioritised actionable targets by intervention route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"/>
        <w:gridCol w:w="1124"/>
        <w:gridCol w:w="766"/>
        <w:gridCol w:w="613"/>
        <w:gridCol w:w="919"/>
        <w:gridCol w:w="919"/>
        <w:gridCol w:w="2043"/>
        <w:gridCol w:w="1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BoM (n/11)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log₂FC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drug-in-model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edit-in-model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primary marker (GSE12276 HR;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t xml:space="preserve">)ᵃ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route /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FGFR3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gained (7/11)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FGFR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KO/knockdown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1.12; 0.24 (trend, concordant)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recurrent druggable gain; FGFR-pathway inhibitors clinically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PIK3C2G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(8/11)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knockout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1.07; 0.49 (ns)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strongest, most recurrent loss; model loss-of-function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(9/11)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knockout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1.13; 0.25 (ns)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Wnt antagonist loss → Wnt activation, endocrine-resistance link¹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(8/11)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knockout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0.92; 0.58 (concordant, 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ERBB3/HER3 ligand loss; alters ERBB signalling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EPHA3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gained (6/11)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(agents in dev.)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KO/knockdown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0.89; 0.26 (ns)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</w:t>
            </w:r>
            <w:r>
              <w:t xml:space="preserve"> </w:t>
            </w:r>
            <w:r>
              <w:t xml:space="preserve">— recurrent RTK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gained (6/11)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KO/knockdown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1.04; 0.67 (concordant, 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recurrent gain (cohort FDR marginal)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(6/11)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knockout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0.91; 0.39 (concordant; logrank 0.08)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RTK loss; model loss-of-function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(6/11)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knockout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0.99; 0.94 (ns)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taxane-response biomarker;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RBBP8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(2/11; 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(DESeq)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knockout (PARPi sensitisation)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0.80; 0.015 (validated)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— primary-tumour marker of bone relapse; low expression → worse outcome¹</w:t>
            </w:r>
          </w:p>
        </w:tc>
      </w:tr>
    </w:tbl>
    <w:p>
      <w:pPr>
        <w:pStyle w:val="BodyText"/>
      </w:pPr>
      <w:r>
        <w:t xml:space="preserve">ᵃ Hazard ratio per standard deviation of standardised primary-tumour expression and Cox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 in GSE12276 (n = 192).¹¹</w:t>
      </w:r>
      <w:r>
        <w:t xml:space="preserve"> </w:t>
      </w:r>
      <w:r>
        <w:t xml:space="preserve">“</w:t>
      </w:r>
      <w:r>
        <w:t xml:space="preserve">Concordant</w:t>
      </w:r>
      <w:r>
        <w:t xml:space="preserve">”</w:t>
      </w:r>
      <w:r>
        <w:t xml:space="preserve"> </w:t>
      </w:r>
      <w:r>
        <w:t xml:space="preserve">= HR direction matches the metastatic change. No recurrent differentially expressed gene reached FDR significance for route C; RBBP8 is the validated route-C exemplar and is shown despite low metastatic recurrence to illustrate that routes A/B and C select different genes.</w:t>
      </w:r>
    </w:p>
    <w:p>
      <w:pPr>
        <w:pStyle w:val="BodyText"/>
      </w:pPr>
      <w:r>
        <w:rPr>
          <w:iCs/>
          <w:i/>
        </w:rPr>
        <w:t xml:space="preserve">Note 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lost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genes:</w:t>
      </w:r>
      <w:r>
        <w:t xml:space="preserve"> </w:t>
      </w:r>
      <w:r>
        <w:t xml:space="preserve">DGIdb druggability of a gene that is</w:t>
      </w:r>
      <w:r>
        <w:t xml:space="preserve"> </w:t>
      </w:r>
      <w:r>
        <w:rPr>
          <w:bCs/>
          <w:b/>
        </w:rPr>
        <w:t xml:space="preserve">lost</w:t>
      </w:r>
      <w:r>
        <w:t xml:space="preserve"> </w:t>
      </w:r>
      <w:r>
        <w:t xml:space="preserve">in the metastasis (PIK3C2G, KIT, TUBB3) supports loss-of-function modelling (route B), not pharmacological inhibition of the lesion (route A).</w:t>
      </w:r>
    </w:p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Priedigkeit N, Watters RJ, Lucas PC, et al. Exome-capture RNA sequencing of decade-old breast cancers and matched decalcified bone metastases.</w:t>
      </w:r>
      <w:r>
        <w:t xml:space="preserve"> </w:t>
      </w:r>
      <w:r>
        <w:rPr>
          <w:iCs/>
          <w:i/>
        </w:rPr>
        <w:t xml:space="preserve">JCI Insight.</w:t>
      </w:r>
      <w:r>
        <w:t xml:space="preserve"> </w:t>
      </w:r>
      <w:r>
        <w:t xml:space="preserve">2017;2(17):e95703.</w:t>
      </w:r>
    </w:p>
    <w:p>
      <w:pPr>
        <w:numPr>
          <w:ilvl w:val="0"/>
          <w:numId w:val="1001"/>
        </w:numPr>
        <w:pStyle w:val="Compact"/>
      </w:pPr>
      <w:r>
        <w:t xml:space="preserve">Patro R, Duggal G, Love MI, Irizarry RA, Kingsford C. Salmon provides fast and bias-aware quantification of transcript expression.</w:t>
      </w:r>
      <w:r>
        <w:t xml:space="preserve"> </w:t>
      </w:r>
      <w:r>
        <w:rPr>
          <w:iCs/>
          <w:i/>
        </w:rPr>
        <w:t xml:space="preserve">Nat Methods.</w:t>
      </w:r>
      <w:r>
        <w:t xml:space="preserve"> </w:t>
      </w:r>
      <w:r>
        <w:t xml:space="preserve">2017;14(4):417–419.</w:t>
      </w:r>
    </w:p>
    <w:p>
      <w:pPr>
        <w:numPr>
          <w:ilvl w:val="0"/>
          <w:numId w:val="1001"/>
        </w:numPr>
        <w:pStyle w:val="Compact"/>
      </w:pPr>
      <w:r>
        <w:t xml:space="preserve">Soneson C, Love MI, Robinson MD. Differential analyses for RNA-seq: transcript-level estimates improve gene-level inferences.</w:t>
      </w:r>
      <w:r>
        <w:t xml:space="preserve"> </w:t>
      </w:r>
      <w:r>
        <w:rPr>
          <w:iCs/>
          <w:i/>
        </w:rPr>
        <w:t xml:space="preserve">F1000Res.</w:t>
      </w:r>
      <w:r>
        <w:t xml:space="preserve"> </w:t>
      </w:r>
      <w:r>
        <w:t xml:space="preserve">2015;4:1521.</w:t>
      </w:r>
    </w:p>
    <w:p>
      <w:pPr>
        <w:numPr>
          <w:ilvl w:val="0"/>
          <w:numId w:val="1001"/>
        </w:numPr>
        <w:pStyle w:val="Compact"/>
      </w:pPr>
      <w:r>
        <w:t xml:space="preserve">Love MI, Huber W, Anders S. Moderated estimation of fold change and dispersion for RNA-seq data with DESeq2.</w:t>
      </w:r>
      <w:r>
        <w:t xml:space="preserve"> </w:t>
      </w:r>
      <w:r>
        <w:rPr>
          <w:iCs/>
          <w:i/>
        </w:rPr>
        <w:t xml:space="preserve">Genome Biol.</w:t>
      </w:r>
      <w:r>
        <w:t xml:space="preserve"> </w:t>
      </w:r>
      <w:r>
        <w:t xml:space="preserve">2014;15(12):550.</w:t>
      </w:r>
    </w:p>
    <w:p>
      <w:pPr>
        <w:numPr>
          <w:ilvl w:val="0"/>
          <w:numId w:val="1001"/>
        </w:numPr>
        <w:pStyle w:val="Compact"/>
      </w:pPr>
      <w:r>
        <w:t xml:space="preserve">Muzellec B, Teleńczuk M, Cabeli V, Andreux M. PyDESeq2: a python package for bulk RNA-seq differential expression analysis.</w:t>
      </w:r>
      <w:r>
        <w:t xml:space="preserve"> </w:t>
      </w:r>
      <w:r>
        <w:rPr>
          <w:iCs/>
          <w:i/>
        </w:rPr>
        <w:t xml:space="preserve">Bioinformatics.</w:t>
      </w:r>
      <w:r>
        <w:t xml:space="preserve"> </w:t>
      </w:r>
      <w:r>
        <w:t xml:space="preserve">2023;39(9):btad547.</w:t>
      </w:r>
    </w:p>
    <w:p>
      <w:pPr>
        <w:numPr>
          <w:ilvl w:val="0"/>
          <w:numId w:val="1001"/>
        </w:numPr>
        <w:pStyle w:val="Compact"/>
      </w:pPr>
      <w:r>
        <w:t xml:space="preserve">Robinson MD, Oshlack A. A scaling normalization method for differential expression analysis of RNA-seq data.</w:t>
      </w:r>
      <w:r>
        <w:t xml:space="preserve"> </w:t>
      </w:r>
      <w:r>
        <w:rPr>
          <w:iCs/>
          <w:i/>
        </w:rPr>
        <w:t xml:space="preserve">Genome Biol.</w:t>
      </w:r>
      <w:r>
        <w:t xml:space="preserve"> </w:t>
      </w:r>
      <w:r>
        <w:t xml:space="preserve">2010;11(3):R25.</w:t>
      </w:r>
    </w:p>
    <w:p>
      <w:pPr>
        <w:numPr>
          <w:ilvl w:val="0"/>
          <w:numId w:val="1001"/>
        </w:numPr>
        <w:pStyle w:val="Compact"/>
      </w:pPr>
      <w:r>
        <w:t xml:space="preserve">Robinson MD, McCarthy DJ, Smyth GK. edgeR: a Bioconductor package for differential expression analysis of digital gene expression data.</w:t>
      </w:r>
      <w:r>
        <w:t xml:space="preserve"> </w:t>
      </w:r>
      <w:r>
        <w:rPr>
          <w:iCs/>
          <w:i/>
        </w:rPr>
        <w:t xml:space="preserve">Bioinformatics.</w:t>
      </w:r>
      <w:r>
        <w:t xml:space="preserve"> </w:t>
      </w:r>
      <w:r>
        <w:t xml:space="preserve">2010;26(1):139–140.</w:t>
      </w:r>
    </w:p>
    <w:p>
      <w:pPr>
        <w:numPr>
          <w:ilvl w:val="0"/>
          <w:numId w:val="1001"/>
        </w:numPr>
        <w:pStyle w:val="Compact"/>
      </w:pPr>
      <w:r>
        <w:t xml:space="preserve">Benjamini Y, Hochberg Y. Controlling the false discovery rate: a practical and powerful approach to multiple testing.</w:t>
      </w:r>
      <w:r>
        <w:t xml:space="preserve"> </w:t>
      </w:r>
      <w:r>
        <w:rPr>
          <w:iCs/>
          <w:i/>
        </w:rPr>
        <w:t xml:space="preserve">J R Stat Soc Series B.</w:t>
      </w:r>
      <w:r>
        <w:t xml:space="preserve"> </w:t>
      </w:r>
      <w:r>
        <w:t xml:space="preserve">1995;57(1):289–300.</w:t>
      </w:r>
    </w:p>
    <w:p>
      <w:pPr>
        <w:numPr>
          <w:ilvl w:val="0"/>
          <w:numId w:val="1001"/>
        </w:numPr>
        <w:pStyle w:val="Compact"/>
      </w:pPr>
      <w:r>
        <w:t xml:space="preserve">Wagner AH, Coffman AC, Ainscough BJ, et al. DGIdb 2.0: mining clinically relevant drug-gene interactions.</w:t>
      </w:r>
      <w:r>
        <w:t xml:space="preserve"> </w:t>
      </w:r>
      <w:r>
        <w:rPr>
          <w:iCs/>
          <w:i/>
        </w:rPr>
        <w:t xml:space="preserve">Nucleic Acids Res.</w:t>
      </w:r>
      <w:r>
        <w:t xml:space="preserve"> </w:t>
      </w:r>
      <w:r>
        <w:t xml:space="preserve">2016;44(D1):D1036–D1044.</w:t>
      </w:r>
    </w:p>
    <w:p>
      <w:pPr>
        <w:numPr>
          <w:ilvl w:val="0"/>
          <w:numId w:val="1001"/>
        </w:numPr>
        <w:pStyle w:val="Compact"/>
      </w:pPr>
      <w:r>
        <w:t xml:space="preserve">Cunningham F, Allen JE, Allen J, et al. Ensembl 2022.</w:t>
      </w:r>
      <w:r>
        <w:t xml:space="preserve"> </w:t>
      </w:r>
      <w:r>
        <w:rPr>
          <w:iCs/>
          <w:i/>
        </w:rPr>
        <w:t xml:space="preserve">Nucleic Acids Res.</w:t>
      </w:r>
      <w:r>
        <w:t xml:space="preserve"> </w:t>
      </w:r>
      <w:r>
        <w:t xml:space="preserve">2022;50(D1):D988–D995.</w:t>
      </w:r>
    </w:p>
    <w:p>
      <w:pPr>
        <w:numPr>
          <w:ilvl w:val="0"/>
          <w:numId w:val="1001"/>
        </w:numPr>
        <w:pStyle w:val="Compact"/>
      </w:pPr>
      <w:r>
        <w:t xml:space="preserve">Bos PD, Zhang XHF, Nadal C, et al. Genes that mediate breast cancer metastasis to the brain.</w:t>
      </w:r>
      <w:r>
        <w:t xml:space="preserve"> </w:t>
      </w:r>
      <w:r>
        <w:rPr>
          <w:iCs/>
          <w:i/>
        </w:rPr>
        <w:t xml:space="preserve">Nature.</w:t>
      </w:r>
      <w:r>
        <w:t xml:space="preserve"> </w:t>
      </w:r>
      <w:r>
        <w:t xml:space="preserve">2009;459(7249):1005–1009. [GSE12276]</w:t>
      </w:r>
    </w:p>
    <w:p>
      <w:pPr>
        <w:numPr>
          <w:ilvl w:val="0"/>
          <w:numId w:val="1001"/>
        </w:numPr>
        <w:pStyle w:val="Compact"/>
      </w:pPr>
      <w:r>
        <w:t xml:space="preserve">Cox DR. Regression models and life-tables.</w:t>
      </w:r>
      <w:r>
        <w:t xml:space="preserve"> </w:t>
      </w:r>
      <w:r>
        <w:rPr>
          <w:iCs/>
          <w:i/>
        </w:rPr>
        <w:t xml:space="preserve">J R Stat Soc Series B.</w:t>
      </w:r>
      <w:r>
        <w:t xml:space="preserve"> </w:t>
      </w:r>
      <w:r>
        <w:t xml:space="preserve">1972;34(2):187–202.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2026-06-18T12:43:59Z</dcterms:created>
  <dcterms:modified xsi:type="dcterms:W3CDTF">2026-06-18T12:43:59Z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