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ethods"/>
    <w:p>
      <w:pPr>
        <w:pStyle w:val="Heading1"/>
      </w:pPr>
      <w:r>
        <w:t xml:space="preserve">Methods</w:t>
      </w:r>
    </w:p>
    <w:bookmarkStart w:id="20" w:name="data-source-and-preprocessing"/>
    <w:p>
      <w:pPr>
        <w:pStyle w:val="Heading2"/>
      </w:pPr>
      <w:r>
        <w:t xml:space="preserve">Data source and preprocessing</w:t>
      </w:r>
    </w:p>
    <w:p>
      <w:pPr>
        <w:pStyle w:val="FirstParagraph"/>
      </w:pPr>
      <w:r>
        <w:t xml:space="preserve">Candidate metastasis-associated targets were nominated by reanalysis of the exome-capture RNA-sequencing (ecRNA-seq) dataset of Priedigkeit et al.,¹ comprising 11 estrogen receptor (ER)-positive primary breast cancers and patient-matched bone metastases (22 specimens). Gene-level expression estimates generated with Salmon² (GRCh38, Ensembl annotation) were obtained from the authors’ public repository as raw count and transcripts-per-million (TPM) matrices. Genes were retained for analysis if they exceeded 0.5 TPM in more than three of the 22 samples, matching the filtering used in the original study.¹ Ensembl gene identifiers were mapped to HGNC symbols using Ensembl GRCh38 annotations.³</w:t>
      </w:r>
    </w:p>
    <w:bookmarkEnd w:id="20"/>
    <w:bookmarkStart w:id="21" w:name="cohort-level-differential-expression"/>
    <w:p>
      <w:pPr>
        <w:pStyle w:val="Heading2"/>
      </w:pPr>
      <w:r>
        <w:t xml:space="preserve">Cohort-level differential expression</w:t>
      </w:r>
    </w:p>
    <w:p>
      <w:pPr>
        <w:pStyle w:val="FirstParagraph"/>
      </w:pPr>
      <w:r>
        <w:t xml:space="preserve">Differential expression between bone metastases and patient-matched primary tumours was assessed with a paired negative-binomial generalised linear model (design:</w:t>
      </w:r>
      <w:r>
        <w:t xml:space="preserve"> </w:t>
      </w:r>
      <w:r>
        <w:rPr>
          <w:rStyle w:val="VerbatimChar"/>
        </w:rPr>
        <w:t xml:space="preserve">~ patient + tissue</w:t>
      </w:r>
      <w:r>
        <w:t xml:space="preserve">), implemented in PyDESeq2,⁵ a Python reimplementation of the DESeq2 method.⁴ Significance was determined by Wald test on the tissue coefficient (bone metastasis versus primary), with Benjamini–Hochberg control of the false discovery rate (FDR).⁶ Genes with FDR &lt; 0.05 were considered differentially expressed. Counts were modelled directly without the transcript-length offset applied by tximport⁷ in the original report; all originally reported differentially expressed genes were recovered with concordant direction of change.</w:t>
      </w:r>
    </w:p>
    <w:bookmarkEnd w:id="21"/>
    <w:bookmarkStart w:id="22" w:name="patient-level-recurrence"/>
    <w:p>
      <w:pPr>
        <w:pStyle w:val="Heading2"/>
      </w:pPr>
      <w:r>
        <w:t xml:space="preserve">Patient-level recurrence</w:t>
      </w:r>
    </w:p>
    <w:p>
      <w:pPr>
        <w:pStyle w:val="FirstParagraph"/>
      </w:pPr>
      <w:r>
        <w:t xml:space="preserve">To distinguish consistently dysregulated genes from cohort averages driven by a minority of pairs, each metastasis–primary pair was analysed independently. Per-pair log₂ fold changes were computed from library-size–normalised expression (log₂[counts-per-million + 1]; normalisation as implemented in edgeR⁸,⁹). Within each pair, a gene was called</w:t>
      </w:r>
      <w:r>
        <w:t xml:space="preserve"> </w:t>
      </w:r>
      <w:r>
        <w:t xml:space="preserve">“</w:t>
      </w:r>
      <w:r>
        <w:t xml:space="preserve">gained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lost</w:t>
      </w:r>
      <w:r>
        <w:t xml:space="preserve">”</w:t>
      </w:r>
      <w:r>
        <w:t xml:space="preserve"> </w:t>
      </w:r>
      <w:r>
        <w:t xml:space="preserve">if its log₂ fold change exceeded that pair’s own 95th percentile or fell below its 5th percentile, respectively, reproducing the case-specific thresholding applied to clinically actionable genes in the source study.¹ Recurrence was defined as the number of the 11 pairs (n/11) in which a gene was concordantly altered.</w:t>
      </w:r>
    </w:p>
    <w:bookmarkEnd w:id="22"/>
    <w:bookmarkStart w:id="23" w:name="Xf1c4fb0765f3428d68c1f6bb3c2e751e82dd329"/>
    <w:p>
      <w:pPr>
        <w:pStyle w:val="Heading2"/>
      </w:pPr>
      <w:r>
        <w:t xml:space="preserve">Actionability annotation and target prioritisation</w:t>
      </w:r>
    </w:p>
    <w:p>
      <w:pPr>
        <w:pStyle w:val="FirstParagraph"/>
      </w:pPr>
      <w:r>
        <w:t xml:space="preserve">Genes with a documented drug–gene interaction were annotated against the clinically actionable gene set from the Drug–Gene Interaction Database (DGIdb).¹⁰ Candidate targets for experimental modelling were required to be (i) significant at the cohort level and (ii) recurrently altered across patients, with the per-patient direction concordant with the cohort direction and no more than one patient altered in the opposing direction. Targets were tiered as Tier 1 (cohort FDR &lt; 0.05 and altered in ≥ 7/11 pairs) or Tier 2 (cohort FDR &lt; 0.10 and altered in ≥ 6/11 pairs). To separate tumour-cell-autonomous changes from systematic differences in non-tumour tissue composition between primary and bone-core specimens, genes corresponding to osteoblastic, haematopoietic, skeletal-muscle, and stromal/extracellular-matrix programmes were flagged using marker-based annotation and de-prioritised.</w:t>
      </w:r>
    </w:p>
    <w:bookmarkEnd w:id="23"/>
    <w:bookmarkStart w:id="24" w:name="Xd0141e098593ab3dc2bd69b6170a8213ab13705"/>
    <w:p>
      <w:pPr>
        <w:pStyle w:val="Heading2"/>
      </w:pPr>
      <w:r>
        <w:t xml:space="preserve">Primary-tumour association with bone relapse (validation cohort)</w:t>
      </w:r>
    </w:p>
    <w:p>
      <w:pPr>
        <w:pStyle w:val="FirstParagraph"/>
      </w:pPr>
      <w:r>
        <w:t xml:space="preserve">To test whether candidate genes’ expression in the primary tumour is associated with subsequent bone metastasis, an independent cohort of 204 primary breast tumours with site-specific relapse-free survival (GSE12276¹¹) was used; 192 tumours carried bone-relapse annotation. For each gene, standardised GCRMA-summarised primary-tumour expression was related to bone-metastasis-free survival (event = bone relapse; time = metastasis-free survival in months) by Cox proportional-hazards regression.¹² Concordance was defined as a hazard-ratio direction matching the metastatic change (HR &gt; 1 for genes gained in metastases; HR &lt; 1 for genes lost). Genome-wide testing across the recurrently altered genes was corrected for multiple comparisons by the Benjamini–Hochberg procedure.⁶ A recurrent-gene composite score (mean standardised expression of recurrently gained genes minus recurrently lost genes) was evaluated identically. RBBP8, nominated by the source study,¹ was used as a positive control.</w:t>
      </w:r>
    </w:p>
    <w:bookmarkEnd w:id="24"/>
    <w:bookmarkStart w:id="25" w:name="co-expression-network-analysis"/>
    <w:p>
      <w:pPr>
        <w:pStyle w:val="Heading2"/>
      </w:pPr>
      <w:r>
        <w:t xml:space="preserve">Co-expression network analysis</w:t>
      </w:r>
    </w:p>
    <w:p>
      <w:pPr>
        <w:pStyle w:val="FirstParagraph"/>
      </w:pPr>
      <w:r>
        <w:t xml:space="preserve">A gene co-expression network was constructed from the recurrently altered genes across the 204 independent primary tumours (GSE12276¹¹), following a weighted correlation network framework.¹³ Standardised expression was used to compute the pairwise Pearson correlation matrix. Modules were identified by average-linkage hierarchical clustering on the dissimilarity (1 − correlation), with the dendrogram cut to yield modules of at least four genes. For each module, an eigengene was defined as the first principal component of the standardised module expression¹⁴ and oriented to correlate positively with mean module expression; the intramodular hub gene was the member with the highest correlation to the module eigengene (module membership, kME). Module eigengenes were related to bone-metastasis-free survival by Cox proportional-hazards regression¹² as above. For visualisation, an undirected graph was drawn (edges at |correlation| ≥ 0.45) with a force-directed layout, nodes coloured by module and sized by degree.¹⁵</w:t>
      </w:r>
    </w:p>
    <w:bookmarkEnd w:id="25"/>
    <w:bookmarkStart w:id="26" w:name="software-and-data-availability"/>
    <w:p>
      <w:pPr>
        <w:pStyle w:val="Heading2"/>
      </w:pPr>
      <w:r>
        <w:t xml:space="preserve">Software and data availability</w:t>
      </w:r>
    </w:p>
    <w:p>
      <w:pPr>
        <w:pStyle w:val="FirstParagraph"/>
      </w:pPr>
      <w:r>
        <w:t xml:space="preserve">Analyses were performed in Python using PyDESeq2,⁵ scikit-learn,¹⁴ lifelines (Cox proportional-hazards regression),¹² SciPy (hierarchical clustering), and NetworkX¹⁵ (network construction and visualisation). All primary data and the original analysis code are publicly available from the source study repository.¹</w: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1"/>
        </w:numPr>
        <w:pStyle w:val="Compact"/>
      </w:pPr>
      <w:r>
        <w:t xml:space="preserve">Priedigkeit N, Watters RJ, Lucas PC, et al. Exome-capture RNA sequencing of decade-old breast cancers and matched decalcified bone metastases.</w:t>
      </w:r>
      <w:r>
        <w:t xml:space="preserve"> </w:t>
      </w:r>
      <w:r>
        <w:rPr>
          <w:iCs/>
          <w:i/>
        </w:rPr>
        <w:t xml:space="preserve">JCI Insight.</w:t>
      </w:r>
      <w:r>
        <w:t xml:space="preserve"> </w:t>
      </w:r>
      <w:r>
        <w:t xml:space="preserve">2017;2(17):e95703.</w:t>
      </w:r>
    </w:p>
    <w:p>
      <w:pPr>
        <w:numPr>
          <w:ilvl w:val="0"/>
          <w:numId w:val="1001"/>
        </w:numPr>
        <w:pStyle w:val="Compact"/>
      </w:pPr>
      <w:r>
        <w:t xml:space="preserve">Patro R, Duggal G, Love MI, Irizarry RA, Kingsford C. Salmon provides fast and bias-aware quantification of transcript expression.</w:t>
      </w:r>
      <w:r>
        <w:t xml:space="preserve"> </w:t>
      </w:r>
      <w:r>
        <w:rPr>
          <w:iCs/>
          <w:i/>
        </w:rPr>
        <w:t xml:space="preserve">Nat Methods.</w:t>
      </w:r>
      <w:r>
        <w:t xml:space="preserve"> </w:t>
      </w:r>
      <w:r>
        <w:t xml:space="preserve">2017;14(4):417–419.</w:t>
      </w:r>
    </w:p>
    <w:p>
      <w:pPr>
        <w:numPr>
          <w:ilvl w:val="0"/>
          <w:numId w:val="1001"/>
        </w:numPr>
        <w:pStyle w:val="Compact"/>
      </w:pPr>
      <w:r>
        <w:t xml:space="preserve">Cunningham F, Allen JE, Allen J, et al. Ensembl 2022.</w:t>
      </w:r>
      <w:r>
        <w:t xml:space="preserve"> </w:t>
      </w:r>
      <w:r>
        <w:rPr>
          <w:iCs/>
          <w:i/>
        </w:rPr>
        <w:t xml:space="preserve">Nucleic Acids Res.</w:t>
      </w:r>
      <w:r>
        <w:t xml:space="preserve"> </w:t>
      </w:r>
      <w:r>
        <w:t xml:space="preserve">2022;50(D1):D988–D995.</w:t>
      </w:r>
    </w:p>
    <w:p>
      <w:pPr>
        <w:numPr>
          <w:ilvl w:val="0"/>
          <w:numId w:val="1001"/>
        </w:numPr>
        <w:pStyle w:val="Compact"/>
      </w:pPr>
      <w:r>
        <w:t xml:space="preserve">Love MI, Huber W, Anders S. Moderated estimation of fold change and dispersion for RNA-seq data with DESeq2.</w:t>
      </w:r>
      <w:r>
        <w:t xml:space="preserve"> </w:t>
      </w:r>
      <w:r>
        <w:rPr>
          <w:iCs/>
          <w:i/>
        </w:rPr>
        <w:t xml:space="preserve">Genome Biol.</w:t>
      </w:r>
      <w:r>
        <w:t xml:space="preserve"> </w:t>
      </w:r>
      <w:r>
        <w:t xml:space="preserve">2014;15(12):550.</w:t>
      </w:r>
    </w:p>
    <w:p>
      <w:pPr>
        <w:numPr>
          <w:ilvl w:val="0"/>
          <w:numId w:val="1001"/>
        </w:numPr>
        <w:pStyle w:val="Compact"/>
      </w:pPr>
      <w:r>
        <w:t xml:space="preserve">Muzellec B, Teleńczuk M, Cabeli V, Andreux M. PyDESeq2: a python package for bulk RNA-seq differential expression analysis.</w:t>
      </w:r>
      <w:r>
        <w:t xml:space="preserve"> </w:t>
      </w:r>
      <w:r>
        <w:rPr>
          <w:iCs/>
          <w:i/>
        </w:rPr>
        <w:t xml:space="preserve">Bioinformatics.</w:t>
      </w:r>
      <w:r>
        <w:t xml:space="preserve"> </w:t>
      </w:r>
      <w:r>
        <w:t xml:space="preserve">2023;39(9):btad547.</w:t>
      </w:r>
    </w:p>
    <w:p>
      <w:pPr>
        <w:numPr>
          <w:ilvl w:val="0"/>
          <w:numId w:val="1001"/>
        </w:numPr>
        <w:pStyle w:val="Compact"/>
      </w:pPr>
      <w:r>
        <w:t xml:space="preserve">Benjamini Y, Hochberg Y. Controlling the false discovery rate: a practical and powerful approach to multiple testing.</w:t>
      </w:r>
      <w:r>
        <w:t xml:space="preserve"> </w:t>
      </w:r>
      <w:r>
        <w:rPr>
          <w:iCs/>
          <w:i/>
        </w:rPr>
        <w:t xml:space="preserve">J R Stat Soc Series B.</w:t>
      </w:r>
      <w:r>
        <w:t xml:space="preserve"> </w:t>
      </w:r>
      <w:r>
        <w:t xml:space="preserve">1995;57(1):289–300.</w:t>
      </w:r>
    </w:p>
    <w:p>
      <w:pPr>
        <w:numPr>
          <w:ilvl w:val="0"/>
          <w:numId w:val="1001"/>
        </w:numPr>
        <w:pStyle w:val="Compact"/>
      </w:pPr>
      <w:r>
        <w:t xml:space="preserve">Soneson C, Love MI, Robinson MD. Differential analyses for RNA-seq: transcript-level estimates improve gene-level inferences.</w:t>
      </w:r>
      <w:r>
        <w:t xml:space="preserve"> </w:t>
      </w:r>
      <w:r>
        <w:rPr>
          <w:iCs/>
          <w:i/>
        </w:rPr>
        <w:t xml:space="preserve">F1000Res.</w:t>
      </w:r>
      <w:r>
        <w:t xml:space="preserve"> </w:t>
      </w:r>
      <w:r>
        <w:t xml:space="preserve">2015;4:1521.</w:t>
      </w:r>
    </w:p>
    <w:p>
      <w:pPr>
        <w:numPr>
          <w:ilvl w:val="0"/>
          <w:numId w:val="1001"/>
        </w:numPr>
        <w:pStyle w:val="Compact"/>
      </w:pPr>
      <w:r>
        <w:t xml:space="preserve">Robinson MD, Oshlack A. A scaling normalization method for differential expression analysis of RNA-seq data.</w:t>
      </w:r>
      <w:r>
        <w:t xml:space="preserve"> </w:t>
      </w:r>
      <w:r>
        <w:rPr>
          <w:iCs/>
          <w:i/>
        </w:rPr>
        <w:t xml:space="preserve">Genome Biol.</w:t>
      </w:r>
      <w:r>
        <w:t xml:space="preserve"> </w:t>
      </w:r>
      <w:r>
        <w:t xml:space="preserve">2010;11(3):R25.</w:t>
      </w:r>
    </w:p>
    <w:p>
      <w:pPr>
        <w:numPr>
          <w:ilvl w:val="0"/>
          <w:numId w:val="1001"/>
        </w:numPr>
        <w:pStyle w:val="Compact"/>
      </w:pPr>
      <w:r>
        <w:t xml:space="preserve">Robinson MD, McCarthy DJ, Smyth GK. edgeR: a Bioconductor package for differential expression analysis of digital gene expression data.</w:t>
      </w:r>
      <w:r>
        <w:t xml:space="preserve"> </w:t>
      </w:r>
      <w:r>
        <w:rPr>
          <w:iCs/>
          <w:i/>
        </w:rPr>
        <w:t xml:space="preserve">Bioinformatics.</w:t>
      </w:r>
      <w:r>
        <w:t xml:space="preserve"> </w:t>
      </w:r>
      <w:r>
        <w:t xml:space="preserve">2010;26(1):139–140.</w:t>
      </w:r>
    </w:p>
    <w:p>
      <w:pPr>
        <w:numPr>
          <w:ilvl w:val="0"/>
          <w:numId w:val="1001"/>
        </w:numPr>
        <w:pStyle w:val="Compact"/>
      </w:pPr>
      <w:r>
        <w:t xml:space="preserve">Wagner AH, Coffman AC, Ainscough BJ, et al. DGIdb 2.0: mining clinically relevant drug-gene interactions.</w:t>
      </w:r>
      <w:r>
        <w:t xml:space="preserve"> </w:t>
      </w:r>
      <w:r>
        <w:rPr>
          <w:iCs/>
          <w:i/>
        </w:rPr>
        <w:t xml:space="preserve">Nucleic Acids Res.</w:t>
      </w:r>
      <w:r>
        <w:t xml:space="preserve"> </w:t>
      </w:r>
      <w:r>
        <w:t xml:space="preserve">2016;44(D1):D1036–D1044.</w:t>
      </w:r>
    </w:p>
    <w:p>
      <w:pPr>
        <w:numPr>
          <w:ilvl w:val="0"/>
          <w:numId w:val="1001"/>
        </w:numPr>
        <w:pStyle w:val="Compact"/>
      </w:pPr>
      <w:r>
        <w:t xml:space="preserve">Bos PD, Zhang XHF, Nadal C, et al. Genes that mediate breast cancer metastasis to the brain.</w:t>
      </w:r>
      <w:r>
        <w:t xml:space="preserve"> </w:t>
      </w:r>
      <w:r>
        <w:rPr>
          <w:iCs/>
          <w:i/>
        </w:rPr>
        <w:t xml:space="preserve">Nature.</w:t>
      </w:r>
      <w:r>
        <w:t xml:space="preserve"> </w:t>
      </w:r>
      <w:r>
        <w:t xml:space="preserve">2009;459(7249):1005–1009. [GSE12276]</w:t>
      </w:r>
    </w:p>
    <w:p>
      <w:pPr>
        <w:numPr>
          <w:ilvl w:val="0"/>
          <w:numId w:val="1001"/>
        </w:numPr>
        <w:pStyle w:val="Compact"/>
      </w:pPr>
      <w:r>
        <w:t xml:space="preserve">Cox DR. Regression models and life-tables.</w:t>
      </w:r>
      <w:r>
        <w:t xml:space="preserve"> </w:t>
      </w:r>
      <w:r>
        <w:rPr>
          <w:iCs/>
          <w:i/>
        </w:rPr>
        <w:t xml:space="preserve">J R Stat Soc Series B.</w:t>
      </w:r>
      <w:r>
        <w:t xml:space="preserve"> </w:t>
      </w:r>
      <w:r>
        <w:t xml:space="preserve">1972;34(2):187–202.</w:t>
      </w:r>
    </w:p>
    <w:p>
      <w:pPr>
        <w:numPr>
          <w:ilvl w:val="0"/>
          <w:numId w:val="1001"/>
        </w:numPr>
        <w:pStyle w:val="Compact"/>
      </w:pPr>
      <w:r>
        <w:t xml:space="preserve">Langfelder P, Horvath S. WGCNA: an R package for weighted correlation network analysis.</w:t>
      </w:r>
      <w:r>
        <w:t xml:space="preserve"> </w:t>
      </w:r>
      <w:r>
        <w:rPr>
          <w:iCs/>
          <w:i/>
        </w:rPr>
        <w:t xml:space="preserve">BMC Bioinformatics.</w:t>
      </w:r>
      <w:r>
        <w:t xml:space="preserve"> </w:t>
      </w:r>
      <w:r>
        <w:t xml:space="preserve">2008;9:559.</w:t>
      </w:r>
    </w:p>
    <w:p>
      <w:pPr>
        <w:numPr>
          <w:ilvl w:val="0"/>
          <w:numId w:val="1001"/>
        </w:numPr>
        <w:pStyle w:val="Compact"/>
      </w:pPr>
      <w:r>
        <w:t xml:space="preserve">Pedregosa F, Varoquaux G, Gramfort A, et al. Scikit-learn: machine learning in Python.</w:t>
      </w:r>
      <w:r>
        <w:t xml:space="preserve"> </w:t>
      </w:r>
      <w:r>
        <w:rPr>
          <w:iCs/>
          <w:i/>
        </w:rPr>
        <w:t xml:space="preserve">J Mach Learn Res.</w:t>
      </w:r>
      <w:r>
        <w:t xml:space="preserve"> </w:t>
      </w:r>
      <w:r>
        <w:t xml:space="preserve">2011;12:2825–2830.</w:t>
      </w:r>
    </w:p>
    <w:p>
      <w:pPr>
        <w:numPr>
          <w:ilvl w:val="0"/>
          <w:numId w:val="1001"/>
        </w:numPr>
        <w:pStyle w:val="Compact"/>
      </w:pPr>
      <w:r>
        <w:t xml:space="preserve">Hagberg AA, Schult DA, Swart PJ. Exploring network structure, dynamics, and function using NetworkX.</w:t>
      </w:r>
      <w:r>
        <w:t xml:space="preserve"> </w:t>
      </w:r>
      <w:r>
        <w:rPr>
          <w:iCs/>
          <w:i/>
        </w:rPr>
        <w:t xml:space="preserve">Proceedings of the 7th Python in Science Conference (SciPy 2008).</w:t>
      </w:r>
      <w:r>
        <w:t xml:space="preserve"> </w:t>
      </w:r>
      <w:r>
        <w:t xml:space="preserve">2008:11–15.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2026-06-18T12:55:04Z</dcterms:created>
  <dcterms:modified xsi:type="dcterms:W3CDTF">2026-06-18T12:55:04Z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