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9A212" w14:textId="2AD070B6" w:rsidR="00D007EC" w:rsidRDefault="00743ED4" w:rsidP="00743ED4">
      <w:pPr>
        <w:pStyle w:val="Title"/>
      </w:pPr>
      <w:r>
        <w:t>Oblio oncologico</w:t>
      </w:r>
    </w:p>
    <w:p w14:paraId="1E9C6031" w14:textId="63EC661D" w:rsidR="007A4B18" w:rsidRDefault="001E533B" w:rsidP="007A4B18">
      <w:r>
        <w:t>Il 18 dicembre 2023 l</w:t>
      </w:r>
      <w:r w:rsidR="00E46384">
        <w:t xml:space="preserve">a gazzetta ufficiale </w:t>
      </w:r>
      <w:r>
        <w:t xml:space="preserve">ha pubblicato la </w:t>
      </w:r>
      <w:hyperlink r:id="rId7" w:history="1">
        <w:r w:rsidRPr="00F30E40">
          <w:rPr>
            <w:rStyle w:val="Hyperlink"/>
          </w:rPr>
          <w:t>legge n. 193</w:t>
        </w:r>
        <w:r w:rsidR="00F30E40" w:rsidRPr="00F30E40">
          <w:rPr>
            <w:rStyle w:val="Hyperlink"/>
          </w:rPr>
          <w:t>/2023</w:t>
        </w:r>
      </w:hyperlink>
      <w:r w:rsidR="00F30E40">
        <w:t xml:space="preserve"> che introduce nel nostro ordinamento il diritto all’oblio oncologico.</w:t>
      </w:r>
    </w:p>
    <w:p w14:paraId="4709FB89" w14:textId="6F128B9D" w:rsidR="000D4E43" w:rsidRDefault="000D4E43" w:rsidP="007A4B18">
      <w:r>
        <w:t>Viene così a conclusione positiva un’iniziativa parlamentare</w:t>
      </w:r>
      <w:r w:rsidR="00B33072">
        <w:t xml:space="preserve"> promossa da più fonti</w:t>
      </w:r>
      <w:r w:rsidR="00A20227">
        <w:t>,</w:t>
      </w:r>
      <w:r w:rsidR="00B33072">
        <w:t xml:space="preserve"> già nella trascorsa legislatura</w:t>
      </w:r>
      <w:r w:rsidR="00A20227">
        <w:t>,</w:t>
      </w:r>
      <w:r w:rsidR="00B33072">
        <w:t xml:space="preserve"> </w:t>
      </w:r>
      <w:r w:rsidR="00CD53F4">
        <w:t>e con il voto unanime delle forze politiche.</w:t>
      </w:r>
    </w:p>
    <w:p w14:paraId="17736141" w14:textId="772FDB37" w:rsidR="00EC418B" w:rsidRDefault="00EC418B" w:rsidP="007A4B18">
      <w:r>
        <w:t>Salutat</w:t>
      </w:r>
      <w:r w:rsidR="008E040D">
        <w:t>o</w:t>
      </w:r>
      <w:r>
        <w:t xml:space="preserve"> come </w:t>
      </w:r>
      <w:r w:rsidR="006C35EE">
        <w:t>un progetto di civiltà giuridica</w:t>
      </w:r>
      <w:r w:rsidR="00EE68DC">
        <w:t>,</w:t>
      </w:r>
      <w:r w:rsidR="006C35EE">
        <w:t xml:space="preserve"> </w:t>
      </w:r>
      <w:r w:rsidR="00971670">
        <w:t xml:space="preserve">la norma </w:t>
      </w:r>
      <w:r w:rsidR="00EE68DC">
        <w:t>ha</w:t>
      </w:r>
      <w:r w:rsidR="00971670">
        <w:t xml:space="preserve"> l’obiettivo di tutelare </w:t>
      </w:r>
      <w:r w:rsidR="00367BA4">
        <w:t>i diritti de</w:t>
      </w:r>
      <w:r w:rsidR="00971670">
        <w:t xml:space="preserve">gli individui guariti dal cancro </w:t>
      </w:r>
      <w:r w:rsidR="00367BA4">
        <w:t xml:space="preserve">e di prevenire </w:t>
      </w:r>
      <w:r w:rsidR="005F6F77">
        <w:t>forme di discriminazione nei loro confronti.</w:t>
      </w:r>
      <w:r w:rsidR="009F7961">
        <w:t xml:space="preserve"> A tal fine, si introduce il nuovo diritto all’oblio oncologico </w:t>
      </w:r>
      <w:r w:rsidR="00050910">
        <w:t>in base al quale si</w:t>
      </w:r>
      <w:r w:rsidR="009F7961">
        <w:t xml:space="preserve"> </w:t>
      </w:r>
      <w:r w:rsidR="00A77986">
        <w:t>proibisce di raccogliere, richiedere</w:t>
      </w:r>
      <w:r w:rsidR="00FC1C94">
        <w:t xml:space="preserve"> e</w:t>
      </w:r>
      <w:r w:rsidR="00A77986">
        <w:t xml:space="preserve"> utilizzare informazioni sullo stato di salute </w:t>
      </w:r>
      <w:r w:rsidR="00DE099F">
        <w:t xml:space="preserve">in ambito oncologico </w:t>
      </w:r>
      <w:r w:rsidR="00B40D5B">
        <w:t xml:space="preserve">dei soggetti </w:t>
      </w:r>
      <w:r w:rsidR="00BC76FC">
        <w:t xml:space="preserve">oramai </w:t>
      </w:r>
      <w:r w:rsidR="00B40D5B">
        <w:t>guariti</w:t>
      </w:r>
      <w:r w:rsidR="00BC76FC">
        <w:t xml:space="preserve"> da questa patologia</w:t>
      </w:r>
      <w:r w:rsidR="00B40D5B">
        <w:t>.</w:t>
      </w:r>
    </w:p>
    <w:p w14:paraId="3CD68430" w14:textId="58F06872" w:rsidR="008E7124" w:rsidRDefault="008E7124" w:rsidP="007A4B18">
      <w:r>
        <w:t xml:space="preserve">I casi applicativi </w:t>
      </w:r>
      <w:r w:rsidR="001D19BF">
        <w:t>previsti dalla legge sono:</w:t>
      </w:r>
    </w:p>
    <w:p w14:paraId="53B17F7A" w14:textId="24389936" w:rsidR="001D19BF" w:rsidRDefault="001D19BF" w:rsidP="001D19BF">
      <w:pPr>
        <w:pStyle w:val="ListParagraph"/>
        <w:numPr>
          <w:ilvl w:val="0"/>
          <w:numId w:val="5"/>
        </w:numPr>
      </w:pPr>
      <w:r w:rsidRPr="00FF071C">
        <w:rPr>
          <w:b/>
          <w:bCs/>
        </w:rPr>
        <w:t>Contrattazione dei servizi bancari</w:t>
      </w:r>
      <w:r>
        <w:t xml:space="preserve">, finanziari, di investimento e </w:t>
      </w:r>
      <w:r w:rsidRPr="00FF071C">
        <w:rPr>
          <w:b/>
          <w:bCs/>
        </w:rPr>
        <w:t>assicurativi</w:t>
      </w:r>
      <w:r>
        <w:t xml:space="preserve"> (art. 2, l. n. 193/2023)</w:t>
      </w:r>
    </w:p>
    <w:p w14:paraId="240F7331" w14:textId="011BB732" w:rsidR="0020688E" w:rsidRDefault="0020688E" w:rsidP="001D19BF">
      <w:pPr>
        <w:pStyle w:val="ListParagraph"/>
        <w:numPr>
          <w:ilvl w:val="0"/>
          <w:numId w:val="5"/>
        </w:numPr>
      </w:pPr>
      <w:r w:rsidRPr="00FF071C">
        <w:rPr>
          <w:b/>
          <w:bCs/>
        </w:rPr>
        <w:t xml:space="preserve">Procedure </w:t>
      </w:r>
      <w:r w:rsidR="00FF071C" w:rsidRPr="00FF071C">
        <w:rPr>
          <w:b/>
          <w:bCs/>
        </w:rPr>
        <w:t>adottive</w:t>
      </w:r>
      <w:r w:rsidR="00FF071C">
        <w:t xml:space="preserve"> </w:t>
      </w:r>
      <w:r w:rsidR="00FF071C" w:rsidRPr="00FF071C">
        <w:t xml:space="preserve">(art. </w:t>
      </w:r>
      <w:r w:rsidR="00FF071C">
        <w:t>3</w:t>
      </w:r>
      <w:r w:rsidR="00FF071C" w:rsidRPr="00FF071C">
        <w:t>, l. n. 193/2023)</w:t>
      </w:r>
    </w:p>
    <w:p w14:paraId="4E9081E6" w14:textId="41F0A2E2" w:rsidR="00FF071C" w:rsidRPr="007A4B18" w:rsidRDefault="00FF071C" w:rsidP="001D19BF">
      <w:pPr>
        <w:pStyle w:val="ListParagraph"/>
        <w:numPr>
          <w:ilvl w:val="0"/>
          <w:numId w:val="5"/>
        </w:numPr>
      </w:pPr>
      <w:r w:rsidRPr="00FF071C">
        <w:rPr>
          <w:b/>
          <w:bCs/>
        </w:rPr>
        <w:t>Procedure concorsuali e selettive</w:t>
      </w:r>
      <w:r>
        <w:t xml:space="preserve"> in materia di lavoro </w:t>
      </w:r>
      <w:r w:rsidRPr="00FF071C">
        <w:t xml:space="preserve">(art. </w:t>
      </w:r>
      <w:r>
        <w:t>4</w:t>
      </w:r>
      <w:r w:rsidRPr="00FF071C">
        <w:t>, l. n. 193/2023)</w:t>
      </w:r>
      <w:r>
        <w:t>.</w:t>
      </w:r>
    </w:p>
    <w:p w14:paraId="7BE7F07E" w14:textId="408D9198" w:rsidR="00743ED4" w:rsidRDefault="002C29B2" w:rsidP="002C29B2">
      <w:pPr>
        <w:pStyle w:val="Heading1"/>
      </w:pPr>
      <w:r>
        <w:t>Prassi cui porre rimedio</w:t>
      </w:r>
    </w:p>
    <w:p w14:paraId="7148F4F6" w14:textId="08ECA4BE" w:rsidR="00FB1CE3" w:rsidRDefault="005C7294" w:rsidP="002C29B2">
      <w:r>
        <w:t>N</w:t>
      </w:r>
      <w:r w:rsidRPr="005C7294">
        <w:t xml:space="preserve">onostante una completa guarigione clinica, </w:t>
      </w:r>
      <w:r w:rsidR="00C1485F">
        <w:t xml:space="preserve">i cui termini sono stabiliti dalla legge, </w:t>
      </w:r>
      <w:r w:rsidRPr="005C7294">
        <w:t>molte persone che hanno superato il cancro incontrano discriminazioni nell'esercizio dei loro diritti, soprattutto per quanto riguarda l'accesso a servizi finanziari, bancari e assicurativi</w:t>
      </w:r>
      <w:r w:rsidR="00C934FD">
        <w:t>, nonché all’accesso alle procedure di adozione di minori</w:t>
      </w:r>
      <w:r w:rsidR="00C1485F">
        <w:t xml:space="preserve"> e a quelle concorsuali e selettive per il lavoro</w:t>
      </w:r>
      <w:r w:rsidR="00C934FD">
        <w:t>.</w:t>
      </w:r>
    </w:p>
    <w:p w14:paraId="1BCEF8C4" w14:textId="595B6FD3" w:rsidR="002E15BA" w:rsidRDefault="002E15BA" w:rsidP="002E15BA">
      <w:r>
        <w:t>Come rilevato dall'</w:t>
      </w:r>
      <w:hyperlink r:id="rId8" w:history="1">
        <w:r w:rsidRPr="000467A1">
          <w:rPr>
            <w:rStyle w:val="Hyperlink"/>
          </w:rPr>
          <w:t>Osservatorio permanente sulla condizione assistenziale dei malati oncologici</w:t>
        </w:r>
      </w:hyperlink>
      <w:r>
        <w:t xml:space="preserve">, spesso i guariti dal cancro trovano ostacoli nell'apertura o nel mantenimento di un'assicurazione sanitaria per malattia o di una polizza vita o si vedono imposti oneri o garanzie accessorie per accedere a servizi finanziari o bancari, quali tipicamente l'accensione di mutui. </w:t>
      </w:r>
      <w:r w:rsidR="00DD7BDE">
        <w:t>È</w:t>
      </w:r>
      <w:r>
        <w:t xml:space="preserve"> nota, ad esempio, la prassi commerciale di subordinare l'accensione di mutui alla sottoscrizione di una polizza assicurativa sulla vita, pena il rigetto della richiesta.</w:t>
      </w:r>
    </w:p>
    <w:p w14:paraId="5A41D981" w14:textId="6761E053" w:rsidR="00694617" w:rsidRDefault="002744A9" w:rsidP="002744A9">
      <w:pPr>
        <w:pStyle w:val="Heading1"/>
      </w:pPr>
      <w:r>
        <w:t>Quadro normativo</w:t>
      </w:r>
    </w:p>
    <w:p w14:paraId="1CCBD134" w14:textId="2771D4AB" w:rsidR="00B47D82" w:rsidRDefault="00B47D82" w:rsidP="002C29B2">
      <w:r>
        <w:t xml:space="preserve">La disciplina sull’oblio oncologico mira a rimuovere </w:t>
      </w:r>
      <w:r w:rsidR="0024501F">
        <w:t>gli ostacoli che limitano l’eguaglianza di questi soggetti, la cui aspettativa di vita è aumentata,</w:t>
      </w:r>
      <w:r w:rsidR="00097B0D">
        <w:t xml:space="preserve"> in attuazione </w:t>
      </w:r>
      <w:r w:rsidR="00CE7868">
        <w:t xml:space="preserve">dell’articolo 3 della nostra Costituzione </w:t>
      </w:r>
      <w:r w:rsidR="00455BAD">
        <w:t>sull’eguaglianza e pari dignità sociale.</w:t>
      </w:r>
    </w:p>
    <w:p w14:paraId="5AFB1D4B" w14:textId="1825153F" w:rsidR="003F64D4" w:rsidRDefault="00350F16" w:rsidP="002C29B2">
      <w:r>
        <w:t xml:space="preserve">La cornice normativa di riferimento in cui si inquadra </w:t>
      </w:r>
      <w:r w:rsidR="00857034">
        <w:t>il diritto all’oblio oncologico viene dal legislatore individuata</w:t>
      </w:r>
      <w:r w:rsidR="006F3C8C">
        <w:t>:</w:t>
      </w:r>
      <w:r w:rsidR="00857034">
        <w:t xml:space="preserve"> </w:t>
      </w:r>
    </w:p>
    <w:p w14:paraId="2266D32C" w14:textId="4D63C442" w:rsidR="002744A9" w:rsidRDefault="00857034" w:rsidP="003F64D4">
      <w:pPr>
        <w:pStyle w:val="ListParagraph"/>
        <w:numPr>
          <w:ilvl w:val="0"/>
          <w:numId w:val="6"/>
        </w:numPr>
      </w:pPr>
      <w:r>
        <w:t xml:space="preserve">nella </w:t>
      </w:r>
      <w:r w:rsidRPr="00E24836">
        <w:rPr>
          <w:b/>
          <w:bCs/>
        </w:rPr>
        <w:t>Costituzione</w:t>
      </w:r>
      <w:r>
        <w:t xml:space="preserve"> itali</w:t>
      </w:r>
      <w:r w:rsidR="003F64D4">
        <w:t>ana, in particolare negli articoli</w:t>
      </w:r>
    </w:p>
    <w:p w14:paraId="3D90982B" w14:textId="1DCB4956" w:rsidR="00FB6DF6" w:rsidRDefault="00FB6DF6" w:rsidP="00FB6DF6">
      <w:pPr>
        <w:pStyle w:val="ListParagraph"/>
        <w:numPr>
          <w:ilvl w:val="1"/>
          <w:numId w:val="6"/>
        </w:numPr>
      </w:pPr>
      <w:r>
        <w:t>2</w:t>
      </w:r>
      <w:r w:rsidR="003B78A1">
        <w:t>,</w:t>
      </w:r>
      <w:r>
        <w:t xml:space="preserve"> sul riconoscimento dei diritti inviolabili dell’uomo</w:t>
      </w:r>
    </w:p>
    <w:p w14:paraId="1146F6D7" w14:textId="1AC92C81" w:rsidR="00FB6DF6" w:rsidRDefault="00FB6DF6" w:rsidP="00FB6DF6">
      <w:pPr>
        <w:pStyle w:val="ListParagraph"/>
        <w:numPr>
          <w:ilvl w:val="1"/>
          <w:numId w:val="6"/>
        </w:numPr>
      </w:pPr>
      <w:r>
        <w:t>3</w:t>
      </w:r>
      <w:r w:rsidR="003B78A1">
        <w:t>,</w:t>
      </w:r>
      <w:r>
        <w:t xml:space="preserve"> eguaglianza e pari dignità sociale</w:t>
      </w:r>
    </w:p>
    <w:p w14:paraId="5B0A1BBE" w14:textId="4D627388" w:rsidR="00FB6DF6" w:rsidRDefault="004F354E" w:rsidP="00FB6DF6">
      <w:pPr>
        <w:pStyle w:val="ListParagraph"/>
        <w:numPr>
          <w:ilvl w:val="1"/>
          <w:numId w:val="6"/>
        </w:numPr>
      </w:pPr>
      <w:r>
        <w:t>32</w:t>
      </w:r>
      <w:r w:rsidR="003B78A1">
        <w:t>,</w:t>
      </w:r>
      <w:r>
        <w:t xml:space="preserve"> sul diritto fondamentale alla tutela della salute</w:t>
      </w:r>
      <w:r w:rsidR="00FD5518">
        <w:t>.</w:t>
      </w:r>
    </w:p>
    <w:p w14:paraId="2E3F8BFE" w14:textId="782AA5DB" w:rsidR="004F354E" w:rsidRDefault="00F33937" w:rsidP="004F354E">
      <w:pPr>
        <w:pStyle w:val="ListParagraph"/>
        <w:numPr>
          <w:ilvl w:val="0"/>
          <w:numId w:val="6"/>
        </w:numPr>
      </w:pPr>
      <w:r>
        <w:t xml:space="preserve">Nella </w:t>
      </w:r>
      <w:r w:rsidRPr="00E24836">
        <w:rPr>
          <w:b/>
          <w:bCs/>
        </w:rPr>
        <w:t>Carta</w:t>
      </w:r>
      <w:r>
        <w:t xml:space="preserve"> dei diritti fondamentali dell’Unione europea</w:t>
      </w:r>
      <w:r w:rsidR="00991E92">
        <w:t>, in particolare negli articoli</w:t>
      </w:r>
    </w:p>
    <w:p w14:paraId="36BFF46B" w14:textId="1B16CFDB" w:rsidR="00991E92" w:rsidRDefault="00991E92" w:rsidP="00991E92">
      <w:pPr>
        <w:pStyle w:val="ListParagraph"/>
        <w:numPr>
          <w:ilvl w:val="1"/>
          <w:numId w:val="6"/>
        </w:numPr>
      </w:pPr>
      <w:r>
        <w:t>7</w:t>
      </w:r>
      <w:r w:rsidR="003B78A1">
        <w:t>,</w:t>
      </w:r>
      <w:r>
        <w:t xml:space="preserve"> riguardo al rispetto della vita privata e della vita familiare</w:t>
      </w:r>
    </w:p>
    <w:p w14:paraId="7461A2DA" w14:textId="5530B39D" w:rsidR="00991E92" w:rsidRDefault="00351699" w:rsidP="00991E92">
      <w:pPr>
        <w:pStyle w:val="ListParagraph"/>
        <w:numPr>
          <w:ilvl w:val="1"/>
          <w:numId w:val="6"/>
        </w:numPr>
      </w:pPr>
      <w:r>
        <w:t>8</w:t>
      </w:r>
      <w:r w:rsidR="003B78A1">
        <w:t>,</w:t>
      </w:r>
      <w:r>
        <w:t xml:space="preserve"> circa la protezione dei dati di carattere personale</w:t>
      </w:r>
    </w:p>
    <w:p w14:paraId="77E42F4E" w14:textId="48676A92" w:rsidR="00351699" w:rsidRDefault="00351699" w:rsidP="00991E92">
      <w:pPr>
        <w:pStyle w:val="ListParagraph"/>
        <w:numPr>
          <w:ilvl w:val="1"/>
          <w:numId w:val="6"/>
        </w:numPr>
      </w:pPr>
      <w:r>
        <w:t>21</w:t>
      </w:r>
      <w:r w:rsidR="003B78A1">
        <w:t>,</w:t>
      </w:r>
      <w:r>
        <w:t xml:space="preserve"> sulla non discriminazione</w:t>
      </w:r>
    </w:p>
    <w:p w14:paraId="4D1E6C42" w14:textId="42704964" w:rsidR="00351699" w:rsidRDefault="00351699" w:rsidP="00991E92">
      <w:pPr>
        <w:pStyle w:val="ListParagraph"/>
        <w:numPr>
          <w:ilvl w:val="1"/>
          <w:numId w:val="6"/>
        </w:numPr>
      </w:pPr>
      <w:r>
        <w:t>35</w:t>
      </w:r>
      <w:r w:rsidR="003B78A1">
        <w:t>,</w:t>
      </w:r>
      <w:r>
        <w:t xml:space="preserve"> </w:t>
      </w:r>
      <w:r w:rsidR="00373134">
        <w:t>in merito alla protezione della salute</w:t>
      </w:r>
    </w:p>
    <w:p w14:paraId="08FE69AC" w14:textId="745EC959" w:rsidR="00373134" w:rsidRDefault="00373134" w:rsidP="00991E92">
      <w:pPr>
        <w:pStyle w:val="ListParagraph"/>
        <w:numPr>
          <w:ilvl w:val="1"/>
          <w:numId w:val="6"/>
        </w:numPr>
      </w:pPr>
      <w:r>
        <w:t>38</w:t>
      </w:r>
      <w:r w:rsidR="003B78A1">
        <w:t>,</w:t>
      </w:r>
      <w:r>
        <w:t xml:space="preserve"> sulla protezione dei consumatori</w:t>
      </w:r>
      <w:r w:rsidR="00B344C1">
        <w:t>.</w:t>
      </w:r>
    </w:p>
    <w:p w14:paraId="7D726932" w14:textId="627C6AB4" w:rsidR="00373134" w:rsidRDefault="00373134" w:rsidP="00373134">
      <w:pPr>
        <w:pStyle w:val="ListParagraph"/>
        <w:numPr>
          <w:ilvl w:val="0"/>
          <w:numId w:val="6"/>
        </w:numPr>
        <w:pBdr>
          <w:bottom w:val="single" w:sz="6" w:space="1" w:color="auto"/>
        </w:pBdr>
      </w:pPr>
      <w:r>
        <w:lastRenderedPageBreak/>
        <w:t xml:space="preserve">Nella Convenzione europea </w:t>
      </w:r>
      <w:r w:rsidR="00A67C6E">
        <w:t>per la salvaguardia dei diritti dell’uomo</w:t>
      </w:r>
      <w:r w:rsidR="00E24836">
        <w:t xml:space="preserve"> (</w:t>
      </w:r>
      <w:r w:rsidR="00E24836" w:rsidRPr="00E24836">
        <w:rPr>
          <w:b/>
          <w:bCs/>
        </w:rPr>
        <w:t>CEDU</w:t>
      </w:r>
      <w:r w:rsidR="00E24836">
        <w:t>)</w:t>
      </w:r>
      <w:r w:rsidR="00A67C6E">
        <w:t xml:space="preserve">, in particolare </w:t>
      </w:r>
      <w:r w:rsidR="00305763">
        <w:t>n</w:t>
      </w:r>
      <w:r w:rsidR="00E24836">
        <w:t>ell’articolo 8 sul diritto al rispetto della vita privata e familiare</w:t>
      </w:r>
      <w:r w:rsidR="009A7F2B">
        <w:t xml:space="preserve"> (art. 1.1, l. n. 193/2023)</w:t>
      </w:r>
      <w:r w:rsidR="00E24836">
        <w:t>.</w:t>
      </w:r>
    </w:p>
    <w:p w14:paraId="08D93CE6" w14:textId="77777777" w:rsidR="000A1B02" w:rsidRDefault="000A1B02" w:rsidP="000A1B02">
      <w:pPr>
        <w:pStyle w:val="Heading1"/>
      </w:pPr>
      <w:r>
        <w:t>Precedenti</w:t>
      </w:r>
    </w:p>
    <w:p w14:paraId="1BD0DA92" w14:textId="77FACB46" w:rsidR="005C4774" w:rsidRPr="005C4774" w:rsidRDefault="005C4774" w:rsidP="005C4774">
      <w:r>
        <w:t xml:space="preserve">La legge n. 193, che ha precedenti già in altri Stati membri della UE, </w:t>
      </w:r>
      <w:r w:rsidR="00FC5304">
        <w:t>è il punto di arrivo di una serie di iniziative in ambito europeo per la tutela dei malati di cancro.</w:t>
      </w:r>
    </w:p>
    <w:p w14:paraId="1101FA55" w14:textId="77777777" w:rsidR="000A1B02" w:rsidRPr="00BB701F" w:rsidRDefault="000A1B02" w:rsidP="000A1B02">
      <w:r>
        <w:t xml:space="preserve">Nella </w:t>
      </w:r>
      <w:r w:rsidRPr="00CA6E41">
        <w:rPr>
          <w:b/>
          <w:bCs/>
        </w:rPr>
        <w:t>comunicazione della Commissione del 2020 al Parlamento e al Consiglio UE</w:t>
      </w:r>
      <w:r>
        <w:t>, “</w:t>
      </w:r>
      <w:hyperlink r:id="rId9" w:history="1">
        <w:r w:rsidRPr="00666248">
          <w:rPr>
            <w:rStyle w:val="Hyperlink"/>
          </w:rPr>
          <w:t>Europe’s beating cancer plan</w:t>
        </w:r>
      </w:hyperlink>
      <w:r>
        <w:t>”, la Commissione sollecita di a</w:t>
      </w:r>
      <w:r w:rsidRPr="00BB701F">
        <w:t xml:space="preserve">ffrontare il tema dell'accesso equo dei sopravvissuti al cancro ai servizi finanziari (comprese le assicurazioni), attraverso un </w:t>
      </w:r>
      <w:r w:rsidRPr="00FC5304">
        <w:rPr>
          <w:b/>
          <w:bCs/>
        </w:rPr>
        <w:t>codice di condotta</w:t>
      </w:r>
      <w:r w:rsidRPr="00BB701F">
        <w:t xml:space="preserve"> e una riflessione sulle soluzioni a lungo termine - 2021-2023.</w:t>
      </w:r>
      <w:r>
        <w:t xml:space="preserve"> In parallelo, la Commissione intende collaborare con le parti interessate per </w:t>
      </w:r>
      <w:r>
        <w:rPr>
          <w:rFonts w:cstheme="minorHAnsi"/>
        </w:rPr>
        <w:t>«</w:t>
      </w:r>
      <w:r w:rsidRPr="00BB701F">
        <w:rPr>
          <w:i/>
          <w:iCs/>
        </w:rPr>
        <w:t>sviluppare un codice di condotta che garantisca che gli sviluppi delle terapie antitumorali e la loro maggiore efficacia si riflettano nelle pratiche commerciali dei fornitori di servizi finanziari, in modo da garantire che vengano utilizzate solo le informazioni necessarie e proporzionate quando si valuta l'idoneità dei richiedenti di prodotti finanziari, in particolare il credito e le assicurazioni collegate a contratti di credito o di prestito</w:t>
      </w:r>
      <w:r>
        <w:rPr>
          <w:rFonts w:cstheme="minorHAnsi"/>
        </w:rPr>
        <w:t>»</w:t>
      </w:r>
      <w:r w:rsidRPr="00BB701F">
        <w:t>.</w:t>
      </w:r>
    </w:p>
    <w:p w14:paraId="13ED39E4" w14:textId="77777777" w:rsidR="000A1B02" w:rsidRDefault="000A1B02" w:rsidP="000A1B02">
      <w:pPr>
        <w:rPr>
          <w:rFonts w:cstheme="minorHAnsi"/>
        </w:rPr>
      </w:pPr>
      <w:r>
        <w:t xml:space="preserve">Nella </w:t>
      </w:r>
      <w:r w:rsidRPr="00CA6E41">
        <w:rPr>
          <w:b/>
          <w:bCs/>
        </w:rPr>
        <w:t>proposta di direttiva relativa ai crediti al consumo</w:t>
      </w:r>
      <w:r>
        <w:t xml:space="preserve"> [</w:t>
      </w:r>
      <w:hyperlink r:id="rId10" w:history="1">
        <w:r w:rsidRPr="004A2074">
          <w:rPr>
            <w:rStyle w:val="Hyperlink"/>
          </w:rPr>
          <w:t>COM(2021) 347 final</w:t>
        </w:r>
      </w:hyperlink>
      <w:r>
        <w:t xml:space="preserve">], il Considerando (47) espressamente indica che </w:t>
      </w:r>
      <w:r>
        <w:rPr>
          <w:rFonts w:cstheme="minorHAnsi"/>
        </w:rPr>
        <w:t>«</w:t>
      </w:r>
      <w:r w:rsidRPr="004A2074">
        <w:rPr>
          <w:i/>
          <w:iCs/>
        </w:rPr>
        <w:t>[n]ell'effettuare tale valutazione (del merito creditizio) non dovrebbero essere usati i dati personali trovati sulle piattaforme dei media sociali, o i dati sanitari, compresi quelli relativi ai tumori.</w:t>
      </w:r>
      <w:r>
        <w:rPr>
          <w:rFonts w:cstheme="minorHAnsi"/>
        </w:rPr>
        <w:t>».</w:t>
      </w:r>
    </w:p>
    <w:p w14:paraId="0ED29D59" w14:textId="1055A8A9" w:rsidR="000A1B02" w:rsidRDefault="000A1B02" w:rsidP="000A1B02">
      <w:pPr>
        <w:rPr>
          <w:rFonts w:cstheme="minorHAnsi"/>
        </w:rPr>
      </w:pPr>
      <w:r>
        <w:rPr>
          <w:rFonts w:cstheme="minorHAnsi"/>
        </w:rPr>
        <w:t xml:space="preserve">Il </w:t>
      </w:r>
      <w:r w:rsidRPr="00CA6E41">
        <w:rPr>
          <w:rFonts w:cstheme="minorHAnsi"/>
          <w:b/>
          <w:bCs/>
        </w:rPr>
        <w:t>Parlamento UE, nella risoluzione del 16/2/2022</w:t>
      </w:r>
      <w:r>
        <w:rPr>
          <w:rFonts w:cstheme="minorHAnsi"/>
        </w:rPr>
        <w:t xml:space="preserve"> </w:t>
      </w:r>
      <w:r w:rsidRPr="004B409B">
        <w:rPr>
          <w:rFonts w:cstheme="minorHAnsi"/>
          <w:b/>
          <w:bCs/>
        </w:rPr>
        <w:t>su rafforzare l’Europa nella lotta contro il cancro</w:t>
      </w:r>
      <w:r>
        <w:rPr>
          <w:rFonts w:cstheme="minorHAnsi"/>
        </w:rPr>
        <w:t xml:space="preserve"> </w:t>
      </w:r>
      <w:hyperlink r:id="rId11" w:history="1">
        <w:r w:rsidRPr="009D23AF">
          <w:rPr>
            <w:rStyle w:val="Hyperlink"/>
            <w:rFonts w:cstheme="minorHAnsi"/>
          </w:rPr>
          <w:t>(2020/2267(INI)</w:t>
        </w:r>
      </w:hyperlink>
      <w:r>
        <w:rPr>
          <w:rFonts w:cstheme="minorHAnsi"/>
        </w:rPr>
        <w:t>, afferma che «</w:t>
      </w:r>
      <w:r w:rsidRPr="002A31F7">
        <w:rPr>
          <w:rFonts w:cstheme="minorHAnsi"/>
          <w:i/>
          <w:iCs/>
        </w:rPr>
        <w:t>le compagnie di assicurazione e le banche non dovrebbero considerare la storia clinica delle persone colpite da cancro</w:t>
      </w:r>
      <w:r>
        <w:rPr>
          <w:rFonts w:cstheme="minorHAnsi"/>
        </w:rPr>
        <w:t>» e si chiede che «</w:t>
      </w:r>
      <w:r w:rsidRPr="002A31F7">
        <w:rPr>
          <w:rFonts w:cstheme="minorHAnsi"/>
          <w:i/>
          <w:iCs/>
        </w:rPr>
        <w:t>entro il 2025, al più tardi, tutti gli Stati membri garantiscano il diritto all'oblio a tutti i pazienti europei dopo 10 anni dalla fine del trattamento e fino a 5 anni dopo la fine del trattamento per i pazienti per i quali la diagnosi è stata formulata prima dei 18 anni di età</w:t>
      </w:r>
      <w:r>
        <w:rPr>
          <w:rFonts w:cstheme="minorHAnsi"/>
        </w:rPr>
        <w:t xml:space="preserve">»; in tal modo, garantendo </w:t>
      </w:r>
      <w:r w:rsidRPr="00543CC3">
        <w:rPr>
          <w:rFonts w:cstheme="minorHAnsi"/>
        </w:rPr>
        <w:t>che i sopravvissuti a patologie oncologiche non</w:t>
      </w:r>
      <w:r>
        <w:rPr>
          <w:rFonts w:cstheme="minorHAnsi"/>
        </w:rPr>
        <w:t xml:space="preserve"> </w:t>
      </w:r>
      <w:r w:rsidRPr="00543CC3">
        <w:rPr>
          <w:rFonts w:cstheme="minorHAnsi"/>
        </w:rPr>
        <w:t xml:space="preserve">vengano discriminati rispetto al resto </w:t>
      </w:r>
      <w:r>
        <w:rPr>
          <w:rFonts w:cstheme="minorHAnsi"/>
        </w:rPr>
        <w:t>della popolazione</w:t>
      </w:r>
      <w:r w:rsidRPr="00543CC3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F9728C">
        <w:rPr>
          <w:rFonts w:cstheme="minorHAnsi"/>
        </w:rPr>
        <w:t xml:space="preserve">Risoluzione PE, </w:t>
      </w:r>
      <w:r>
        <w:rPr>
          <w:rFonts w:cstheme="minorHAnsi"/>
        </w:rPr>
        <w:t>cit., p. 125).</w:t>
      </w:r>
    </w:p>
    <w:p w14:paraId="16456D6E" w14:textId="6638DCCB" w:rsidR="005421C9" w:rsidRDefault="005421C9" w:rsidP="005421C9">
      <w:pPr>
        <w:pStyle w:val="Heading1"/>
      </w:pPr>
      <w:r>
        <w:t>Diritto</w:t>
      </w:r>
      <w:r w:rsidR="00131D4C">
        <w:t xml:space="preserve"> all’oblio</w:t>
      </w:r>
      <w:r w:rsidR="006C0EA0">
        <w:t xml:space="preserve"> oncologico</w:t>
      </w:r>
    </w:p>
    <w:p w14:paraId="501608D8" w14:textId="563F074D" w:rsidR="00F03A07" w:rsidRDefault="00B3401E" w:rsidP="00F03A07">
      <w:r>
        <w:t xml:space="preserve">Il diritto all’oblio oncologico </w:t>
      </w:r>
      <w:r w:rsidR="008A2EA8">
        <w:t xml:space="preserve">è definito dalla legge come </w:t>
      </w:r>
      <w:r w:rsidR="008A2EA8">
        <w:rPr>
          <w:rFonts w:cstheme="minorHAnsi"/>
        </w:rPr>
        <w:t>«</w:t>
      </w:r>
      <w:r w:rsidR="008A2EA8" w:rsidRPr="00CB1C2C">
        <w:rPr>
          <w:i/>
          <w:iCs/>
        </w:rPr>
        <w:t xml:space="preserve">il diritto delle persone guarite da una patologia oncologica di </w:t>
      </w:r>
      <w:r w:rsidR="008A2EA8" w:rsidRPr="00A21863">
        <w:rPr>
          <w:b/>
          <w:bCs/>
          <w:i/>
          <w:iCs/>
        </w:rPr>
        <w:t xml:space="preserve">non fornire informazioni </w:t>
      </w:r>
      <w:r w:rsidR="00C96A7B" w:rsidRPr="00A21863">
        <w:rPr>
          <w:b/>
          <w:bCs/>
          <w:i/>
          <w:iCs/>
        </w:rPr>
        <w:t>né</w:t>
      </w:r>
      <w:r w:rsidR="008A2EA8" w:rsidRPr="00A21863">
        <w:rPr>
          <w:b/>
          <w:bCs/>
          <w:i/>
          <w:iCs/>
        </w:rPr>
        <w:t xml:space="preserve"> subire indagini</w:t>
      </w:r>
      <w:r w:rsidR="008A2EA8" w:rsidRPr="00CB1C2C">
        <w:rPr>
          <w:i/>
          <w:iCs/>
        </w:rPr>
        <w:t xml:space="preserve"> in merito alla propria pregressa condizione patologica, nei casi di cui alla presente legge</w:t>
      </w:r>
      <w:r w:rsidR="008A2EA8">
        <w:rPr>
          <w:rFonts w:cstheme="minorHAnsi"/>
        </w:rPr>
        <w:t>»</w:t>
      </w:r>
      <w:r w:rsidR="008A2EA8">
        <w:t xml:space="preserve"> (art. 1(2), l. n. </w:t>
      </w:r>
      <w:r w:rsidR="00CB1C2C">
        <w:t>193/2023</w:t>
      </w:r>
      <w:r w:rsidR="00A21863">
        <w:t>, enfasi aggiunta</w:t>
      </w:r>
      <w:r w:rsidR="00CB1C2C">
        <w:t>)</w:t>
      </w:r>
      <w:r w:rsidR="008A2EA8" w:rsidRPr="008A2EA8">
        <w:t>.</w:t>
      </w:r>
    </w:p>
    <w:p w14:paraId="6AD949BD" w14:textId="04C82A76" w:rsidR="008B369F" w:rsidRDefault="008B369F" w:rsidP="00F03A07">
      <w:r>
        <w:t>Quindi, il diritto si compone di</w:t>
      </w:r>
      <w:r w:rsidR="00A40F72">
        <w:t xml:space="preserve"> due profili, entrambi relativi alla propria pregressa patologia oncologica</w:t>
      </w:r>
      <w:r w:rsidR="009A1A28">
        <w:t>,</w:t>
      </w:r>
      <w:r w:rsidR="00C31847">
        <w:t xml:space="preserve"> </w:t>
      </w:r>
      <w:r w:rsidR="009A1A28">
        <w:t>in grado</w:t>
      </w:r>
      <w:r w:rsidR="00C31847">
        <w:t xml:space="preserve"> d</w:t>
      </w:r>
      <w:r w:rsidR="00D814A9">
        <w:t>i</w:t>
      </w:r>
      <w:r w:rsidR="00C31847">
        <w:t xml:space="preserve"> </w:t>
      </w:r>
      <w:r w:rsidR="009A1A28">
        <w:t>assicurarne una totale riservatezza</w:t>
      </w:r>
      <w:r w:rsidR="0002128C">
        <w:t>:</w:t>
      </w:r>
    </w:p>
    <w:p w14:paraId="27224344" w14:textId="32128E27" w:rsidR="0002128C" w:rsidRDefault="0002128C" w:rsidP="0002128C">
      <w:pPr>
        <w:pStyle w:val="ListParagraph"/>
        <w:numPr>
          <w:ilvl w:val="0"/>
          <w:numId w:val="1"/>
        </w:numPr>
      </w:pPr>
      <w:r>
        <w:t xml:space="preserve">un </w:t>
      </w:r>
      <w:r w:rsidRPr="0002128C">
        <w:rPr>
          <w:b/>
          <w:bCs/>
        </w:rPr>
        <w:t>profilo attivo</w:t>
      </w:r>
      <w:r>
        <w:t xml:space="preserve">, consistente nel diritto di </w:t>
      </w:r>
      <w:r w:rsidR="00B673F9">
        <w:t>non rilasciare</w:t>
      </w:r>
      <w:r>
        <w:t xml:space="preserve"> informazioni </w:t>
      </w:r>
    </w:p>
    <w:p w14:paraId="399F7087" w14:textId="48ABDC93" w:rsidR="0002128C" w:rsidRPr="00F03A07" w:rsidRDefault="0002128C" w:rsidP="0002128C">
      <w:pPr>
        <w:pStyle w:val="ListParagraph"/>
        <w:numPr>
          <w:ilvl w:val="0"/>
          <w:numId w:val="1"/>
        </w:numPr>
      </w:pPr>
      <w:r>
        <w:t xml:space="preserve">un </w:t>
      </w:r>
      <w:r w:rsidRPr="00B673F9">
        <w:rPr>
          <w:b/>
          <w:bCs/>
        </w:rPr>
        <w:t>profilo passivo</w:t>
      </w:r>
      <w:r w:rsidR="002C04A9">
        <w:t xml:space="preserve">, </w:t>
      </w:r>
      <w:r w:rsidR="00A40F72">
        <w:t xml:space="preserve">dato dal diritto di non subire indagini </w:t>
      </w:r>
      <w:r w:rsidR="00B673F9">
        <w:t>al riguardo.</w:t>
      </w:r>
    </w:p>
    <w:p w14:paraId="5054ADFD" w14:textId="37FEF49B" w:rsidR="00F03A07" w:rsidRDefault="00F03A07" w:rsidP="0012333F">
      <w:pPr>
        <w:pStyle w:val="Heading1"/>
      </w:pPr>
      <w:r>
        <w:t>Ambito del diritto</w:t>
      </w:r>
    </w:p>
    <w:p w14:paraId="180A4B0B" w14:textId="6355ABC4" w:rsidR="000E05A3" w:rsidRDefault="006C0EA0" w:rsidP="000E05A3">
      <w:r>
        <w:t>Condizioni per l’esercizio del diritto all’oblio oncologico sono:</w:t>
      </w:r>
    </w:p>
    <w:p w14:paraId="13CA283A" w14:textId="7AD7EC5B" w:rsidR="006C0EA0" w:rsidRDefault="00D04BDA" w:rsidP="00D04BDA">
      <w:pPr>
        <w:pStyle w:val="ListParagraph"/>
        <w:numPr>
          <w:ilvl w:val="0"/>
          <w:numId w:val="2"/>
        </w:numPr>
      </w:pPr>
      <w:r>
        <w:t xml:space="preserve">che le informazioni riguardino </w:t>
      </w:r>
      <w:r w:rsidRPr="00382ADF">
        <w:rPr>
          <w:b/>
          <w:bCs/>
        </w:rPr>
        <w:t>patologie oncologiche</w:t>
      </w:r>
      <w:r>
        <w:t xml:space="preserve"> pregresse</w:t>
      </w:r>
      <w:r w:rsidR="00015628">
        <w:t xml:space="preserve">; quindi, non qualsiasi </w:t>
      </w:r>
      <w:r w:rsidR="00AA2103">
        <w:t>tipo</w:t>
      </w:r>
      <w:r w:rsidR="00015628">
        <w:t xml:space="preserve"> di patologia </w:t>
      </w:r>
      <w:r w:rsidR="0046080E">
        <w:t xml:space="preserve">ma solo quelle </w:t>
      </w:r>
      <w:r w:rsidR="00AA2103">
        <w:t xml:space="preserve">di natura </w:t>
      </w:r>
      <w:r w:rsidR="0046080E">
        <w:t>oncologic</w:t>
      </w:r>
      <w:r w:rsidR="00BD66B0">
        <w:t>a</w:t>
      </w:r>
      <w:r w:rsidR="0046080E">
        <w:t>,</w:t>
      </w:r>
      <w:r w:rsidR="00BD66B0">
        <w:t xml:space="preserve"> e</w:t>
      </w:r>
      <w:r w:rsidR="0046080E">
        <w:t xml:space="preserve"> in questo ambito, senza alcuna distinzione</w:t>
      </w:r>
      <w:r w:rsidR="00B97FA1">
        <w:t>, cioè, senza distinguere tra tipologia di cancro</w:t>
      </w:r>
    </w:p>
    <w:p w14:paraId="1AFB5EE8" w14:textId="24B99CAE" w:rsidR="004E2F01" w:rsidRDefault="00950FBF" w:rsidP="00D04BDA">
      <w:pPr>
        <w:pStyle w:val="ListParagraph"/>
        <w:numPr>
          <w:ilvl w:val="0"/>
          <w:numId w:val="2"/>
        </w:numPr>
      </w:pPr>
      <w:r>
        <w:t xml:space="preserve">che tali patologie </w:t>
      </w:r>
      <w:r w:rsidRPr="00382ADF">
        <w:rPr>
          <w:b/>
          <w:bCs/>
        </w:rPr>
        <w:t>abbiano riguardato l’interessato</w:t>
      </w:r>
      <w:r w:rsidR="00B33788" w:rsidRPr="00B33788">
        <w:t xml:space="preserve">; </w:t>
      </w:r>
      <w:r w:rsidR="00B33788">
        <w:t xml:space="preserve">la versione finale della legge fa riferimento </w:t>
      </w:r>
      <w:r w:rsidR="00523B49">
        <w:t xml:space="preserve">generico </w:t>
      </w:r>
      <w:r w:rsidR="00475BAE">
        <w:t xml:space="preserve">alla </w:t>
      </w:r>
      <w:r w:rsidR="00523B49">
        <w:t>“</w:t>
      </w:r>
      <w:r w:rsidR="00475BAE" w:rsidRPr="00D072A7">
        <w:rPr>
          <w:i/>
          <w:iCs/>
        </w:rPr>
        <w:t>persona fisica</w:t>
      </w:r>
      <w:r w:rsidR="00523B49">
        <w:t>”</w:t>
      </w:r>
      <w:r w:rsidR="00475BAE">
        <w:t>, rispetto a precedenti versioni che</w:t>
      </w:r>
      <w:r w:rsidR="00AA2E92">
        <w:t xml:space="preserve"> </w:t>
      </w:r>
      <w:r w:rsidR="00B245B2">
        <w:t>–</w:t>
      </w:r>
      <w:r w:rsidR="00AA2E92">
        <w:t xml:space="preserve"> </w:t>
      </w:r>
      <w:r w:rsidR="00B245B2">
        <w:t xml:space="preserve">per l’ambito contrattuale </w:t>
      </w:r>
      <w:r w:rsidR="00D072A7">
        <w:t>–</w:t>
      </w:r>
      <w:r w:rsidR="00475BAE">
        <w:t xml:space="preserve"> </w:t>
      </w:r>
      <w:r w:rsidR="00D072A7">
        <w:t>utilizzavo la nozione</w:t>
      </w:r>
      <w:r w:rsidR="003C1BEC">
        <w:t xml:space="preserve"> più limitativa di “</w:t>
      </w:r>
      <w:r w:rsidR="003C1BEC" w:rsidRPr="00D072A7">
        <w:rPr>
          <w:i/>
          <w:iCs/>
        </w:rPr>
        <w:t>consumatore</w:t>
      </w:r>
      <w:r w:rsidR="003C1BEC">
        <w:t>”</w:t>
      </w:r>
      <w:r w:rsidR="00066EE4">
        <w:t xml:space="preserve">. </w:t>
      </w:r>
      <w:r w:rsidR="007D7638">
        <w:t xml:space="preserve">Nel testo della norma il soggetto titolare del </w:t>
      </w:r>
      <w:r w:rsidR="007D7638">
        <w:lastRenderedPageBreak/>
        <w:t>diritto è indicato come “</w:t>
      </w:r>
      <w:r w:rsidR="007D7638" w:rsidRPr="00F454FF">
        <w:rPr>
          <w:b/>
          <w:bCs/>
        </w:rPr>
        <w:t>contraente</w:t>
      </w:r>
      <w:r w:rsidR="007D7638">
        <w:t xml:space="preserve">” </w:t>
      </w:r>
      <w:r w:rsidR="00E444C4">
        <w:t>e ciò</w:t>
      </w:r>
      <w:r w:rsidR="002300C1">
        <w:t>, in assenza di una specifica definizione,</w:t>
      </w:r>
      <w:r w:rsidR="00E444C4">
        <w:t xml:space="preserve"> può causare qualche dubbio interpretativo, </w:t>
      </w:r>
      <w:r w:rsidR="00F454FF">
        <w:t>stante che “contraenti” sono entrambi i soggetti che prendono parte al contratto</w:t>
      </w:r>
    </w:p>
    <w:p w14:paraId="67DC3DBE" w14:textId="7C4290B2" w:rsidR="00B21B48" w:rsidRDefault="0044663B" w:rsidP="00D04BDA">
      <w:pPr>
        <w:pStyle w:val="ListParagraph"/>
        <w:numPr>
          <w:ilvl w:val="0"/>
          <w:numId w:val="2"/>
        </w:numPr>
      </w:pPr>
      <w:r>
        <w:t xml:space="preserve">che </w:t>
      </w:r>
      <w:r w:rsidR="000E68BE">
        <w:t>la patologia sia stat</w:t>
      </w:r>
      <w:r w:rsidR="00D072A7">
        <w:t>a</w:t>
      </w:r>
      <w:r w:rsidR="000E68BE">
        <w:t xml:space="preserve"> oggetto di un</w:t>
      </w:r>
      <w:r>
        <w:t xml:space="preserve"> </w:t>
      </w:r>
      <w:r w:rsidRPr="000E68BE">
        <w:rPr>
          <w:b/>
          <w:bCs/>
        </w:rPr>
        <w:t>trattamento attivo concluso</w:t>
      </w:r>
      <w:r w:rsidR="003C7751">
        <w:t xml:space="preserve">; il trattamento terapeutico </w:t>
      </w:r>
      <w:r w:rsidR="007158ED">
        <w:t xml:space="preserve">si deve essere completato </w:t>
      </w:r>
      <w:r w:rsidR="00C54B6D">
        <w:t>e</w:t>
      </w:r>
      <w:r w:rsidR="007158ED">
        <w:t xml:space="preserve"> costituisce anche il termine iniziale di decorrenza </w:t>
      </w:r>
      <w:r w:rsidR="000C63DA">
        <w:t xml:space="preserve">del periodo che sancisce normativamente la guarigione </w:t>
      </w:r>
      <w:r w:rsidR="00C535FD">
        <w:t>(</w:t>
      </w:r>
      <w:r w:rsidR="00C535FD" w:rsidRPr="007879E5">
        <w:rPr>
          <w:i/>
          <w:iCs/>
        </w:rPr>
        <w:t>dies a quo</w:t>
      </w:r>
      <w:r w:rsidR="00C535FD">
        <w:t>)</w:t>
      </w:r>
    </w:p>
    <w:p w14:paraId="72EC898C" w14:textId="7A0C7FA8" w:rsidR="00565719" w:rsidRPr="002E12B2" w:rsidRDefault="009F2103" w:rsidP="00663356">
      <w:pPr>
        <w:pStyle w:val="ListParagraph"/>
        <w:numPr>
          <w:ilvl w:val="0"/>
          <w:numId w:val="2"/>
        </w:numPr>
      </w:pPr>
      <w:r w:rsidRPr="002E12B2">
        <w:t xml:space="preserve">che il trattamento attivo si sia concluso </w:t>
      </w:r>
      <w:r w:rsidR="0044663B" w:rsidRPr="002E12B2">
        <w:rPr>
          <w:b/>
          <w:bCs/>
        </w:rPr>
        <w:t>da più di dieci anni</w:t>
      </w:r>
      <w:r w:rsidR="00FE32CF" w:rsidRPr="002E12B2">
        <w:t>, con riferimento</w:t>
      </w:r>
      <w:r w:rsidR="0044663B" w:rsidRPr="002E12B2">
        <w:t xml:space="preserve"> alla data della </w:t>
      </w:r>
      <w:r w:rsidR="00D53725" w:rsidRPr="002E12B2">
        <w:t>(</w:t>
      </w:r>
      <w:r w:rsidR="00E6660E" w:rsidRPr="002E12B2">
        <w:t>teorica</w:t>
      </w:r>
      <w:r w:rsidR="00D53725" w:rsidRPr="002E12B2">
        <w:t xml:space="preserve">) </w:t>
      </w:r>
      <w:r w:rsidR="0044663B" w:rsidRPr="002E12B2">
        <w:t>richiesta</w:t>
      </w:r>
      <w:r w:rsidR="00A138FE" w:rsidRPr="002E12B2">
        <w:t xml:space="preserve"> </w:t>
      </w:r>
      <w:r w:rsidR="00D53725" w:rsidRPr="002E12B2">
        <w:t>di informazioni di patologie oncologiche</w:t>
      </w:r>
      <w:r w:rsidR="0023533B" w:rsidRPr="002E12B2">
        <w:t>; dalla data di conclusione della terapia</w:t>
      </w:r>
      <w:r w:rsidR="005D562B" w:rsidRPr="002E12B2">
        <w:t>,</w:t>
      </w:r>
      <w:r w:rsidR="0023533B" w:rsidRPr="002E12B2">
        <w:t xml:space="preserve"> </w:t>
      </w:r>
      <w:r w:rsidR="006E2BE4" w:rsidRPr="002E12B2">
        <w:t xml:space="preserve">per attestare la guarigione </w:t>
      </w:r>
      <w:r w:rsidR="005D562B" w:rsidRPr="002E12B2">
        <w:t xml:space="preserve">ai fini della legge, </w:t>
      </w:r>
      <w:r w:rsidR="0023533B" w:rsidRPr="002E12B2">
        <w:t xml:space="preserve">devono essere trascorsi </w:t>
      </w:r>
      <w:r w:rsidR="00DF3FAF" w:rsidRPr="002E12B2">
        <w:t xml:space="preserve">almeno </w:t>
      </w:r>
      <w:r w:rsidR="00D86A4F" w:rsidRPr="002E12B2">
        <w:t>dieci</w:t>
      </w:r>
      <w:r w:rsidR="00DF3FAF" w:rsidRPr="002E12B2">
        <w:t xml:space="preserve"> anni e un giorno</w:t>
      </w:r>
      <w:r w:rsidR="003F15EC" w:rsidRPr="002E12B2">
        <w:t>, tale periodo è ridotto a cinque anni nel caso in cui la patologia sia insorta prima del ventunesimo anno di età</w:t>
      </w:r>
      <w:r w:rsidR="00266B84" w:rsidRPr="002E12B2">
        <w:t xml:space="preserve">; </w:t>
      </w:r>
      <w:r w:rsidR="001B34C1" w:rsidRPr="00DB55DB">
        <w:rPr>
          <w:highlight w:val="yellow"/>
        </w:rPr>
        <w:t xml:space="preserve">con </w:t>
      </w:r>
      <w:hyperlink r:id="rId12" w:history="1">
        <w:r w:rsidR="0044660E" w:rsidRPr="00B4690C">
          <w:rPr>
            <w:rStyle w:val="Hyperlink"/>
            <w:highlight w:val="yellow"/>
          </w:rPr>
          <w:t>decreto del Ministro della salute</w:t>
        </w:r>
        <w:r w:rsidR="004D3EDA" w:rsidRPr="00B4690C">
          <w:rPr>
            <w:rStyle w:val="Hyperlink"/>
            <w:highlight w:val="yellow"/>
          </w:rPr>
          <w:t xml:space="preserve"> del 22 marzo 2024</w:t>
        </w:r>
      </w:hyperlink>
      <w:r w:rsidR="0044660E" w:rsidRPr="00DB55DB">
        <w:rPr>
          <w:highlight w:val="yellow"/>
        </w:rPr>
        <w:t xml:space="preserve"> </w:t>
      </w:r>
      <w:r w:rsidR="003B3436">
        <w:rPr>
          <w:highlight w:val="yellow"/>
        </w:rPr>
        <w:t>(in GU</w:t>
      </w:r>
      <w:r w:rsidR="00D32AD2">
        <w:rPr>
          <w:highlight w:val="yellow"/>
        </w:rPr>
        <w:t xml:space="preserve"> n. 96 del 24/4/2024) </w:t>
      </w:r>
      <w:r w:rsidR="0044660E" w:rsidRPr="00DB55DB">
        <w:rPr>
          <w:highlight w:val="yellow"/>
        </w:rPr>
        <w:t xml:space="preserve">è </w:t>
      </w:r>
      <w:r w:rsidR="004D3EDA" w:rsidRPr="00DB55DB">
        <w:rPr>
          <w:highlight w:val="yellow"/>
        </w:rPr>
        <w:t xml:space="preserve">stato </w:t>
      </w:r>
      <w:r w:rsidR="0044660E" w:rsidRPr="00DB55DB">
        <w:rPr>
          <w:highlight w:val="yellow"/>
        </w:rPr>
        <w:t>definito l'elenco delle eventuali patologie oncologiche per le quali si applicano termini inferiori rispetto a quelli previsti dalla legge</w:t>
      </w:r>
      <w:r w:rsidR="004D3EDA" w:rsidRPr="00DB55DB">
        <w:rPr>
          <w:highlight w:val="yellow"/>
        </w:rPr>
        <w:t xml:space="preserve"> (art. 5.2, l</w:t>
      </w:r>
      <w:r w:rsidR="00A23788" w:rsidRPr="00DB55DB">
        <w:rPr>
          <w:highlight w:val="yellow"/>
        </w:rPr>
        <w:t xml:space="preserve">. 193/2023) </w:t>
      </w:r>
      <w:r w:rsidR="00852774" w:rsidRPr="00DB55DB">
        <w:rPr>
          <w:highlight w:val="yellow"/>
        </w:rPr>
        <w:t>e</w:t>
      </w:r>
      <w:r w:rsidR="0044660E" w:rsidRPr="00DB55DB">
        <w:rPr>
          <w:highlight w:val="yellow"/>
        </w:rPr>
        <w:t xml:space="preserve"> </w:t>
      </w:r>
      <w:r w:rsidR="002E12B2" w:rsidRPr="00DB55DB">
        <w:rPr>
          <w:highlight w:val="yellow"/>
        </w:rPr>
        <w:t>l’allegato del decreto che riporta i termini ridotti</w:t>
      </w:r>
      <w:r w:rsidR="001B34C1" w:rsidRPr="00DB55DB">
        <w:rPr>
          <w:highlight w:val="yellow"/>
        </w:rPr>
        <w:t xml:space="preserve"> </w:t>
      </w:r>
      <w:r w:rsidR="00852774" w:rsidRPr="00DB55DB">
        <w:rPr>
          <w:highlight w:val="yellow"/>
        </w:rPr>
        <w:t>è</w:t>
      </w:r>
      <w:r w:rsidR="001B34C1" w:rsidRPr="00DB55DB">
        <w:rPr>
          <w:highlight w:val="yellow"/>
        </w:rPr>
        <w:t xml:space="preserve"> aggiornato, ove occorra, entro il 31 dicembre di</w:t>
      </w:r>
      <w:r w:rsidR="002E12B2" w:rsidRPr="00DB55DB">
        <w:rPr>
          <w:highlight w:val="yellow"/>
        </w:rPr>
        <w:t xml:space="preserve"> </w:t>
      </w:r>
      <w:r w:rsidR="001B34C1" w:rsidRPr="00DB55DB">
        <w:rPr>
          <w:highlight w:val="yellow"/>
        </w:rPr>
        <w:t>ogni anno</w:t>
      </w:r>
      <w:r w:rsidR="00690F33">
        <w:t xml:space="preserve">. </w:t>
      </w:r>
    </w:p>
    <w:p w14:paraId="2FA33006" w14:textId="1AD46067" w:rsidR="00382ADF" w:rsidRDefault="00382ADF" w:rsidP="00D04BDA">
      <w:pPr>
        <w:pStyle w:val="ListParagraph"/>
        <w:numPr>
          <w:ilvl w:val="0"/>
          <w:numId w:val="2"/>
        </w:numPr>
      </w:pPr>
      <w:r>
        <w:t xml:space="preserve">che </w:t>
      </w:r>
      <w:r w:rsidRPr="009A6E08">
        <w:rPr>
          <w:b/>
          <w:bCs/>
        </w:rPr>
        <w:t>non</w:t>
      </w:r>
      <w:r>
        <w:t xml:space="preserve"> si siano registrati </w:t>
      </w:r>
      <w:r w:rsidRPr="009A6E08">
        <w:t>episodi di</w:t>
      </w:r>
      <w:r w:rsidRPr="009A6E08">
        <w:rPr>
          <w:b/>
          <w:bCs/>
        </w:rPr>
        <w:t xml:space="preserve"> recidiva</w:t>
      </w:r>
      <w:r w:rsidR="009F5D70" w:rsidRPr="009F5D70">
        <w:t xml:space="preserve">; </w:t>
      </w:r>
      <w:r w:rsidR="00B21118">
        <w:t xml:space="preserve">cioè, </w:t>
      </w:r>
      <w:r w:rsidR="009F5D70" w:rsidRPr="009F5D70">
        <w:t>du</w:t>
      </w:r>
      <w:r w:rsidR="009F5D70">
        <w:t xml:space="preserve">rante il </w:t>
      </w:r>
      <w:r w:rsidR="007D2C31">
        <w:t xml:space="preserve">richiamato </w:t>
      </w:r>
      <w:r w:rsidR="009F5D70">
        <w:t xml:space="preserve">periodo </w:t>
      </w:r>
      <w:r w:rsidR="007D2C31">
        <w:t>decennale</w:t>
      </w:r>
      <w:r w:rsidR="001D52DE">
        <w:t xml:space="preserve">, </w:t>
      </w:r>
      <w:r w:rsidR="000C1006">
        <w:t>non devono essere ricomparsi i sintomi de</w:t>
      </w:r>
      <w:r w:rsidR="001D52DE">
        <w:t xml:space="preserve">l cancro </w:t>
      </w:r>
      <w:r w:rsidR="00D14B6C">
        <w:t>che sembrava apparentemente guarito</w:t>
      </w:r>
      <w:r>
        <w:t>.</w:t>
      </w:r>
    </w:p>
    <w:p w14:paraId="5EE5C460" w14:textId="785E2F97" w:rsidR="008142D9" w:rsidRDefault="0012333F" w:rsidP="00B95935">
      <w:pPr>
        <w:pStyle w:val="Heading2"/>
      </w:pPr>
      <w:r>
        <w:t>Disciplina contrattuale</w:t>
      </w:r>
    </w:p>
    <w:p w14:paraId="17E9526E" w14:textId="7AC67B85" w:rsidR="00F36847" w:rsidRDefault="001E24FB" w:rsidP="005902F5">
      <w:r>
        <w:t xml:space="preserve">Una prima applicazione del diritto all’oblio oncologico riguarda </w:t>
      </w:r>
      <w:r w:rsidR="00A075AD">
        <w:t>la stipula o il rinnovo di contratti</w:t>
      </w:r>
      <w:r w:rsidR="00B21118">
        <w:t xml:space="preserve"> assicurativi o finanziari, in senso lato</w:t>
      </w:r>
      <w:r w:rsidR="00F36847">
        <w:t>.</w:t>
      </w:r>
      <w:r w:rsidR="00A075AD">
        <w:t xml:space="preserve"> </w:t>
      </w:r>
    </w:p>
    <w:p w14:paraId="18A1C5B2" w14:textId="402C852C" w:rsidR="00947C36" w:rsidRDefault="00F36847" w:rsidP="005902F5">
      <w:r>
        <w:t xml:space="preserve">La rubrica dell’articolo 2 della legge fa specifico riferimento ai contratti </w:t>
      </w:r>
      <w:r w:rsidR="00A075AD">
        <w:t xml:space="preserve">relativi a </w:t>
      </w:r>
      <w:r w:rsidR="00A075AD" w:rsidRPr="00434588">
        <w:rPr>
          <w:b/>
          <w:bCs/>
        </w:rPr>
        <w:t>servizi bancari, finanziari, di investimento e assicurativi</w:t>
      </w:r>
      <w:r w:rsidR="00F2321A">
        <w:t xml:space="preserve">; </w:t>
      </w:r>
      <w:r w:rsidR="00E039EF">
        <w:t xml:space="preserve">tuttavia, </w:t>
      </w:r>
      <w:r w:rsidR="0034371C">
        <w:t xml:space="preserve">il contenuto del medesimo articolo </w:t>
      </w:r>
      <w:r w:rsidR="00E039EF">
        <w:t xml:space="preserve">estende l’ambito applicativo del diritto </w:t>
      </w:r>
      <w:r w:rsidR="00FD4DEC">
        <w:t xml:space="preserve">anche a </w:t>
      </w:r>
      <w:r w:rsidR="00FD4DEC">
        <w:rPr>
          <w:rFonts w:cstheme="minorHAnsi"/>
        </w:rPr>
        <w:t>«</w:t>
      </w:r>
      <w:r w:rsidR="00263966" w:rsidRPr="007A3A7E">
        <w:rPr>
          <w:i/>
          <w:iCs/>
        </w:rPr>
        <w:t>ogni altro tipo di contratto, anche esclusivamente tra privati</w:t>
      </w:r>
      <w:r w:rsidR="00263966">
        <w:rPr>
          <w:rFonts w:cstheme="minorHAnsi"/>
        </w:rPr>
        <w:t>»</w:t>
      </w:r>
      <w:r w:rsidR="00C1316D">
        <w:t xml:space="preserve">; questa esplicita estensione consente di affermare </w:t>
      </w:r>
      <w:r w:rsidR="00EA4815">
        <w:t xml:space="preserve">che il diritto all’oblio oncologico </w:t>
      </w:r>
      <w:r w:rsidR="003D17ED">
        <w:t>trova applicazione su</w:t>
      </w:r>
      <w:r w:rsidR="00EA4815">
        <w:t xml:space="preserve"> quals</w:t>
      </w:r>
      <w:r w:rsidR="00C54242">
        <w:t>ivoglia</w:t>
      </w:r>
      <w:r w:rsidR="00EA4815">
        <w:t xml:space="preserve"> tipo di contratto</w:t>
      </w:r>
      <w:r w:rsidR="004E4222">
        <w:t xml:space="preserve"> tra contraenti di natura sia pubblica sia privata</w:t>
      </w:r>
      <w:r w:rsidR="00EA4815">
        <w:t>.</w:t>
      </w:r>
    </w:p>
    <w:p w14:paraId="2AEC89BF" w14:textId="31219FB7" w:rsidR="001A3FFC" w:rsidRDefault="001A3FFC" w:rsidP="005902F5">
      <w:r>
        <w:t xml:space="preserve">La lettera della norma </w:t>
      </w:r>
      <w:r w:rsidR="008D58C3">
        <w:t>richiede</w:t>
      </w:r>
      <w:r w:rsidR="00CD1F82">
        <w:t xml:space="preserve"> </w:t>
      </w:r>
      <w:r w:rsidR="008D58C3">
        <w:t xml:space="preserve">che </w:t>
      </w:r>
      <w:r w:rsidR="00B079B5">
        <w:rPr>
          <w:rFonts w:cstheme="minorHAnsi"/>
        </w:rPr>
        <w:t xml:space="preserve">le informazioni sulla patologia oncologica siano </w:t>
      </w:r>
      <w:r w:rsidR="00AE7182">
        <w:rPr>
          <w:rFonts w:cstheme="minorHAnsi"/>
        </w:rPr>
        <w:t>«</w:t>
      </w:r>
      <w:r w:rsidR="00B079B5" w:rsidRPr="00AE7182">
        <w:rPr>
          <w:rFonts w:cstheme="minorHAnsi"/>
          <w:i/>
          <w:iCs/>
        </w:rPr>
        <w:t>suscettibili di in</w:t>
      </w:r>
      <w:r w:rsidR="00635EEC" w:rsidRPr="00AE7182">
        <w:rPr>
          <w:rFonts w:cstheme="minorHAnsi"/>
          <w:i/>
          <w:iCs/>
        </w:rPr>
        <w:t>fluenzare condizioni e termini</w:t>
      </w:r>
      <w:r w:rsidR="00AE7182">
        <w:rPr>
          <w:rFonts w:cstheme="minorHAnsi"/>
        </w:rPr>
        <w:t>»</w:t>
      </w:r>
      <w:r w:rsidR="00635EEC">
        <w:rPr>
          <w:rFonts w:cstheme="minorHAnsi"/>
        </w:rPr>
        <w:t xml:space="preserve"> contrattuali, come </w:t>
      </w:r>
      <w:r w:rsidR="00CD1F82">
        <w:t xml:space="preserve">ulteriore condizione al diritto </w:t>
      </w:r>
      <w:r w:rsidR="00635EEC">
        <w:t>all’oblio.</w:t>
      </w:r>
      <w:r w:rsidR="00AE147D">
        <w:t xml:space="preserve"> </w:t>
      </w:r>
      <w:r w:rsidR="0090166D">
        <w:t xml:space="preserve">Questa previsione sembra pleonastica </w:t>
      </w:r>
      <w:r w:rsidR="00822D70">
        <w:t>in quanto</w:t>
      </w:r>
      <w:r w:rsidR="0065583A">
        <w:t>, in caso contrario, le stesse informazioni risulterebbero non pertinenti</w:t>
      </w:r>
      <w:r w:rsidR="00F874D4">
        <w:t xml:space="preserve">, per cui la loro raccolta </w:t>
      </w:r>
      <w:r w:rsidR="0073414A">
        <w:t>sa</w:t>
      </w:r>
      <w:r w:rsidR="00F874D4">
        <w:t xml:space="preserve">rebbe </w:t>
      </w:r>
      <w:r w:rsidR="00AE7182">
        <w:t>illecita</w:t>
      </w:r>
      <w:r w:rsidR="00457D4B">
        <w:t xml:space="preserve">, </w:t>
      </w:r>
      <w:r w:rsidR="00F874D4">
        <w:t xml:space="preserve">in </w:t>
      </w:r>
      <w:r w:rsidR="00457D4B">
        <w:t xml:space="preserve">quanto in </w:t>
      </w:r>
      <w:r w:rsidR="00F874D4">
        <w:t xml:space="preserve">violazione del principio </w:t>
      </w:r>
      <w:r w:rsidR="00F24D6E">
        <w:t>di minimizzazione dei</w:t>
      </w:r>
      <w:r w:rsidR="002D5AE9">
        <w:t xml:space="preserve"> dati</w:t>
      </w:r>
      <w:r w:rsidR="007F3E27">
        <w:t xml:space="preserve"> (art. 5(1)(c)</w:t>
      </w:r>
      <w:r w:rsidR="002D5AE9" w:rsidRPr="002D5AE9">
        <w:t xml:space="preserve"> del GDPR</w:t>
      </w:r>
      <w:r w:rsidR="00731B44">
        <w:t>).</w:t>
      </w:r>
    </w:p>
    <w:p w14:paraId="5AAEB30C" w14:textId="241F644D" w:rsidR="00B129FB" w:rsidRDefault="00B129FB" w:rsidP="005902F5">
      <w:r w:rsidRPr="00B129FB">
        <w:t xml:space="preserve">La legge prevede che entro sei mesi dal 2 gennaio 2024, sentito il Garante, sia il </w:t>
      </w:r>
      <w:r w:rsidRPr="00457D4B">
        <w:rPr>
          <w:b/>
          <w:bCs/>
        </w:rPr>
        <w:t>CICR</w:t>
      </w:r>
      <w:r w:rsidRPr="00B129FB">
        <w:t xml:space="preserve"> sia l’</w:t>
      </w:r>
      <w:r w:rsidRPr="00457D4B">
        <w:rPr>
          <w:b/>
          <w:bCs/>
        </w:rPr>
        <w:t>IVASS</w:t>
      </w:r>
      <w:r w:rsidRPr="00B129FB">
        <w:t xml:space="preserve"> stabiliranno le modalità attuative delle prescrizioni in materia contrattuale, eventualmente predisponendo moduli e formulari</w:t>
      </w:r>
      <w:r>
        <w:t xml:space="preserve"> (art. 2.7, l. n. 193/2023)</w:t>
      </w:r>
      <w:r w:rsidRPr="00B129FB">
        <w:t>.</w:t>
      </w:r>
    </w:p>
    <w:p w14:paraId="328900E9" w14:textId="0F57AE0A" w:rsidR="0027453A" w:rsidRDefault="00A51347" w:rsidP="00A51347">
      <w:pPr>
        <w:pStyle w:val="Heading3"/>
      </w:pPr>
      <w:r>
        <w:t>Divieto di richiedere informazioni</w:t>
      </w:r>
    </w:p>
    <w:p w14:paraId="07551649" w14:textId="77777777" w:rsidR="00CD75B5" w:rsidRDefault="00CD75B5" w:rsidP="00CD75B5">
      <w:r>
        <w:t>Nell’ambito contrattuale il diritto all’oblio oncologico si articola nel modo seguente:</w:t>
      </w:r>
    </w:p>
    <w:p w14:paraId="6644A24B" w14:textId="77777777" w:rsidR="00CD75B5" w:rsidRDefault="00CD75B5" w:rsidP="00CD75B5">
      <w:pPr>
        <w:pStyle w:val="ListParagraph"/>
        <w:numPr>
          <w:ilvl w:val="0"/>
          <w:numId w:val="3"/>
        </w:numPr>
      </w:pPr>
      <w:r w:rsidRPr="00794C98">
        <w:rPr>
          <w:b/>
          <w:bCs/>
        </w:rPr>
        <w:t>inammissibilità della richiesta di informazioni</w:t>
      </w:r>
      <w:r w:rsidRPr="007F1F88">
        <w:t xml:space="preserve"> relative allo stato di salute della persona fisica contraente concernenti patologie oncologiche</w:t>
      </w:r>
      <w:r>
        <w:t xml:space="preserve"> pregresse, nei limiti applicativi del diritto</w:t>
      </w:r>
    </w:p>
    <w:p w14:paraId="721304CA" w14:textId="7FB789DC" w:rsidR="00CD75B5" w:rsidRDefault="00CD75B5" w:rsidP="00CD75B5">
      <w:pPr>
        <w:pStyle w:val="ListParagraph"/>
        <w:numPr>
          <w:ilvl w:val="0"/>
          <w:numId w:val="3"/>
        </w:numPr>
      </w:pPr>
      <w:r w:rsidRPr="00794C98">
        <w:rPr>
          <w:b/>
          <w:bCs/>
        </w:rPr>
        <w:t>divieto di acquisire tali informazioni</w:t>
      </w:r>
      <w:r>
        <w:t xml:space="preserve"> </w:t>
      </w:r>
      <w:r w:rsidR="00F4769E">
        <w:t xml:space="preserve">anche </w:t>
      </w:r>
      <w:r>
        <w:rPr>
          <w:rFonts w:cstheme="minorHAnsi"/>
        </w:rPr>
        <w:t>«</w:t>
      </w:r>
      <w:r w:rsidRPr="00774D4E">
        <w:rPr>
          <w:i/>
          <w:iCs/>
        </w:rPr>
        <w:t>da fonti diverse dal contraente</w:t>
      </w:r>
      <w:r>
        <w:rPr>
          <w:rFonts w:cstheme="minorHAnsi"/>
        </w:rPr>
        <w:t>»</w:t>
      </w:r>
    </w:p>
    <w:p w14:paraId="5EABA8A6" w14:textId="77777777" w:rsidR="00CD75B5" w:rsidRDefault="00CD75B5" w:rsidP="00CD75B5">
      <w:pPr>
        <w:pStyle w:val="ListParagraph"/>
        <w:numPr>
          <w:ilvl w:val="0"/>
          <w:numId w:val="3"/>
        </w:numPr>
      </w:pPr>
      <w:r w:rsidRPr="00794C98">
        <w:rPr>
          <w:rFonts w:cstheme="minorHAnsi"/>
          <w:b/>
          <w:bCs/>
        </w:rPr>
        <w:t>divieto di utilizzo delle richiamate informazioni</w:t>
      </w:r>
      <w:r>
        <w:rPr>
          <w:rFonts w:cstheme="minorHAnsi"/>
        </w:rPr>
        <w:t>, che fossero eventualmente nella disponibilità dell’operatore o dell’intermediario, «</w:t>
      </w:r>
      <w:r w:rsidRPr="00774D4E">
        <w:rPr>
          <w:rFonts w:cstheme="minorHAnsi"/>
          <w:i/>
          <w:iCs/>
        </w:rPr>
        <w:t>per la determinazione delle condizioni contrattuali</w:t>
      </w:r>
      <w:r>
        <w:rPr>
          <w:rFonts w:cstheme="minorHAnsi"/>
        </w:rPr>
        <w:t>» oppure «</w:t>
      </w:r>
      <w:r w:rsidRPr="00774D4E">
        <w:rPr>
          <w:rFonts w:cstheme="minorHAnsi"/>
          <w:i/>
          <w:iCs/>
        </w:rPr>
        <w:t>ai fini della valutazione del rischio dell'operazione o della solvibilità del contraente</w:t>
      </w:r>
      <w:r>
        <w:rPr>
          <w:rFonts w:cstheme="minorHAnsi"/>
        </w:rPr>
        <w:t>»</w:t>
      </w:r>
    </w:p>
    <w:p w14:paraId="52A7035A" w14:textId="5D7E471F" w:rsidR="00B93A07" w:rsidRPr="00B93A07" w:rsidRDefault="003E2B0F" w:rsidP="00B93A07">
      <w:pPr>
        <w:pStyle w:val="ListParagraph"/>
        <w:numPr>
          <w:ilvl w:val="0"/>
          <w:numId w:val="3"/>
        </w:numPr>
      </w:pPr>
      <w:r>
        <w:rPr>
          <w:rFonts w:cstheme="minorHAnsi"/>
        </w:rPr>
        <w:t>divieto di «</w:t>
      </w:r>
      <w:r w:rsidRPr="00A82B6F">
        <w:rPr>
          <w:rFonts w:cstheme="minorHAnsi"/>
          <w:i/>
          <w:iCs/>
        </w:rPr>
        <w:t>richiedere l'effettuazione di visite mediche di controllo e di accertamenti sanitari</w:t>
      </w:r>
      <w:r>
        <w:rPr>
          <w:rFonts w:cstheme="minorHAnsi"/>
        </w:rPr>
        <w:t>» in ambito oncologico.</w:t>
      </w:r>
    </w:p>
    <w:p w14:paraId="0D43590B" w14:textId="3CFB67E6" w:rsidR="00A51347" w:rsidRPr="00A51347" w:rsidRDefault="00A51347" w:rsidP="00A51347">
      <w:pPr>
        <w:pStyle w:val="Heading3"/>
      </w:pPr>
      <w:r>
        <w:lastRenderedPageBreak/>
        <w:t>Diritto di omettere informazioni</w:t>
      </w:r>
    </w:p>
    <w:p w14:paraId="61533DE8" w14:textId="150C79C3" w:rsidR="0060729B" w:rsidRDefault="002C29B2" w:rsidP="002C29B2">
      <w:r>
        <w:t xml:space="preserve">Più in generale, </w:t>
      </w:r>
      <w:r w:rsidR="00C11849">
        <w:t xml:space="preserve">la normativa sull’oblio oncologico interviene </w:t>
      </w:r>
      <w:r w:rsidR="001E69C9">
        <w:t xml:space="preserve">anche </w:t>
      </w:r>
      <w:r w:rsidR="00C11849">
        <w:t xml:space="preserve">sulle regole </w:t>
      </w:r>
      <w:r w:rsidR="003554C2">
        <w:t xml:space="preserve">generali </w:t>
      </w:r>
      <w:r w:rsidR="00C11849">
        <w:t>d</w:t>
      </w:r>
      <w:r w:rsidR="00A473F6">
        <w:t>ei rapporti contrattuali</w:t>
      </w:r>
      <w:r w:rsidR="00555E51">
        <w:t xml:space="preserve">, riconoscendo il diritto </w:t>
      </w:r>
      <w:r w:rsidR="0060729B">
        <w:t xml:space="preserve">del soggetto guarito dal cancro di omettere l’informazione sulla patologia </w:t>
      </w:r>
      <w:r w:rsidR="00186E27">
        <w:t>oncologica</w:t>
      </w:r>
      <w:r w:rsidR="00030A47">
        <w:t xml:space="preserve"> </w:t>
      </w:r>
      <w:r w:rsidR="0060729B">
        <w:t>all’altro contraente</w:t>
      </w:r>
      <w:r w:rsidR="00B06CBD">
        <w:t xml:space="preserve">, evitando il rischio </w:t>
      </w:r>
      <w:r w:rsidR="009318B8">
        <w:t>di accusa di comportamento negoziale scorretto</w:t>
      </w:r>
      <w:r w:rsidR="00A5478D">
        <w:t xml:space="preserve">. </w:t>
      </w:r>
      <w:r w:rsidR="004D360D">
        <w:t xml:space="preserve">La regola generale </w:t>
      </w:r>
      <w:r w:rsidR="004F10AD">
        <w:t xml:space="preserve">sulla buona fede contrattuale, infatti, impone alle parti </w:t>
      </w:r>
      <w:r w:rsidR="00D30866">
        <w:t>di comportarsi in tal senso</w:t>
      </w:r>
      <w:r w:rsidR="00395554">
        <w:t xml:space="preserve"> </w:t>
      </w:r>
      <w:r w:rsidR="00395554">
        <w:rPr>
          <w:rFonts w:cstheme="minorHAnsi"/>
        </w:rPr>
        <w:t>«</w:t>
      </w:r>
      <w:r w:rsidR="00395554" w:rsidRPr="007706CB">
        <w:rPr>
          <w:i/>
          <w:iCs/>
        </w:rPr>
        <w:t>nello svolgimento delle trattative e nella formazione del contratto</w:t>
      </w:r>
      <w:r w:rsidR="00395554">
        <w:rPr>
          <w:rFonts w:cstheme="minorHAnsi"/>
        </w:rPr>
        <w:t>»</w:t>
      </w:r>
      <w:r w:rsidR="00395554">
        <w:t xml:space="preserve"> (art. 1337, codice civile).</w:t>
      </w:r>
    </w:p>
    <w:p w14:paraId="01F1A61C" w14:textId="29757768" w:rsidR="0093269D" w:rsidRDefault="0093269D" w:rsidP="00546040">
      <w:r>
        <w:t xml:space="preserve">Ad esempio, </w:t>
      </w:r>
      <w:r w:rsidR="00BA6D45">
        <w:t>l’articolo</w:t>
      </w:r>
      <w:r>
        <w:t xml:space="preserve"> 1892 del codice civile </w:t>
      </w:r>
      <w:r w:rsidR="00DA379C">
        <w:t>disciplina i</w:t>
      </w:r>
      <w:r w:rsidR="00BA6D45">
        <w:t>l</w:t>
      </w:r>
      <w:r w:rsidR="00DA379C">
        <w:t xml:space="preserve"> cas</w:t>
      </w:r>
      <w:r w:rsidR="00BA6D45">
        <w:t>o</w:t>
      </w:r>
      <w:r w:rsidR="00DA379C">
        <w:t xml:space="preserve"> di dichiarazioni inesat</w:t>
      </w:r>
      <w:r w:rsidR="005F1AEE">
        <w:t>te e reticenze nell’ambito dei contratti di assicurazione</w:t>
      </w:r>
      <w:r w:rsidR="00936FC7" w:rsidRPr="00936FC7">
        <w:t xml:space="preserve"> </w:t>
      </w:r>
      <w:r w:rsidR="00936FC7">
        <w:t>che sono causa di annullamento del contratto quando il contraente ha agito con dolo o con colpa grave</w:t>
      </w:r>
      <w:r w:rsidR="00632DCF">
        <w:t>;</w:t>
      </w:r>
      <w:r w:rsidR="00950D00">
        <w:t xml:space="preserve"> </w:t>
      </w:r>
      <w:r w:rsidR="00856555">
        <w:t>se le informazioni omesse</w:t>
      </w:r>
      <w:r w:rsidR="00950D00">
        <w:t xml:space="preserve"> </w:t>
      </w:r>
      <w:r w:rsidR="00856555">
        <w:t>sono</w:t>
      </w:r>
      <w:r w:rsidR="00950D00">
        <w:t xml:space="preserve"> tali </w:t>
      </w:r>
      <w:r w:rsidR="00546040">
        <w:t>che l'assicuratore non avrebbe dato il suo consenso o non lo avrebbe dato alle medesime condizioni</w:t>
      </w:r>
      <w:r w:rsidR="00347F84">
        <w:t xml:space="preserve"> </w:t>
      </w:r>
      <w:r w:rsidR="00546040">
        <w:t>se avesse conosciuto il vero stato delle cose</w:t>
      </w:r>
      <w:r w:rsidR="0038129D">
        <w:t>.</w:t>
      </w:r>
      <w:r w:rsidR="00F53747">
        <w:t xml:space="preserve"> Conseguenze sono previste anche nell’ipotesi in cui </w:t>
      </w:r>
      <w:r w:rsidR="000905CF">
        <w:t>inesattezze e reticenze non sono dovute a dolo o colpa grave</w:t>
      </w:r>
      <w:r w:rsidR="00FE71EF">
        <w:t xml:space="preserve"> (art. 1893, c.c.)</w:t>
      </w:r>
      <w:r w:rsidR="000905CF">
        <w:t>.</w:t>
      </w:r>
    </w:p>
    <w:p w14:paraId="24061C85" w14:textId="2FD9534C" w:rsidR="002C29B2" w:rsidRDefault="006D69A7" w:rsidP="002C29B2">
      <w:r w:rsidRPr="006D69A7">
        <w:t>Considerando la possibilità che, nel caso di omissione delle informazioni menzionate</w:t>
      </w:r>
      <w:r w:rsidR="003A3208">
        <w:t xml:space="preserve"> e in assenza dell</w:t>
      </w:r>
      <w:r w:rsidR="002F6313">
        <w:t>o specifico intervento della legge n. 193</w:t>
      </w:r>
      <w:r w:rsidRPr="006D69A7">
        <w:t>, l</w:t>
      </w:r>
      <w:r w:rsidR="00C0523A">
        <w:t xml:space="preserve">a compagnia </w:t>
      </w:r>
      <w:r w:rsidRPr="006D69A7">
        <w:t>assicuratrice potrebbe rifiutarsi di pagare il risarcimento o che l'istituto finanziario o assicurativo potrebbe negare la sottoscrizione del contratto o introdurre clausole aggiuntive, con conseguente aumento dei costi e degli oneri.</w:t>
      </w:r>
    </w:p>
    <w:p w14:paraId="10A783CA" w14:textId="77777777" w:rsidR="00721B8D" w:rsidRDefault="00721B8D" w:rsidP="00721B8D">
      <w:pPr>
        <w:pStyle w:val="Heading3"/>
      </w:pPr>
      <w:r>
        <w:t>Obblighi informativi</w:t>
      </w:r>
    </w:p>
    <w:p w14:paraId="596BDED9" w14:textId="74725982" w:rsidR="00721B8D" w:rsidRDefault="003B35D1" w:rsidP="00DB6F86">
      <w:r w:rsidRPr="003B35D1">
        <w:t>Il legislatore impone</w:t>
      </w:r>
      <w:r w:rsidR="0041180E" w:rsidRPr="0041180E">
        <w:t xml:space="preserve"> </w:t>
      </w:r>
      <w:r w:rsidR="0041180E">
        <w:t xml:space="preserve">a </w:t>
      </w:r>
      <w:r w:rsidR="0041180E" w:rsidRPr="0041180E">
        <w:t xml:space="preserve">banche, istituti di credito, imprese di assicurazione e intermediari finanziari e assicurativi </w:t>
      </w:r>
      <w:r w:rsidR="00721B8D" w:rsidRPr="00DB6F86">
        <w:rPr>
          <w:b/>
          <w:bCs/>
        </w:rPr>
        <w:t>obblighi informativi adeguati</w:t>
      </w:r>
      <w:r w:rsidR="00721B8D">
        <w:t xml:space="preserve"> </w:t>
      </w:r>
      <w:r w:rsidR="00012108">
        <w:t xml:space="preserve">verso </w:t>
      </w:r>
      <w:r w:rsidR="0061344F">
        <w:t>il “contraente”</w:t>
      </w:r>
      <w:r w:rsidR="003B3D8A">
        <w:t>,</w:t>
      </w:r>
      <w:r w:rsidR="00721B8D">
        <w:t xml:space="preserve"> riguardo al proprio diritto all’oblio</w:t>
      </w:r>
      <w:r w:rsidR="00012108">
        <w:t>.</w:t>
      </w:r>
    </w:p>
    <w:p w14:paraId="0FB2C4ED" w14:textId="2DDF2C22" w:rsidR="00D12BBF" w:rsidRDefault="003406F1" w:rsidP="00DB6F86">
      <w:pPr>
        <w:rPr>
          <w:rFonts w:cstheme="minorHAnsi"/>
        </w:rPr>
      </w:pPr>
      <w:r>
        <w:t xml:space="preserve">La prescrizione aggiuntiva della </w:t>
      </w:r>
      <w:r w:rsidR="009C3A9E">
        <w:rPr>
          <w:rFonts w:cstheme="minorHAnsi"/>
        </w:rPr>
        <w:t>«</w:t>
      </w:r>
      <w:r w:rsidR="009C3A9E" w:rsidRPr="00107B10">
        <w:rPr>
          <w:rFonts w:cstheme="minorHAnsi"/>
          <w:i/>
          <w:iCs/>
        </w:rPr>
        <w:t>espressa menzione nei moduli o formulari predisposti e utilizzati ai fini della stipulazione o del rinnovo dei predetti contratti</w:t>
      </w:r>
      <w:r w:rsidR="009C3A9E">
        <w:rPr>
          <w:rFonts w:cstheme="minorHAnsi"/>
        </w:rPr>
        <w:t>»</w:t>
      </w:r>
      <w:r w:rsidR="00107B10">
        <w:rPr>
          <w:rFonts w:cstheme="minorHAnsi"/>
        </w:rPr>
        <w:t xml:space="preserve"> fa presumere che tale obbligo </w:t>
      </w:r>
      <w:r w:rsidR="00A82B73">
        <w:rPr>
          <w:rFonts w:cstheme="minorHAnsi"/>
        </w:rPr>
        <w:t xml:space="preserve">di trasparenza </w:t>
      </w:r>
      <w:r w:rsidR="00F8281A">
        <w:rPr>
          <w:rFonts w:cstheme="minorHAnsi"/>
        </w:rPr>
        <w:t xml:space="preserve">sia suddivisibile in una informativa breve, da inserire nei moduli o formulari, e una </w:t>
      </w:r>
      <w:r w:rsidR="006F0831">
        <w:rPr>
          <w:rFonts w:cstheme="minorHAnsi"/>
        </w:rPr>
        <w:t xml:space="preserve">completa da rendere disponibile anche con modalità </w:t>
      </w:r>
      <w:r w:rsidR="00FB3AA4">
        <w:rPr>
          <w:rFonts w:cstheme="minorHAnsi"/>
        </w:rPr>
        <w:t xml:space="preserve">differenti, </w:t>
      </w:r>
      <w:r w:rsidR="00875908">
        <w:rPr>
          <w:rFonts w:cstheme="minorHAnsi"/>
        </w:rPr>
        <w:t>come mediante pubblicazione sul proprio sito istituzionale online</w:t>
      </w:r>
      <w:r w:rsidR="003F2BA0">
        <w:rPr>
          <w:rFonts w:cstheme="minorHAnsi"/>
        </w:rPr>
        <w:t xml:space="preserve"> (art. 2</w:t>
      </w:r>
      <w:r w:rsidR="000B6CED">
        <w:rPr>
          <w:rFonts w:cstheme="minorHAnsi"/>
        </w:rPr>
        <w:t>.</w:t>
      </w:r>
      <w:r w:rsidR="003F2BA0">
        <w:rPr>
          <w:rFonts w:cstheme="minorHAnsi"/>
        </w:rPr>
        <w:t>2, l. 193/2023)</w:t>
      </w:r>
      <w:r w:rsidR="00875908">
        <w:rPr>
          <w:rFonts w:cstheme="minorHAnsi"/>
        </w:rPr>
        <w:t>.</w:t>
      </w:r>
    </w:p>
    <w:p w14:paraId="5D003A03" w14:textId="42F9AC0B" w:rsidR="00117F3F" w:rsidRDefault="00E830FA" w:rsidP="00DB6F86">
      <w:r>
        <w:rPr>
          <w:rFonts w:cstheme="minorHAnsi"/>
        </w:rPr>
        <w:t xml:space="preserve">L’adeguatezza dell’informativa lascia intendere che essa debba coprire tutti gli aspetti </w:t>
      </w:r>
      <w:r w:rsidR="00A70E91">
        <w:rPr>
          <w:rFonts w:cstheme="minorHAnsi"/>
        </w:rPr>
        <w:t xml:space="preserve">relativi al diritto all’oblio oncologico: </w:t>
      </w:r>
      <w:r w:rsidR="0020552B">
        <w:rPr>
          <w:rFonts w:cstheme="minorHAnsi"/>
        </w:rPr>
        <w:t>contenuto</w:t>
      </w:r>
      <w:r w:rsidR="00073547">
        <w:rPr>
          <w:rFonts w:cstheme="minorHAnsi"/>
        </w:rPr>
        <w:t xml:space="preserve"> e</w:t>
      </w:r>
      <w:r w:rsidR="008E75C1">
        <w:rPr>
          <w:rFonts w:cstheme="minorHAnsi"/>
        </w:rPr>
        <w:t xml:space="preserve"> modalità di esercizio (a chi rivolgersi, come e </w:t>
      </w:r>
      <w:r w:rsidR="00C64AC6">
        <w:rPr>
          <w:rFonts w:cstheme="minorHAnsi"/>
        </w:rPr>
        <w:t>a quali condizioni)</w:t>
      </w:r>
      <w:r w:rsidR="00073547">
        <w:rPr>
          <w:rFonts w:cstheme="minorHAnsi"/>
        </w:rPr>
        <w:t>.</w:t>
      </w:r>
    </w:p>
    <w:p w14:paraId="33FDCC97" w14:textId="77777777" w:rsidR="000D26C0" w:rsidRDefault="000D26C0" w:rsidP="00721B8D">
      <w:pPr>
        <w:pStyle w:val="Heading3"/>
      </w:pPr>
      <w:r>
        <w:t>Nullità</w:t>
      </w:r>
    </w:p>
    <w:p w14:paraId="698ACA43" w14:textId="4132523E" w:rsidR="00E22EE4" w:rsidRDefault="003E03BE" w:rsidP="003E03BE">
      <w:r>
        <w:t>La violazione delle disposizioni</w:t>
      </w:r>
      <w:r w:rsidR="009E6795">
        <w:t xml:space="preserve"> dell’articolo 2 della legge</w:t>
      </w:r>
      <w:r>
        <w:t xml:space="preserve"> </w:t>
      </w:r>
      <w:r w:rsidR="009E6795">
        <w:t xml:space="preserve">in materia di contrattazione bancaria, finanziaria e assicurativa </w:t>
      </w:r>
      <w:r w:rsidR="00B00193">
        <w:t xml:space="preserve">comporta la nullità delle clausole difformi dai principi </w:t>
      </w:r>
      <w:r w:rsidR="005674DF">
        <w:t>ivi contenuti</w:t>
      </w:r>
      <w:r w:rsidR="00424EB5">
        <w:t>,</w:t>
      </w:r>
      <w:r w:rsidR="00E22EE4" w:rsidRPr="00E22EE4">
        <w:t xml:space="preserve"> senza che ciò determini la nullità dell'intero contratto, che rimane valido ed efficace per il resto. </w:t>
      </w:r>
    </w:p>
    <w:p w14:paraId="056BEABB" w14:textId="77777777" w:rsidR="006B5DF6" w:rsidRDefault="006B5DF6" w:rsidP="006B5DF6">
      <w:r>
        <w:t xml:space="preserve">La norma speciale sulla nullità delle singole clausole, pertanto, è una precisa applicazione della regola generale secondo cui </w:t>
      </w:r>
      <w:r>
        <w:rPr>
          <w:rFonts w:cstheme="minorHAnsi"/>
        </w:rPr>
        <w:t>«</w:t>
      </w:r>
      <w:r w:rsidRPr="00B333CD">
        <w:rPr>
          <w:rFonts w:cstheme="minorHAnsi"/>
          <w:i/>
          <w:iCs/>
        </w:rPr>
        <w:t>[l]a nullità di singole clausole non importa la nullità del contratto, quando le clausole nulle sono sostituite di diritto da norme imperative.</w:t>
      </w:r>
      <w:r>
        <w:rPr>
          <w:rFonts w:cstheme="minorHAnsi"/>
        </w:rPr>
        <w:t>» (</w:t>
      </w:r>
      <w:r w:rsidRPr="00CD6AE7">
        <w:rPr>
          <w:rFonts w:cstheme="minorHAnsi"/>
        </w:rPr>
        <w:t>art. 1419</w:t>
      </w:r>
      <w:r>
        <w:rPr>
          <w:rFonts w:cstheme="minorHAnsi"/>
        </w:rPr>
        <w:t>, comma 2,</w:t>
      </w:r>
      <w:r w:rsidRPr="00CD6AE7">
        <w:rPr>
          <w:rFonts w:cstheme="minorHAnsi"/>
        </w:rPr>
        <w:t xml:space="preserve"> del codice civile</w:t>
      </w:r>
      <w:r>
        <w:rPr>
          <w:rFonts w:cstheme="minorHAnsi"/>
        </w:rPr>
        <w:t>)</w:t>
      </w:r>
      <w:r>
        <w:t>. L’azione per far dichiarare la nullità non è soggetta a prescrizione (art. 1422, c.c.).</w:t>
      </w:r>
    </w:p>
    <w:p w14:paraId="4F7BAB77" w14:textId="5DAA0C6F" w:rsidR="003E03BE" w:rsidRDefault="00DD47A1" w:rsidP="003E03BE">
      <w:r>
        <w:rPr>
          <w:rFonts w:cstheme="minorHAnsi"/>
        </w:rPr>
        <w:t>«</w:t>
      </w:r>
      <w:r w:rsidR="00E22EE4" w:rsidRPr="00DD47A1">
        <w:rPr>
          <w:i/>
          <w:iCs/>
        </w:rPr>
        <w:t>La nullità opera soltanto a vantaggio della persona fisica contraente e può essere rilevata d'ufficio dal giudice in ogni stato e grado del procedimento</w:t>
      </w:r>
      <w:r>
        <w:rPr>
          <w:rFonts w:cstheme="minorHAnsi"/>
        </w:rPr>
        <w:t>»</w:t>
      </w:r>
      <w:r w:rsidR="00E22EE4" w:rsidRPr="00E22EE4">
        <w:t xml:space="preserve"> (</w:t>
      </w:r>
      <w:r w:rsidR="00366157">
        <w:t>art. 2.</w:t>
      </w:r>
      <w:r w:rsidR="00E22EE4" w:rsidRPr="00E22EE4">
        <w:t>6).</w:t>
      </w:r>
      <w:r w:rsidR="005674DF">
        <w:t xml:space="preserve"> </w:t>
      </w:r>
      <w:r w:rsidR="003E712A">
        <w:t xml:space="preserve">Poiché, come anticipato </w:t>
      </w:r>
      <w:r w:rsidR="0034700B">
        <w:t xml:space="preserve">al paragrafo “Disciplina contrattuale”, il diritto all’oblio oncologico si applica anche a contratti tra </w:t>
      </w:r>
      <w:r w:rsidR="005432D6">
        <w:t>privati</w:t>
      </w:r>
      <w:r w:rsidR="00980E45">
        <w:t xml:space="preserve"> e, quindi, anche tra </w:t>
      </w:r>
      <w:r w:rsidR="00343454">
        <w:t xml:space="preserve">contraenti che siano entrambi persone fisiche, si deve </w:t>
      </w:r>
      <w:r w:rsidR="004F7976">
        <w:t xml:space="preserve">ritenere che l’espressione “persona fisica contraente” debba necessariamente riferirsi </w:t>
      </w:r>
      <w:r w:rsidR="009C3B80">
        <w:t>al contrante interessato dalla patologia oncologica.</w:t>
      </w:r>
    </w:p>
    <w:p w14:paraId="1A510F77" w14:textId="1E5813D6" w:rsidR="00721B8D" w:rsidRDefault="00721B8D" w:rsidP="00721B8D">
      <w:pPr>
        <w:pStyle w:val="Heading3"/>
      </w:pPr>
      <w:r>
        <w:t>Gratuità</w:t>
      </w:r>
    </w:p>
    <w:p w14:paraId="27CD2366" w14:textId="77777777" w:rsidR="002B3621" w:rsidRDefault="00F5412F" w:rsidP="00EE1BD7">
      <w:r>
        <w:t xml:space="preserve">Il diritto all’oblio oncologico deve essere </w:t>
      </w:r>
      <w:r w:rsidRPr="002B3621">
        <w:rPr>
          <w:b/>
          <w:bCs/>
        </w:rPr>
        <w:t>libero</w:t>
      </w:r>
      <w:r w:rsidR="00EE1BD7">
        <w:t xml:space="preserve">. </w:t>
      </w:r>
    </w:p>
    <w:p w14:paraId="2FD3C42D" w14:textId="3FE3F8D0" w:rsidR="00721B8D" w:rsidRDefault="00EE1BD7" w:rsidP="00EE1BD7">
      <w:pPr>
        <w:rPr>
          <w:rFonts w:cstheme="minorHAnsi"/>
        </w:rPr>
      </w:pPr>
      <w:r>
        <w:t>Il legislatore espressamente vieta l’</w:t>
      </w:r>
      <w:r w:rsidR="00721B8D">
        <w:t xml:space="preserve">applicazione alla controparte di </w:t>
      </w:r>
      <w:r w:rsidR="00721B8D">
        <w:rPr>
          <w:rFonts w:cstheme="minorHAnsi"/>
        </w:rPr>
        <w:t>«</w:t>
      </w:r>
      <w:r w:rsidR="00721B8D" w:rsidRPr="00A82B6F">
        <w:rPr>
          <w:rFonts w:cstheme="minorHAnsi"/>
          <w:i/>
          <w:iCs/>
        </w:rPr>
        <w:t>limiti, costi e oneri aggiuntivi né trattamenti diversi rispetto a quelli previsti per la generalità dei contraenti</w:t>
      </w:r>
      <w:r w:rsidR="00721B8D">
        <w:rPr>
          <w:rFonts w:cstheme="minorHAnsi"/>
        </w:rPr>
        <w:t>»</w:t>
      </w:r>
      <w:r w:rsidR="000B6CED">
        <w:rPr>
          <w:rFonts w:cstheme="minorHAnsi"/>
        </w:rPr>
        <w:t xml:space="preserve"> (art. 2.3, l. 193/2023)</w:t>
      </w:r>
      <w:r>
        <w:rPr>
          <w:rFonts w:cstheme="minorHAnsi"/>
        </w:rPr>
        <w:t>.</w:t>
      </w:r>
    </w:p>
    <w:p w14:paraId="3AD12DE6" w14:textId="158C45E5" w:rsidR="00B369E5" w:rsidRDefault="00B369E5" w:rsidP="00EE1BD7">
      <w:pPr>
        <w:rPr>
          <w:rFonts w:cstheme="minorHAnsi"/>
        </w:rPr>
      </w:pPr>
      <w:r>
        <w:rPr>
          <w:rFonts w:cstheme="minorHAnsi"/>
        </w:rPr>
        <w:lastRenderedPageBreak/>
        <w:t>Di conseguenza, l’esercizio del diritto:</w:t>
      </w:r>
    </w:p>
    <w:p w14:paraId="0C1E2D25" w14:textId="5FD93D22" w:rsidR="00723AB8" w:rsidRDefault="00723AB8" w:rsidP="00723AB8">
      <w:pPr>
        <w:pStyle w:val="ListParagraph"/>
        <w:numPr>
          <w:ilvl w:val="0"/>
          <w:numId w:val="4"/>
        </w:numPr>
      </w:pPr>
      <w:r w:rsidRPr="00723AB8">
        <w:rPr>
          <w:b/>
          <w:bCs/>
        </w:rPr>
        <w:t>non deve subire riduzioni</w:t>
      </w:r>
      <w:r>
        <w:t xml:space="preserve"> rispetto a quanto normato</w:t>
      </w:r>
    </w:p>
    <w:p w14:paraId="45DC01E6" w14:textId="53DF1A6A" w:rsidR="00723AB8" w:rsidRDefault="00723AB8" w:rsidP="00723AB8">
      <w:pPr>
        <w:pStyle w:val="ListParagraph"/>
        <w:numPr>
          <w:ilvl w:val="0"/>
          <w:numId w:val="4"/>
        </w:numPr>
      </w:pPr>
      <w:r>
        <w:t xml:space="preserve">deve essere </w:t>
      </w:r>
      <w:r w:rsidRPr="00723AB8">
        <w:rPr>
          <w:b/>
          <w:bCs/>
        </w:rPr>
        <w:t>gratuito</w:t>
      </w:r>
      <w:r>
        <w:t xml:space="preserve"> </w:t>
      </w:r>
    </w:p>
    <w:p w14:paraId="50B172E8" w14:textId="3BE0FABE" w:rsidR="00CA66D4" w:rsidRPr="00CA66D4" w:rsidRDefault="00CA66D4" w:rsidP="00723AB8">
      <w:pPr>
        <w:pStyle w:val="ListParagraph"/>
        <w:numPr>
          <w:ilvl w:val="0"/>
          <w:numId w:val="4"/>
        </w:numPr>
      </w:pPr>
      <w:r w:rsidRPr="00CA66D4">
        <w:rPr>
          <w:b/>
          <w:bCs/>
        </w:rPr>
        <w:t>non</w:t>
      </w:r>
      <w:r>
        <w:t xml:space="preserve"> deve essere soggetto a </w:t>
      </w:r>
      <w:r w:rsidRPr="00CA66D4">
        <w:rPr>
          <w:b/>
          <w:bCs/>
        </w:rPr>
        <w:t>condizioni</w:t>
      </w:r>
    </w:p>
    <w:p w14:paraId="3ADB6341" w14:textId="7D0495AB" w:rsidR="00CA66D4" w:rsidRPr="00325092" w:rsidRDefault="00EB1EFE" w:rsidP="00723AB8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non </w:t>
      </w:r>
      <w:r w:rsidRPr="00EB1EFE">
        <w:t>deve</w:t>
      </w:r>
      <w:r>
        <w:rPr>
          <w:b/>
          <w:bCs/>
        </w:rPr>
        <w:t xml:space="preserve"> discriminare </w:t>
      </w:r>
      <w:r w:rsidRPr="00EB1EFE">
        <w:t>i beneficiari rispetto agli altri contraenti.</w:t>
      </w:r>
    </w:p>
    <w:p w14:paraId="43EA4B1F" w14:textId="77777777" w:rsidR="000331DF" w:rsidRDefault="000331DF" w:rsidP="003C0E8E">
      <w:pPr>
        <w:pStyle w:val="Heading2"/>
      </w:pPr>
      <w:r>
        <w:t>Certificazione</w:t>
      </w:r>
    </w:p>
    <w:p w14:paraId="2EF0B48B" w14:textId="16756C0E" w:rsidR="000943F6" w:rsidRDefault="000943F6" w:rsidP="000943F6">
      <w:r>
        <w:t xml:space="preserve">Poiché il diritto all’oblio oncologico </w:t>
      </w:r>
      <w:r w:rsidR="00464136">
        <w:t xml:space="preserve">nasce solo dopo il trascorrere di un determinato lasso temporale </w:t>
      </w:r>
      <w:r w:rsidR="005C2865">
        <w:t xml:space="preserve">dal completamento della terapia, senza ricadute, può capitare che </w:t>
      </w:r>
      <w:r w:rsidR="00B34A14">
        <w:t>le informazioni sulla salute del contraente riguardo alla patologia oncologica siano già nella disponibilità degli operatori</w:t>
      </w:r>
      <w:r w:rsidR="009C455B">
        <w:t xml:space="preserve">, semmai fornite in precedenza dallo stesso </w:t>
      </w:r>
      <w:r w:rsidR="00BA4675">
        <w:t>“</w:t>
      </w:r>
      <w:r w:rsidR="009C455B">
        <w:t>contraente</w:t>
      </w:r>
      <w:r w:rsidR="00BA4675">
        <w:t>”</w:t>
      </w:r>
      <w:r w:rsidR="00B34A14">
        <w:t xml:space="preserve">. </w:t>
      </w:r>
    </w:p>
    <w:p w14:paraId="0C148C8A" w14:textId="67B22515" w:rsidR="00681F99" w:rsidRDefault="00681F99" w:rsidP="000943F6">
      <w:r>
        <w:t xml:space="preserve">Per questo motivo, il legislatore ha individuato le modalità </w:t>
      </w:r>
      <w:r w:rsidR="00C7610D">
        <w:t xml:space="preserve">che rendono esercitabile il diritto per l’ottenimento della cancellazione delle </w:t>
      </w:r>
      <w:r w:rsidR="00793DEF">
        <w:t xml:space="preserve">pertinenti </w:t>
      </w:r>
      <w:r w:rsidR="00C7610D">
        <w:t xml:space="preserve">informazioni </w:t>
      </w:r>
      <w:r w:rsidR="00730329">
        <w:t xml:space="preserve">eventualmente </w:t>
      </w:r>
      <w:r w:rsidR="00793DEF">
        <w:t>detenute dall’operatore</w:t>
      </w:r>
      <w:r w:rsidR="00854D5A">
        <w:t>, anche</w:t>
      </w:r>
      <w:r w:rsidR="00606C3B">
        <w:t xml:space="preserve"> al fine di rendere operativo il divieto del loro utilizzo</w:t>
      </w:r>
      <w:r w:rsidR="00B72F1F">
        <w:t xml:space="preserve"> </w:t>
      </w:r>
      <w:r w:rsidR="0068618A">
        <w:rPr>
          <w:rFonts w:cstheme="minorHAnsi"/>
        </w:rPr>
        <w:t>«</w:t>
      </w:r>
      <w:r w:rsidR="0068618A" w:rsidRPr="003758F7">
        <w:rPr>
          <w:i/>
          <w:iCs/>
        </w:rPr>
        <w:t>ai fini del</w:t>
      </w:r>
      <w:r w:rsidR="00B72F1F" w:rsidRPr="003758F7">
        <w:rPr>
          <w:i/>
          <w:iCs/>
        </w:rPr>
        <w:t>la valutazione de</w:t>
      </w:r>
      <w:r w:rsidR="0068618A" w:rsidRPr="003758F7">
        <w:rPr>
          <w:i/>
          <w:iCs/>
        </w:rPr>
        <w:t>l</w:t>
      </w:r>
      <w:r w:rsidR="00B72F1F" w:rsidRPr="003758F7">
        <w:rPr>
          <w:i/>
          <w:iCs/>
        </w:rPr>
        <w:t xml:space="preserve"> rischio dell’operazione </w:t>
      </w:r>
      <w:r w:rsidR="00A61DCF" w:rsidRPr="003758F7">
        <w:rPr>
          <w:i/>
          <w:iCs/>
        </w:rPr>
        <w:t>o della solvibilità del contraente</w:t>
      </w:r>
      <w:r w:rsidR="00A61DCF">
        <w:rPr>
          <w:rFonts w:cstheme="minorHAnsi"/>
        </w:rPr>
        <w:t>»</w:t>
      </w:r>
      <w:r w:rsidR="00793DEF">
        <w:t xml:space="preserve">. </w:t>
      </w:r>
    </w:p>
    <w:p w14:paraId="094B020E" w14:textId="1C6F2ADA" w:rsidR="0073139B" w:rsidRDefault="00DE0A1B" w:rsidP="000943F6">
      <w:r>
        <w:t xml:space="preserve">Sarà </w:t>
      </w:r>
      <w:r w:rsidRPr="00776758">
        <w:rPr>
          <w:b/>
          <w:bCs/>
        </w:rPr>
        <w:t>onere del contraente</w:t>
      </w:r>
      <w:r>
        <w:t xml:space="preserve"> (</w:t>
      </w:r>
      <w:r w:rsidR="00E972E4">
        <w:t>cioè,</w:t>
      </w:r>
      <w:r>
        <w:t xml:space="preserve"> del soggetto interessato dalla patologia oncologica) </w:t>
      </w:r>
      <w:r w:rsidR="008F0710">
        <w:t xml:space="preserve">inviare tempestivamente agli operatori </w:t>
      </w:r>
      <w:r w:rsidR="0073139B">
        <w:t>la certificazione attestante</w:t>
      </w:r>
      <w:r w:rsidR="00165C69">
        <w:t xml:space="preserve"> la sussistenza dei requisiti </w:t>
      </w:r>
      <w:r w:rsidR="00102F35">
        <w:t>necessari per l’esercizio del diritto</w:t>
      </w:r>
      <w:r w:rsidR="00835335">
        <w:t xml:space="preserve">; l’invio deve avvenire </w:t>
      </w:r>
      <w:r w:rsidR="00E972E4">
        <w:t>m</w:t>
      </w:r>
      <w:r w:rsidR="0073139B">
        <w:t xml:space="preserve">ediante raccomandata </w:t>
      </w:r>
      <w:r w:rsidR="00E972E4">
        <w:t>a.r</w:t>
      </w:r>
      <w:r w:rsidR="00A73B23">
        <w:t>. o PEC.</w:t>
      </w:r>
    </w:p>
    <w:p w14:paraId="3AB8C66A" w14:textId="7EDA9AFD" w:rsidR="00B200A7" w:rsidRDefault="00AD7C3B" w:rsidP="00AD7C3B">
      <w:pPr>
        <w:pStyle w:val="Heading3"/>
      </w:pPr>
      <w:r>
        <w:t>Decreto Ministro della salute in tema di certificazione</w:t>
      </w:r>
    </w:p>
    <w:p w14:paraId="465ABD19" w14:textId="621953CF" w:rsidR="00B16C55" w:rsidRDefault="00A23036" w:rsidP="000943F6">
      <w:r w:rsidRPr="00776758">
        <w:rPr>
          <w:b/>
          <w:bCs/>
        </w:rPr>
        <w:t>M</w:t>
      </w:r>
      <w:r w:rsidR="00D70512" w:rsidRPr="00776758">
        <w:rPr>
          <w:b/>
          <w:bCs/>
        </w:rPr>
        <w:t xml:space="preserve">odalità </w:t>
      </w:r>
      <w:r w:rsidR="008D656D" w:rsidRPr="00776758">
        <w:rPr>
          <w:b/>
          <w:bCs/>
        </w:rPr>
        <w:t>e forme</w:t>
      </w:r>
      <w:r w:rsidR="008D656D">
        <w:t xml:space="preserve"> </w:t>
      </w:r>
      <w:r w:rsidR="00D70512">
        <w:t xml:space="preserve">per la richiesta </w:t>
      </w:r>
      <w:r w:rsidR="00740FFC">
        <w:t xml:space="preserve">della </w:t>
      </w:r>
      <w:r w:rsidR="00A73B23">
        <w:t>certificazione</w:t>
      </w:r>
      <w:r w:rsidR="00D70512">
        <w:t xml:space="preserve"> </w:t>
      </w:r>
      <w:r w:rsidR="008D656D">
        <w:t xml:space="preserve">sono disciplinate con decreto del </w:t>
      </w:r>
      <w:r w:rsidR="002E2B8B">
        <w:t xml:space="preserve">Ministro della salute, </w:t>
      </w:r>
      <w:r w:rsidR="00776758">
        <w:t xml:space="preserve">da emanare </w:t>
      </w:r>
      <w:r w:rsidR="002E2B8B">
        <w:t>entro sessanta giorni</w:t>
      </w:r>
      <w:r w:rsidR="00EB2E08">
        <w:t>, a partire</w:t>
      </w:r>
      <w:r w:rsidR="002E2B8B">
        <w:t xml:space="preserve"> dal 2 gennaio 2024</w:t>
      </w:r>
      <w:r w:rsidR="00776758">
        <w:t xml:space="preserve"> </w:t>
      </w:r>
      <w:r w:rsidR="00B16C55" w:rsidRPr="00B16C55">
        <w:t>(art</w:t>
      </w:r>
      <w:r w:rsidR="00B16C55">
        <w:t>t</w:t>
      </w:r>
      <w:r w:rsidR="00B16C55" w:rsidRPr="00B16C55">
        <w:t>. 2.</w:t>
      </w:r>
      <w:r w:rsidR="00B16C55">
        <w:t>5 e 5.1</w:t>
      </w:r>
      <w:r w:rsidR="00B16C55" w:rsidRPr="00B16C55">
        <w:t>, l. 193/2023)</w:t>
      </w:r>
      <w:r w:rsidR="00776758">
        <w:t>.</w:t>
      </w:r>
    </w:p>
    <w:p w14:paraId="20BB2DB0" w14:textId="6112BD7A" w:rsidR="0051216F" w:rsidRPr="000C7925" w:rsidRDefault="004E4446" w:rsidP="000943F6">
      <w:pPr>
        <w:rPr>
          <w:highlight w:val="yellow"/>
        </w:rPr>
      </w:pPr>
      <w:r w:rsidRPr="00311326">
        <w:rPr>
          <w:highlight w:val="yellow"/>
        </w:rPr>
        <w:t xml:space="preserve">In base a tale prescrizione, </w:t>
      </w:r>
      <w:r w:rsidR="006F69E3" w:rsidRPr="00311326">
        <w:rPr>
          <w:highlight w:val="yellow"/>
        </w:rPr>
        <w:t xml:space="preserve">il </w:t>
      </w:r>
      <w:r w:rsidR="00FD6799">
        <w:rPr>
          <w:highlight w:val="yellow"/>
        </w:rPr>
        <w:t>Ministero della salute ha</w:t>
      </w:r>
      <w:r w:rsidR="004F3007" w:rsidRPr="00311326">
        <w:rPr>
          <w:highlight w:val="yellow"/>
        </w:rPr>
        <w:t xml:space="preserve"> emanato </w:t>
      </w:r>
      <w:r w:rsidR="00FD6799">
        <w:rPr>
          <w:highlight w:val="yellow"/>
        </w:rPr>
        <w:t xml:space="preserve">il </w:t>
      </w:r>
      <w:hyperlink r:id="rId13" w:history="1">
        <w:r w:rsidR="00FD6799" w:rsidRPr="001A596F">
          <w:rPr>
            <w:rStyle w:val="Hyperlink"/>
            <w:highlight w:val="yellow"/>
          </w:rPr>
          <w:t xml:space="preserve">decreto </w:t>
        </w:r>
        <w:r w:rsidR="006F69E3" w:rsidRPr="001A596F">
          <w:rPr>
            <w:rStyle w:val="Hyperlink"/>
            <w:highlight w:val="yellow"/>
          </w:rPr>
          <w:t>5 luglio 2024</w:t>
        </w:r>
      </w:hyperlink>
      <w:r w:rsidR="006F69E3" w:rsidRPr="00311326">
        <w:rPr>
          <w:highlight w:val="yellow"/>
        </w:rPr>
        <w:t xml:space="preserve"> </w:t>
      </w:r>
      <w:r w:rsidR="003D1056">
        <w:rPr>
          <w:highlight w:val="yellow"/>
        </w:rPr>
        <w:t xml:space="preserve">(GU n. 177 del 30/7/2024) </w:t>
      </w:r>
      <w:r w:rsidR="00FD6799">
        <w:rPr>
          <w:highlight w:val="yellow"/>
        </w:rPr>
        <w:t xml:space="preserve">cioè, </w:t>
      </w:r>
      <w:r w:rsidR="006F69E3" w:rsidRPr="00311326">
        <w:rPr>
          <w:highlight w:val="yellow"/>
        </w:rPr>
        <w:t xml:space="preserve">il secondo decreto attuativo della legge sull’oblio oncologico </w:t>
      </w:r>
      <w:r w:rsidR="00F51631" w:rsidRPr="00311326">
        <w:rPr>
          <w:highlight w:val="yellow"/>
        </w:rPr>
        <w:t xml:space="preserve">con il quale sono state </w:t>
      </w:r>
      <w:r w:rsidR="00F51631" w:rsidRPr="000C7925">
        <w:rPr>
          <w:highlight w:val="yellow"/>
        </w:rPr>
        <w:t>disciplinate le modalità e le forme per ottenere la certificazione per l’esercizio del diritto.</w:t>
      </w:r>
      <w:r w:rsidR="00F10038" w:rsidRPr="000C7925">
        <w:rPr>
          <w:highlight w:val="yellow"/>
        </w:rPr>
        <w:t xml:space="preserve"> Sullo schema di decreto ministeriale, il Garante ha emesso parere favorevole </w:t>
      </w:r>
      <w:r w:rsidR="005E4A1D" w:rsidRPr="000C7925">
        <w:rPr>
          <w:highlight w:val="yellow"/>
        </w:rPr>
        <w:t>(</w:t>
      </w:r>
      <w:hyperlink r:id="rId14" w:history="1">
        <w:r w:rsidR="005E4A1D" w:rsidRPr="000C7925">
          <w:rPr>
            <w:rStyle w:val="Hyperlink"/>
            <w:highlight w:val="yellow"/>
          </w:rPr>
          <w:t>doc. web n. 10036869</w:t>
        </w:r>
      </w:hyperlink>
      <w:r w:rsidR="005E4A1D" w:rsidRPr="000C7925">
        <w:rPr>
          <w:highlight w:val="yellow"/>
        </w:rPr>
        <w:t>)</w:t>
      </w:r>
      <w:r w:rsidR="00C073A3" w:rsidRPr="000C7925">
        <w:rPr>
          <w:highlight w:val="yellow"/>
        </w:rPr>
        <w:t>.</w:t>
      </w:r>
    </w:p>
    <w:p w14:paraId="39215A90" w14:textId="26135C80" w:rsidR="00527E93" w:rsidRPr="000C7925" w:rsidRDefault="00527E93" w:rsidP="00527E93">
      <w:pPr>
        <w:pStyle w:val="Heading3"/>
        <w:rPr>
          <w:highlight w:val="yellow"/>
        </w:rPr>
      </w:pPr>
      <w:r w:rsidRPr="000C7925">
        <w:rPr>
          <w:highlight w:val="yellow"/>
        </w:rPr>
        <w:t>Istanza di certificazione</w:t>
      </w:r>
    </w:p>
    <w:p w14:paraId="789AED5D" w14:textId="350002DA" w:rsidR="00736F7B" w:rsidRDefault="00527E93" w:rsidP="00527E93">
      <w:pPr>
        <w:rPr>
          <w:highlight w:val="yellow"/>
        </w:rPr>
      </w:pPr>
      <w:r w:rsidRPr="006D7BF8">
        <w:rPr>
          <w:highlight w:val="yellow"/>
        </w:rPr>
        <w:t xml:space="preserve">In base al DM </w:t>
      </w:r>
      <w:r w:rsidR="00AD7C3B">
        <w:rPr>
          <w:highlight w:val="yellow"/>
        </w:rPr>
        <w:t>Salute</w:t>
      </w:r>
      <w:r w:rsidRPr="006D7BF8">
        <w:rPr>
          <w:highlight w:val="yellow"/>
        </w:rPr>
        <w:t xml:space="preserve"> </w:t>
      </w:r>
      <w:r w:rsidR="002C2E3C" w:rsidRPr="006D7BF8">
        <w:rPr>
          <w:highlight w:val="yellow"/>
        </w:rPr>
        <w:t xml:space="preserve">del 5 luglio </w:t>
      </w:r>
      <w:r w:rsidR="00B23C39" w:rsidRPr="006D7BF8">
        <w:rPr>
          <w:highlight w:val="yellow"/>
        </w:rPr>
        <w:t>2024,</w:t>
      </w:r>
      <w:r w:rsidRPr="006D7BF8">
        <w:rPr>
          <w:highlight w:val="yellow"/>
        </w:rPr>
        <w:t xml:space="preserve"> </w:t>
      </w:r>
      <w:r w:rsidR="00FD0250" w:rsidRPr="006D7BF8">
        <w:rPr>
          <w:highlight w:val="yellow"/>
        </w:rPr>
        <w:t>che entra in vigore dalla data di pubblicazione in Gazzetta Ufficiale</w:t>
      </w:r>
      <w:r w:rsidR="006D7BF8" w:rsidRPr="006D7BF8">
        <w:rPr>
          <w:highlight w:val="yellow"/>
        </w:rPr>
        <w:t>,</w:t>
      </w:r>
      <w:r w:rsidR="00FD0250" w:rsidRPr="006D7BF8">
        <w:rPr>
          <w:highlight w:val="yellow"/>
        </w:rPr>
        <w:t xml:space="preserve"> </w:t>
      </w:r>
      <w:r w:rsidRPr="006D7BF8">
        <w:rPr>
          <w:highlight w:val="yellow"/>
        </w:rPr>
        <w:t xml:space="preserve">il </w:t>
      </w:r>
      <w:r w:rsidRPr="000C7925">
        <w:rPr>
          <w:highlight w:val="yellow"/>
        </w:rPr>
        <w:t xml:space="preserve">paziente oncologico interessato </w:t>
      </w:r>
      <w:r w:rsidR="00446FC4" w:rsidRPr="000C7925">
        <w:rPr>
          <w:highlight w:val="yellow"/>
        </w:rPr>
        <w:t>per ottenere il certificato che attesta la conclusione del trattamento oncologico</w:t>
      </w:r>
      <w:r w:rsidR="00446FC4">
        <w:rPr>
          <w:highlight w:val="yellow"/>
        </w:rPr>
        <w:t xml:space="preserve"> </w:t>
      </w:r>
      <w:r w:rsidR="00C460F1">
        <w:rPr>
          <w:highlight w:val="yellow"/>
        </w:rPr>
        <w:t>presenta la</w:t>
      </w:r>
      <w:r w:rsidRPr="000C7925">
        <w:rPr>
          <w:highlight w:val="yellow"/>
        </w:rPr>
        <w:t xml:space="preserve"> richiesta, </w:t>
      </w:r>
      <w:r w:rsidR="00C92834">
        <w:rPr>
          <w:highlight w:val="yellow"/>
        </w:rPr>
        <w:t>tramite un modello nazionale unico</w:t>
      </w:r>
      <w:r w:rsidR="003903E8">
        <w:rPr>
          <w:highlight w:val="yellow"/>
        </w:rPr>
        <w:t xml:space="preserve"> volto a garantire una raccolta </w:t>
      </w:r>
      <w:r w:rsidR="00E90850">
        <w:rPr>
          <w:highlight w:val="yellow"/>
        </w:rPr>
        <w:t xml:space="preserve">omogenea </w:t>
      </w:r>
      <w:r w:rsidR="003903E8">
        <w:rPr>
          <w:highlight w:val="yellow"/>
        </w:rPr>
        <w:t>di informazioni appartenenti a particolari categorie di dati personali</w:t>
      </w:r>
      <w:r w:rsidR="00C92834">
        <w:rPr>
          <w:highlight w:val="yellow"/>
        </w:rPr>
        <w:t xml:space="preserve">, </w:t>
      </w:r>
      <w:r w:rsidRPr="000C7925">
        <w:rPr>
          <w:highlight w:val="yellow"/>
        </w:rPr>
        <w:t xml:space="preserve">eventualmente corredata dalla documentazione medica pertinente. </w:t>
      </w:r>
      <w:r w:rsidR="00736F7B">
        <w:rPr>
          <w:highlight w:val="yellow"/>
        </w:rPr>
        <w:t>Il modello contiene l’informativa privacy ai sensi degli articoli 13 e 14 del GDPR</w:t>
      </w:r>
      <w:r w:rsidR="00C16B49">
        <w:rPr>
          <w:highlight w:val="yellow"/>
        </w:rPr>
        <w:t>, entrambi riportati nell’allegato I al decreto</w:t>
      </w:r>
      <w:r w:rsidR="00736F7B">
        <w:rPr>
          <w:highlight w:val="yellow"/>
        </w:rPr>
        <w:t>.</w:t>
      </w:r>
    </w:p>
    <w:p w14:paraId="22923DB1" w14:textId="2758C380" w:rsidR="00685565" w:rsidRPr="000C7925" w:rsidRDefault="00527E93" w:rsidP="00527E93">
      <w:pPr>
        <w:rPr>
          <w:highlight w:val="yellow"/>
        </w:rPr>
      </w:pPr>
      <w:r w:rsidRPr="000C7925">
        <w:rPr>
          <w:highlight w:val="yellow"/>
        </w:rPr>
        <w:t xml:space="preserve">La richiesta dovrà essere inoltrata presso una struttura sanitaria pubblica o privata accreditata, oppure a un medico dipendente del Servizio Sanitario Nazionale specializzato nella patologia oncologica per la quale si richiede il certificato, oppure al medico di medicina generale o al pediatra scelto liberamente, i quali forniranno all'interessato </w:t>
      </w:r>
      <w:r w:rsidR="001C2225">
        <w:rPr>
          <w:highlight w:val="yellow"/>
        </w:rPr>
        <w:t>la richiamata informativa privacy</w:t>
      </w:r>
      <w:r w:rsidRPr="000C7925">
        <w:rPr>
          <w:highlight w:val="yellow"/>
        </w:rPr>
        <w:t xml:space="preserve">. </w:t>
      </w:r>
    </w:p>
    <w:p w14:paraId="6ADC20F7" w14:textId="63A3C025" w:rsidR="00685565" w:rsidRDefault="000C7925" w:rsidP="000C7925">
      <w:pPr>
        <w:pStyle w:val="Heading3"/>
      </w:pPr>
      <w:r w:rsidRPr="000C7925">
        <w:rPr>
          <w:highlight w:val="yellow"/>
        </w:rPr>
        <w:t>Tempi per il rilascio della certificazione</w:t>
      </w:r>
    </w:p>
    <w:p w14:paraId="70D4EEB0" w14:textId="77777777" w:rsidR="00C91A40" w:rsidRDefault="00527E93" w:rsidP="00527E93">
      <w:pPr>
        <w:rPr>
          <w:highlight w:val="yellow"/>
        </w:rPr>
      </w:pPr>
      <w:r w:rsidRPr="00452408">
        <w:rPr>
          <w:highlight w:val="yellow"/>
        </w:rPr>
        <w:t xml:space="preserve">Per quanto riguarda i tempi, il certificato sarà rilasciato entro 30 giorni dalla richiesta se sussistono, </w:t>
      </w:r>
      <w:r w:rsidR="00D80A9E" w:rsidRPr="00452408">
        <w:rPr>
          <w:highlight w:val="yellow"/>
        </w:rPr>
        <w:t>in base alla valutazione</w:t>
      </w:r>
      <w:r w:rsidRPr="00452408">
        <w:rPr>
          <w:highlight w:val="yellow"/>
        </w:rPr>
        <w:t xml:space="preserve"> della struttura o del medico certificante, i requisiti temporali (decennali o quinquennali) richiesti dalla legge n. 193 del 2023 e quelli </w:t>
      </w:r>
      <w:r w:rsidR="00B23C39" w:rsidRPr="00452408">
        <w:rPr>
          <w:highlight w:val="yellow"/>
        </w:rPr>
        <w:t xml:space="preserve">inferiori per specifiche patologie oncologiche </w:t>
      </w:r>
      <w:r w:rsidRPr="00452408">
        <w:rPr>
          <w:highlight w:val="yellow"/>
        </w:rPr>
        <w:t>stabiliti</w:t>
      </w:r>
      <w:r w:rsidR="00B23C39" w:rsidRPr="00452408">
        <w:rPr>
          <w:highlight w:val="yellow"/>
        </w:rPr>
        <w:t xml:space="preserve"> con DM Sanità del 22 marzo 2024</w:t>
      </w:r>
      <w:r w:rsidRPr="00452408">
        <w:rPr>
          <w:highlight w:val="yellow"/>
        </w:rPr>
        <w:t xml:space="preserve">. Il rilascio del certificato </w:t>
      </w:r>
      <w:r w:rsidR="00C91A40" w:rsidRPr="00452408">
        <w:rPr>
          <w:highlight w:val="yellow"/>
        </w:rPr>
        <w:t>è</w:t>
      </w:r>
      <w:r w:rsidRPr="00452408">
        <w:rPr>
          <w:highlight w:val="yellow"/>
        </w:rPr>
        <w:t xml:space="preserve"> gratuito per il richiedente. </w:t>
      </w:r>
    </w:p>
    <w:p w14:paraId="3589C518" w14:textId="5FC27C67" w:rsidR="00D3652A" w:rsidRPr="00452408" w:rsidRDefault="0026373A" w:rsidP="00C513CD">
      <w:pPr>
        <w:rPr>
          <w:highlight w:val="yellow"/>
        </w:rPr>
      </w:pPr>
      <w:r>
        <w:rPr>
          <w:highlight w:val="yellow"/>
        </w:rPr>
        <w:t>L’allegato II del decreto contiene il modello di certificato di oblio oncologico</w:t>
      </w:r>
      <w:r w:rsidR="007C58A9">
        <w:rPr>
          <w:highlight w:val="yellow"/>
        </w:rPr>
        <w:t xml:space="preserve"> il quale, in base al principio di minimizzazione dei dati personali, insieme ai dati identificativi del </w:t>
      </w:r>
      <w:r w:rsidR="003D3FF1">
        <w:rPr>
          <w:highlight w:val="yellow"/>
        </w:rPr>
        <w:t xml:space="preserve">paziente interessato, contiene una </w:t>
      </w:r>
      <w:r w:rsidR="003D3FF1">
        <w:rPr>
          <w:highlight w:val="yellow"/>
        </w:rPr>
        <w:lastRenderedPageBreak/>
        <w:t xml:space="preserve">semplice attestazione di maturazione </w:t>
      </w:r>
      <w:r w:rsidR="00C513CD">
        <w:rPr>
          <w:highlight w:val="yellow"/>
        </w:rPr>
        <w:t xml:space="preserve">dei </w:t>
      </w:r>
      <w:r w:rsidR="00C513CD">
        <w:rPr>
          <w:rFonts w:cstheme="minorHAnsi"/>
          <w:highlight w:val="yellow"/>
        </w:rPr>
        <w:t>«</w:t>
      </w:r>
      <w:r w:rsidR="00C513CD" w:rsidRPr="00C513CD">
        <w:rPr>
          <w:i/>
          <w:iCs/>
          <w:highlight w:val="yellow"/>
        </w:rPr>
        <w:t>requisiti</w:t>
      </w:r>
      <w:r w:rsidR="00C513CD" w:rsidRPr="00C513CD">
        <w:rPr>
          <w:rFonts w:cstheme="minorHAnsi"/>
          <w:i/>
          <w:iCs/>
          <w:highlight w:val="yellow"/>
        </w:rPr>
        <w:t xml:space="preserve"> previsti dalla legge 7 dicembre 2023, n. 193 per il riconoscimento del diritto all'oblio oncologico</w:t>
      </w:r>
      <w:r w:rsidR="00C513CD" w:rsidRPr="00C513CD">
        <w:rPr>
          <w:rFonts w:cstheme="minorHAnsi"/>
          <w:highlight w:val="yellow"/>
        </w:rPr>
        <w:t>»</w:t>
      </w:r>
      <w:r w:rsidR="00AD5273">
        <w:rPr>
          <w:rFonts w:cstheme="minorHAnsi"/>
          <w:highlight w:val="yellow"/>
        </w:rPr>
        <w:t>, senza specifica della tipologia di cancro sofferta</w:t>
      </w:r>
      <w:r>
        <w:rPr>
          <w:highlight w:val="yellow"/>
        </w:rPr>
        <w:t>.</w:t>
      </w:r>
    </w:p>
    <w:p w14:paraId="2BA4EA59" w14:textId="7625038D" w:rsidR="00C91A40" w:rsidRPr="00452408" w:rsidRDefault="00C91A40" w:rsidP="00C91A40">
      <w:pPr>
        <w:pStyle w:val="Heading3"/>
        <w:rPr>
          <w:highlight w:val="yellow"/>
        </w:rPr>
      </w:pPr>
      <w:r w:rsidRPr="00452408">
        <w:rPr>
          <w:highlight w:val="yellow"/>
        </w:rPr>
        <w:t>Tempi di conservazione de</w:t>
      </w:r>
      <w:r w:rsidR="00474397" w:rsidRPr="00452408">
        <w:rPr>
          <w:highlight w:val="yellow"/>
        </w:rPr>
        <w:t xml:space="preserve">i documenti </w:t>
      </w:r>
      <w:r w:rsidR="0032099D">
        <w:rPr>
          <w:highlight w:val="yellow"/>
        </w:rPr>
        <w:t>e della</w:t>
      </w:r>
      <w:r w:rsidRPr="00452408">
        <w:rPr>
          <w:highlight w:val="yellow"/>
        </w:rPr>
        <w:t xml:space="preserve"> certificazione</w:t>
      </w:r>
    </w:p>
    <w:p w14:paraId="3F8CB6FB" w14:textId="54F37ED8" w:rsidR="0032099D" w:rsidRDefault="00527E93" w:rsidP="00527E93">
      <w:pPr>
        <w:rPr>
          <w:highlight w:val="yellow"/>
        </w:rPr>
      </w:pPr>
      <w:r w:rsidRPr="00452408">
        <w:rPr>
          <w:highlight w:val="yellow"/>
        </w:rPr>
        <w:t>La richiesta</w:t>
      </w:r>
      <w:r w:rsidR="0032099D">
        <w:rPr>
          <w:highlight w:val="yellow"/>
        </w:rPr>
        <w:t>,</w:t>
      </w:r>
      <w:r w:rsidRPr="00452408">
        <w:rPr>
          <w:highlight w:val="yellow"/>
        </w:rPr>
        <w:t xml:space="preserve"> i relativi allegati </w:t>
      </w:r>
      <w:r w:rsidR="0032099D">
        <w:rPr>
          <w:highlight w:val="yellow"/>
        </w:rPr>
        <w:t xml:space="preserve">e la stessa certificazione </w:t>
      </w:r>
      <w:r w:rsidR="000014DE" w:rsidRPr="00452408">
        <w:rPr>
          <w:highlight w:val="yellow"/>
        </w:rPr>
        <w:t>sono</w:t>
      </w:r>
      <w:r w:rsidRPr="00452408">
        <w:rPr>
          <w:highlight w:val="yellow"/>
        </w:rPr>
        <w:t xml:space="preserve"> cancellati dopo 10 anni </w:t>
      </w:r>
      <w:r w:rsidR="0032099D">
        <w:rPr>
          <w:highlight w:val="yellow"/>
        </w:rPr>
        <w:t xml:space="preserve">nel rispetto </w:t>
      </w:r>
      <w:r w:rsidR="00ED3A11">
        <w:rPr>
          <w:highlight w:val="yellow"/>
        </w:rPr>
        <w:t>del principio della limitazione della conservazione</w:t>
      </w:r>
      <w:r w:rsidR="006A6CFA">
        <w:rPr>
          <w:highlight w:val="yellow"/>
        </w:rPr>
        <w:t>. Il termine decennale è calcolato partendo dai</w:t>
      </w:r>
      <w:r w:rsidR="00ED3A11">
        <w:rPr>
          <w:highlight w:val="yellow"/>
        </w:rPr>
        <w:t xml:space="preserve"> </w:t>
      </w:r>
      <w:r w:rsidR="0032099D">
        <w:rPr>
          <w:highlight w:val="yellow"/>
        </w:rPr>
        <w:t>seguenti termini di decorrenza:</w:t>
      </w:r>
    </w:p>
    <w:p w14:paraId="785DAB5F" w14:textId="77777777" w:rsidR="006D055B" w:rsidRDefault="006D055B" w:rsidP="006D055B">
      <w:pPr>
        <w:pStyle w:val="ListParagraph"/>
        <w:numPr>
          <w:ilvl w:val="0"/>
          <w:numId w:val="7"/>
        </w:numPr>
        <w:rPr>
          <w:highlight w:val="yellow"/>
        </w:rPr>
      </w:pPr>
      <w:r w:rsidRPr="006D055B">
        <w:rPr>
          <w:highlight w:val="yellow"/>
        </w:rPr>
        <w:t>per l’istanza e la relativa documentazione, dalla presentazione della stessa</w:t>
      </w:r>
    </w:p>
    <w:p w14:paraId="3304B869" w14:textId="79B4551C" w:rsidR="000014DE" w:rsidRPr="006D055B" w:rsidRDefault="006F62BB" w:rsidP="006D055B">
      <w:pPr>
        <w:pStyle w:val="ListParagraph"/>
        <w:numPr>
          <w:ilvl w:val="0"/>
          <w:numId w:val="7"/>
        </w:numPr>
        <w:rPr>
          <w:highlight w:val="yellow"/>
        </w:rPr>
      </w:pPr>
      <w:r w:rsidRPr="006D055B">
        <w:rPr>
          <w:highlight w:val="yellow"/>
        </w:rPr>
        <w:t xml:space="preserve"> </w:t>
      </w:r>
      <w:r w:rsidR="00FF1FF9">
        <w:rPr>
          <w:highlight w:val="yellow"/>
        </w:rPr>
        <w:t xml:space="preserve">per la certificazione, </w:t>
      </w:r>
      <w:r w:rsidR="00E64592">
        <w:rPr>
          <w:highlight w:val="yellow"/>
        </w:rPr>
        <w:t>dalla data di ricezione.</w:t>
      </w:r>
    </w:p>
    <w:p w14:paraId="539CD3A6" w14:textId="62D96C40" w:rsidR="00527E93" w:rsidRPr="00527E93" w:rsidRDefault="00E64592" w:rsidP="00527E93">
      <w:r>
        <w:rPr>
          <w:highlight w:val="yellow"/>
        </w:rPr>
        <w:t>La cancellazione è di competenza di</w:t>
      </w:r>
      <w:r w:rsidR="00527E93" w:rsidRPr="00452408">
        <w:rPr>
          <w:highlight w:val="yellow"/>
        </w:rPr>
        <w:t xml:space="preserve"> coloro </w:t>
      </w:r>
      <w:r>
        <w:rPr>
          <w:highlight w:val="yellow"/>
        </w:rPr>
        <w:t xml:space="preserve">che sono </w:t>
      </w:r>
      <w:r w:rsidR="00527E93" w:rsidRPr="00452408">
        <w:rPr>
          <w:highlight w:val="yellow"/>
        </w:rPr>
        <w:t xml:space="preserve">autorizzati a ricevere </w:t>
      </w:r>
      <w:r w:rsidR="004B4ADA">
        <w:rPr>
          <w:highlight w:val="yellow"/>
        </w:rPr>
        <w:t>istanza, documentazione e certificazione, decorso il termine di legge</w:t>
      </w:r>
      <w:r w:rsidR="00527E93" w:rsidRPr="00452408">
        <w:rPr>
          <w:highlight w:val="yellow"/>
        </w:rPr>
        <w:t xml:space="preserve">. </w:t>
      </w:r>
    </w:p>
    <w:p w14:paraId="3CA61F9F" w14:textId="3E0E2671" w:rsidR="00271582" w:rsidRDefault="00E71B6E" w:rsidP="00B2289A">
      <w:pPr>
        <w:pStyle w:val="Heading3"/>
      </w:pPr>
      <w:r>
        <w:t>Cancellazione delle informazioni</w:t>
      </w:r>
    </w:p>
    <w:p w14:paraId="038E0452" w14:textId="31133AFD" w:rsidR="00A73B23" w:rsidRDefault="00A73B23" w:rsidP="00A73B23">
      <w:r w:rsidRPr="00776758">
        <w:rPr>
          <w:b/>
          <w:bCs/>
        </w:rPr>
        <w:t>Entro trenta giorni</w:t>
      </w:r>
      <w:r>
        <w:t xml:space="preserve"> </w:t>
      </w:r>
      <w:r w:rsidR="00FB2B2D">
        <w:t>dal ricevimento della certificazione</w:t>
      </w:r>
      <w:r w:rsidR="00816EC0">
        <w:t>,</w:t>
      </w:r>
      <w:r w:rsidR="00FB2B2D">
        <w:t xml:space="preserve"> secondo le modalità sopra richiamate, </w:t>
      </w:r>
      <w:r w:rsidR="00816EC0">
        <w:t>gli operatori in possesso delle pertinenti informazioni dovranno procedere alla loro cancellazione</w:t>
      </w:r>
      <w:r w:rsidR="00B93D1D">
        <w:t xml:space="preserve"> </w:t>
      </w:r>
      <w:r w:rsidR="00B93D1D" w:rsidRPr="00B93D1D">
        <w:t>(art. 2.5, l. 193/2023)</w:t>
      </w:r>
      <w:r w:rsidR="00816EC0">
        <w:t>.</w:t>
      </w:r>
    </w:p>
    <w:p w14:paraId="41BE9E8D" w14:textId="11348DA2" w:rsidR="005F0F80" w:rsidRPr="00A73B23" w:rsidRDefault="005F0F80" w:rsidP="00A73B23">
      <w:r>
        <w:t xml:space="preserve">La legge non precisa cosa si intenda per </w:t>
      </w:r>
      <w:r w:rsidRPr="00776758">
        <w:rPr>
          <w:b/>
          <w:bCs/>
        </w:rPr>
        <w:t>cancellazione</w:t>
      </w:r>
      <w:r>
        <w:t xml:space="preserve"> per cui, seguendo la logica </w:t>
      </w:r>
      <w:r w:rsidR="00DF51A2">
        <w:t>su cui si basa la norma,</w:t>
      </w:r>
      <w:r>
        <w:t xml:space="preserve"> si ritiene che essa </w:t>
      </w:r>
      <w:r w:rsidR="00EF47C6">
        <w:t>consista nella modalità atta a non consentire</w:t>
      </w:r>
      <w:r w:rsidR="00AC78E2">
        <w:t xml:space="preserve">, senza il ricorso a tecniche e strumenti </w:t>
      </w:r>
      <w:r w:rsidR="00836552">
        <w:t xml:space="preserve">straordinari, l’utilizzo </w:t>
      </w:r>
      <w:r w:rsidR="00D0470F">
        <w:t xml:space="preserve">da parte degli operatori </w:t>
      </w:r>
      <w:r w:rsidR="003F3D75">
        <w:t xml:space="preserve">delle informazioni </w:t>
      </w:r>
      <w:r w:rsidR="0036298A">
        <w:t xml:space="preserve">sulla salute oncologica del </w:t>
      </w:r>
      <w:r w:rsidR="00EB2E08">
        <w:t>“</w:t>
      </w:r>
      <w:r w:rsidR="0036298A">
        <w:t>contraente</w:t>
      </w:r>
      <w:r w:rsidR="00EB2E08">
        <w:t>”</w:t>
      </w:r>
      <w:r w:rsidR="0036298A">
        <w:t>.</w:t>
      </w:r>
    </w:p>
    <w:p w14:paraId="2A3D5DEF" w14:textId="3936AB83" w:rsidR="00EB6D9A" w:rsidRDefault="00EB6D9A" w:rsidP="00245C79">
      <w:pPr>
        <w:pStyle w:val="Heading1"/>
      </w:pPr>
      <w:r>
        <w:t>Procedure adottive</w:t>
      </w:r>
    </w:p>
    <w:p w14:paraId="1A09FF48" w14:textId="04B73677" w:rsidR="00DC27BD" w:rsidRDefault="00DC27BD" w:rsidP="00DC27BD">
      <w:r>
        <w:t xml:space="preserve">La seconda applicazione dell’oblio oncologico riguarda </w:t>
      </w:r>
      <w:r w:rsidR="00FF071C">
        <w:t>le procedure</w:t>
      </w:r>
      <w:r>
        <w:t xml:space="preserve"> adottive di minori.</w:t>
      </w:r>
    </w:p>
    <w:p w14:paraId="3EB0B938" w14:textId="6C818599" w:rsidR="00FF071C" w:rsidRDefault="0078391D" w:rsidP="00DC27BD">
      <w:pPr>
        <w:rPr>
          <w:rFonts w:cstheme="minorHAnsi"/>
        </w:rPr>
      </w:pPr>
      <w:r>
        <w:t xml:space="preserve">L’intervento normativo si attua mediante alcune modificazioni della legge 4 maggio 1983, n. 184 </w:t>
      </w:r>
      <w:r w:rsidR="00BA1C84">
        <w:t>che regola il diritto del minore ad una famiglia.</w:t>
      </w:r>
      <w:r w:rsidR="000E6D82">
        <w:t xml:space="preserve"> La legge 184/1983 </w:t>
      </w:r>
      <w:r w:rsidR="001A73BE">
        <w:t xml:space="preserve">stabilisce che coloro che intendono adottare </w:t>
      </w:r>
      <w:r w:rsidR="004E273E">
        <w:t xml:space="preserve">sono </w:t>
      </w:r>
      <w:r w:rsidR="00694308">
        <w:t xml:space="preserve">sottoposti a specifiche indagini a cura del tribunale dei minorenni </w:t>
      </w:r>
      <w:r w:rsidR="00B96B74">
        <w:t xml:space="preserve">che </w:t>
      </w:r>
      <w:r w:rsidR="00B96B74">
        <w:rPr>
          <w:rFonts w:cstheme="minorHAnsi"/>
        </w:rPr>
        <w:t>«</w:t>
      </w:r>
      <w:r w:rsidR="00B96B74" w:rsidRPr="008D3D5D">
        <w:rPr>
          <w:rFonts w:cstheme="minorHAnsi"/>
          <w:i/>
          <w:iCs/>
        </w:rPr>
        <w:t xml:space="preserve">riguardano in particolare la capacità di educare il minore, la situazione personale ed economica, </w:t>
      </w:r>
      <w:r w:rsidR="00B96B74" w:rsidRPr="000D6F4D">
        <w:rPr>
          <w:rFonts w:cstheme="minorHAnsi"/>
          <w:b/>
          <w:bCs/>
          <w:i/>
          <w:iCs/>
        </w:rPr>
        <w:t>la salute</w:t>
      </w:r>
      <w:r w:rsidR="00B96B74" w:rsidRPr="008D3D5D">
        <w:rPr>
          <w:rFonts w:cstheme="minorHAnsi"/>
          <w:i/>
          <w:iCs/>
        </w:rPr>
        <w:t>, l'ambiente familiare dei richiedenti, i motivi per i quali questi ultimi desiderano adottare il minore</w:t>
      </w:r>
      <w:r w:rsidR="00B96B74">
        <w:rPr>
          <w:rFonts w:cstheme="minorHAnsi"/>
        </w:rPr>
        <w:t>» (art. 22.4, l. n. 184/1983</w:t>
      </w:r>
      <w:r w:rsidR="000D6F4D">
        <w:rPr>
          <w:rFonts w:cstheme="minorHAnsi"/>
        </w:rPr>
        <w:t>, enfasi aggiunta</w:t>
      </w:r>
      <w:r w:rsidR="008D3D5D">
        <w:rPr>
          <w:rFonts w:cstheme="minorHAnsi"/>
        </w:rPr>
        <w:t>).</w:t>
      </w:r>
    </w:p>
    <w:p w14:paraId="7616B928" w14:textId="1902125A" w:rsidR="00720213" w:rsidRDefault="00720213" w:rsidP="00DC27BD">
      <w:pPr>
        <w:rPr>
          <w:rFonts w:cstheme="minorHAnsi"/>
        </w:rPr>
      </w:pPr>
      <w:r>
        <w:rPr>
          <w:rFonts w:cstheme="minorHAnsi"/>
        </w:rPr>
        <w:t xml:space="preserve">La legge </w:t>
      </w:r>
      <w:r w:rsidR="004A1F61">
        <w:rPr>
          <w:rFonts w:cstheme="minorHAnsi"/>
        </w:rPr>
        <w:t>n. 193/2023</w:t>
      </w:r>
      <w:r>
        <w:rPr>
          <w:rFonts w:cstheme="minorHAnsi"/>
        </w:rPr>
        <w:t xml:space="preserve"> </w:t>
      </w:r>
      <w:r w:rsidR="00620ED3">
        <w:rPr>
          <w:rFonts w:cstheme="minorHAnsi"/>
        </w:rPr>
        <w:t xml:space="preserve">aggiunge alla disposizione citata un secondo periodo </w:t>
      </w:r>
      <w:r w:rsidR="004A1F61">
        <w:rPr>
          <w:rFonts w:cstheme="minorHAnsi"/>
        </w:rPr>
        <w:t>introduttivo del diritto all’oblio oncologico anche in questo ambito</w:t>
      </w:r>
      <w:r w:rsidR="008D1061">
        <w:rPr>
          <w:rFonts w:cstheme="minorHAnsi"/>
        </w:rPr>
        <w:t xml:space="preserve">, sancendo il divieto di indagini </w:t>
      </w:r>
      <w:r w:rsidR="007E1C63">
        <w:rPr>
          <w:rFonts w:cstheme="minorHAnsi"/>
        </w:rPr>
        <w:t>sulle eventuali patologie oncologiche de</w:t>
      </w:r>
      <w:r w:rsidR="008C5955">
        <w:rPr>
          <w:rFonts w:cstheme="minorHAnsi"/>
        </w:rPr>
        <w:t>gli adottandi, quando sussistono i re</w:t>
      </w:r>
      <w:r w:rsidR="00EC4A55">
        <w:rPr>
          <w:rFonts w:cstheme="minorHAnsi"/>
        </w:rPr>
        <w:t>quisiti del diritto</w:t>
      </w:r>
      <w:r w:rsidR="004A1F61">
        <w:rPr>
          <w:rFonts w:cstheme="minorHAnsi"/>
        </w:rPr>
        <w:t>.</w:t>
      </w:r>
      <w:r w:rsidR="005D4D1C">
        <w:rPr>
          <w:rFonts w:cstheme="minorHAnsi"/>
        </w:rPr>
        <w:t xml:space="preserve"> Sono poi </w:t>
      </w:r>
      <w:r w:rsidR="006104E9">
        <w:rPr>
          <w:rFonts w:cstheme="minorHAnsi"/>
        </w:rPr>
        <w:t>aggiunte</w:t>
      </w:r>
      <w:r w:rsidR="005D4D1C">
        <w:rPr>
          <w:rFonts w:cstheme="minorHAnsi"/>
        </w:rPr>
        <w:t xml:space="preserve"> ulteriori modificazioni di adeguamento.</w:t>
      </w:r>
    </w:p>
    <w:p w14:paraId="5742D857" w14:textId="4F8053D8" w:rsidR="005D4D1C" w:rsidRPr="00DC27BD" w:rsidRDefault="00824755" w:rsidP="00DC27BD">
      <w:r w:rsidRPr="00F435CE">
        <w:rPr>
          <w:rFonts w:cstheme="minorHAnsi"/>
          <w:highlight w:val="yellow"/>
        </w:rPr>
        <w:t xml:space="preserve">Le pertinenti modalità attuative sono determinate con decreto del Ministro della salute da emanarsi entro </w:t>
      </w:r>
      <w:r w:rsidR="008C22C1" w:rsidRPr="00F435CE">
        <w:rPr>
          <w:rFonts w:cstheme="minorHAnsi"/>
          <w:highlight w:val="yellow"/>
        </w:rPr>
        <w:t>tre mesi</w:t>
      </w:r>
      <w:r w:rsidR="00FF55C3" w:rsidRPr="00F435CE">
        <w:rPr>
          <w:rFonts w:cstheme="minorHAnsi"/>
          <w:highlight w:val="yellow"/>
        </w:rPr>
        <w:t>, a partire</w:t>
      </w:r>
      <w:r w:rsidR="008C22C1" w:rsidRPr="00F435CE">
        <w:rPr>
          <w:rFonts w:cstheme="minorHAnsi"/>
          <w:highlight w:val="yellow"/>
        </w:rPr>
        <w:t xml:space="preserve"> dal 2 gennaio 2024.</w:t>
      </w:r>
      <w:r w:rsidR="007B5F34" w:rsidRPr="00F435CE">
        <w:rPr>
          <w:rFonts w:cstheme="minorHAnsi"/>
          <w:highlight w:val="yellow"/>
        </w:rPr>
        <w:t xml:space="preserve"> Il Garante ha emesso parere favorevole sullo schema di decreto </w:t>
      </w:r>
      <w:r w:rsidR="008B71BE" w:rsidRPr="00F435CE">
        <w:rPr>
          <w:rFonts w:cstheme="minorHAnsi"/>
          <w:highlight w:val="yellow"/>
        </w:rPr>
        <w:t xml:space="preserve">del </w:t>
      </w:r>
      <w:r w:rsidR="006B5996" w:rsidRPr="00F435CE">
        <w:rPr>
          <w:rFonts w:cstheme="minorHAnsi"/>
          <w:highlight w:val="yellow"/>
        </w:rPr>
        <w:t xml:space="preserve">Ministro della salute di concerto col </w:t>
      </w:r>
      <w:r w:rsidR="008B71BE" w:rsidRPr="00F435CE">
        <w:rPr>
          <w:rFonts w:cstheme="minorHAnsi"/>
          <w:highlight w:val="yellow"/>
        </w:rPr>
        <w:t xml:space="preserve">Ministro della </w:t>
      </w:r>
      <w:r w:rsidR="00F435CE" w:rsidRPr="00F435CE">
        <w:rPr>
          <w:rFonts w:cstheme="minorHAnsi"/>
          <w:highlight w:val="yellow"/>
        </w:rPr>
        <w:t>giustizia (</w:t>
      </w:r>
      <w:hyperlink r:id="rId15" w:history="1">
        <w:r w:rsidR="007B5F34" w:rsidRPr="00F435CE">
          <w:rPr>
            <w:rStyle w:val="Hyperlink"/>
            <w:rFonts w:cstheme="minorHAnsi"/>
            <w:highlight w:val="yellow"/>
          </w:rPr>
          <w:t>doc. web n. 100</w:t>
        </w:r>
        <w:r w:rsidR="006B5996" w:rsidRPr="00F435CE">
          <w:rPr>
            <w:rStyle w:val="Hyperlink"/>
            <w:rFonts w:cstheme="minorHAnsi"/>
            <w:highlight w:val="yellow"/>
          </w:rPr>
          <w:t>43</w:t>
        </w:r>
        <w:r w:rsidR="00F435CE" w:rsidRPr="00F435CE">
          <w:rPr>
            <w:rStyle w:val="Hyperlink"/>
            <w:rFonts w:cstheme="minorHAnsi"/>
            <w:highlight w:val="yellow"/>
          </w:rPr>
          <w:t>511</w:t>
        </w:r>
      </w:hyperlink>
      <w:r w:rsidR="007B5F34" w:rsidRPr="00F435CE">
        <w:rPr>
          <w:rFonts w:cstheme="minorHAnsi"/>
          <w:highlight w:val="yellow"/>
        </w:rPr>
        <w:t>).</w:t>
      </w:r>
    </w:p>
    <w:p w14:paraId="63C86E84" w14:textId="53592C52" w:rsidR="008138FC" w:rsidRDefault="00DB6F86" w:rsidP="00245C79">
      <w:pPr>
        <w:pStyle w:val="Heading1"/>
      </w:pPr>
      <w:r>
        <w:t>Procedure concorsuali e selettive al lavoro</w:t>
      </w:r>
    </w:p>
    <w:p w14:paraId="2DA3B2A2" w14:textId="0E35B8A6" w:rsidR="008C22C1" w:rsidRDefault="008C22C1" w:rsidP="008C22C1">
      <w:r w:rsidRPr="008C22C1">
        <w:t xml:space="preserve">La </w:t>
      </w:r>
      <w:r>
        <w:t>terza</w:t>
      </w:r>
      <w:r w:rsidRPr="008C22C1">
        <w:t xml:space="preserve"> applicazione dell’oblio oncologico riguarda le procedure </w:t>
      </w:r>
      <w:r w:rsidR="00CC5384">
        <w:t>concorsuali e selettive in materia di lavoro</w:t>
      </w:r>
      <w:r w:rsidR="000D4062">
        <w:t>, sia pubbliche che private,</w:t>
      </w:r>
      <w:r w:rsidR="00CC5384">
        <w:t xml:space="preserve"> </w:t>
      </w:r>
      <w:r w:rsidR="006D5F23">
        <w:rPr>
          <w:rFonts w:cstheme="minorHAnsi"/>
        </w:rPr>
        <w:t>«</w:t>
      </w:r>
      <w:r w:rsidR="006D5F23" w:rsidRPr="006D5F23">
        <w:rPr>
          <w:rFonts w:cstheme="minorHAnsi"/>
          <w:i/>
          <w:iCs/>
        </w:rPr>
        <w:t>quando nel loro ambito sia previsto l'accertamento di requisiti psico-fisici o concernenti lo stato di salute dei candidati</w:t>
      </w:r>
      <w:r w:rsidR="006D5F23">
        <w:rPr>
          <w:rFonts w:cstheme="minorHAnsi"/>
        </w:rPr>
        <w:t>»</w:t>
      </w:r>
      <w:r w:rsidRPr="008C22C1">
        <w:t>.</w:t>
      </w:r>
    </w:p>
    <w:p w14:paraId="22E15BE1" w14:textId="1297F1D4" w:rsidR="00C816FD" w:rsidRDefault="00C816FD" w:rsidP="008C22C1">
      <w:r>
        <w:t xml:space="preserve">Anche per questa ipotesi la legge </w:t>
      </w:r>
      <w:r w:rsidR="00F7239F">
        <w:t xml:space="preserve">vieta </w:t>
      </w:r>
      <w:r w:rsidR="00F7239F">
        <w:rPr>
          <w:rFonts w:cstheme="minorHAnsi"/>
        </w:rPr>
        <w:t>«</w:t>
      </w:r>
      <w:r w:rsidR="00F7239F" w:rsidRPr="002B6FF7">
        <w:rPr>
          <w:i/>
          <w:iCs/>
        </w:rPr>
        <w:t>di richiedere informazioni relative allo stato di salute dei candidati medesimi concernenti patologie oncologiche</w:t>
      </w:r>
      <w:r w:rsidR="00F7239F">
        <w:rPr>
          <w:rFonts w:cstheme="minorHAnsi"/>
        </w:rPr>
        <w:t>»</w:t>
      </w:r>
      <w:r w:rsidR="00F7239F">
        <w:t xml:space="preserve"> quando sussistono i requisiti </w:t>
      </w:r>
      <w:r w:rsidR="002B6FF7">
        <w:t>per l’esercizio del diritto all’oblio.</w:t>
      </w:r>
    </w:p>
    <w:p w14:paraId="6A9425EB" w14:textId="6DAA7FF3" w:rsidR="00A47997" w:rsidRPr="008C22C1" w:rsidRDefault="007A10D8" w:rsidP="008C22C1">
      <w:r w:rsidRPr="00CF75F1">
        <w:rPr>
          <w:highlight w:val="yellow"/>
        </w:rPr>
        <w:t>Il Ministro del lavoro di concerto con il Ministro della salute</w:t>
      </w:r>
      <w:r w:rsidR="00F34E12" w:rsidRPr="00CF75F1">
        <w:rPr>
          <w:highlight w:val="yellow"/>
        </w:rPr>
        <w:t xml:space="preserve"> </w:t>
      </w:r>
      <w:r w:rsidR="00CF75F1" w:rsidRPr="00CF75F1">
        <w:rPr>
          <w:highlight w:val="yellow"/>
        </w:rPr>
        <w:t xml:space="preserve">emette un apposito decreto </w:t>
      </w:r>
      <w:r w:rsidR="00F34E12" w:rsidRPr="00CF75F1">
        <w:rPr>
          <w:highlight w:val="yellow"/>
        </w:rPr>
        <w:t>per la promozione di politiche attive per assicurare a chi ha avuto un tumore uguali opportunità in ambito lavorativo</w:t>
      </w:r>
      <w:r w:rsidR="00CF75F1" w:rsidRPr="00CF75F1">
        <w:rPr>
          <w:highlight w:val="yellow"/>
        </w:rPr>
        <w:t>.</w:t>
      </w:r>
    </w:p>
    <w:p w14:paraId="005A7001" w14:textId="6AEEBCA8" w:rsidR="00A374AE" w:rsidRDefault="00245C79" w:rsidP="00245C79">
      <w:pPr>
        <w:pStyle w:val="Heading1"/>
      </w:pPr>
      <w:r>
        <w:lastRenderedPageBreak/>
        <w:t>Garante</w:t>
      </w:r>
    </w:p>
    <w:p w14:paraId="5D277AF2" w14:textId="77777777" w:rsidR="00D901C3" w:rsidRDefault="0055739F" w:rsidP="002B6FF7">
      <w:r>
        <w:t>L</w:t>
      </w:r>
      <w:r w:rsidR="005630E6">
        <w:t xml:space="preserve">a vigilanza </w:t>
      </w:r>
      <w:r w:rsidR="0078045A">
        <w:t xml:space="preserve">sull’applicazione della legge </w:t>
      </w:r>
      <w:r>
        <w:t xml:space="preserve">è stata affidata al Garante </w:t>
      </w:r>
      <w:r w:rsidR="00877619">
        <w:t xml:space="preserve">per la protezione dei dati </w:t>
      </w:r>
      <w:r w:rsidR="009D32CB">
        <w:t>personali</w:t>
      </w:r>
      <w:r w:rsidR="00BE11D8" w:rsidRPr="00BE11D8">
        <w:t xml:space="preserve"> (art. 5.4, l. n. 193/2023)</w:t>
      </w:r>
      <w:r w:rsidR="00D901C3">
        <w:t>.</w:t>
      </w:r>
    </w:p>
    <w:p w14:paraId="4E3E94F1" w14:textId="4BAD5392" w:rsidR="00FE77B7" w:rsidRPr="002B6FF7" w:rsidRDefault="002C3202" w:rsidP="002B6FF7">
      <w:r>
        <w:t>Pertanto,</w:t>
      </w:r>
      <w:r w:rsidR="008245D2">
        <w:t xml:space="preserve"> l’ambito delle competenze</w:t>
      </w:r>
      <w:r>
        <w:t xml:space="preserve"> dell’autorità</w:t>
      </w:r>
      <w:r w:rsidR="007706CB" w:rsidRPr="007706CB">
        <w:t xml:space="preserve"> </w:t>
      </w:r>
      <w:r w:rsidR="007706CB">
        <w:t>si arricchisce ulteriormente</w:t>
      </w:r>
      <w:r w:rsidR="00927762">
        <w:t xml:space="preserve">, </w:t>
      </w:r>
      <w:r w:rsidR="00777777">
        <w:t>con la conseguenza di rendere</w:t>
      </w:r>
      <w:r w:rsidR="00927762">
        <w:t xml:space="preserve"> ancora più pressante il problema d</w:t>
      </w:r>
      <w:r w:rsidR="009D32CB">
        <w:t>ella insufficienza dell</w:t>
      </w:r>
      <w:r w:rsidR="003D3686">
        <w:t xml:space="preserve">a pianta </w:t>
      </w:r>
      <w:r w:rsidR="009D32CB">
        <w:t>organic</w:t>
      </w:r>
      <w:r w:rsidR="003D3686">
        <w:t>a</w:t>
      </w:r>
      <w:r w:rsidR="001071C5">
        <w:t>,</w:t>
      </w:r>
      <w:r w:rsidR="009D32CB">
        <w:t xml:space="preserve"> </w:t>
      </w:r>
      <w:r w:rsidR="00320780">
        <w:t>già sollevato a pi</w:t>
      </w:r>
      <w:r w:rsidR="00777777">
        <w:t xml:space="preserve">ù riprese </w:t>
      </w:r>
      <w:r w:rsidR="001071C5">
        <w:t>dallo stesso Garante</w:t>
      </w:r>
      <w:r w:rsidR="00221EAF">
        <w:t xml:space="preserve"> nonostante gli incrementi </w:t>
      </w:r>
      <w:r w:rsidR="008073C3">
        <w:t>verificatisi nel 2022</w:t>
      </w:r>
      <w:r w:rsidR="000D6E47">
        <w:t xml:space="preserve"> (v. rel. </w:t>
      </w:r>
      <w:r w:rsidR="007706CB">
        <w:t>a</w:t>
      </w:r>
      <w:r w:rsidR="000D6E47">
        <w:t>nnuale 2022, p. 25.1)</w:t>
      </w:r>
      <w:r w:rsidR="009D32CB">
        <w:t>.</w:t>
      </w:r>
    </w:p>
    <w:sectPr w:rsidR="00FE77B7" w:rsidRPr="002B6FF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498EB" w14:textId="77777777" w:rsidR="00950A65" w:rsidRDefault="00950A65" w:rsidP="000C5549">
      <w:pPr>
        <w:spacing w:after="0" w:line="240" w:lineRule="auto"/>
      </w:pPr>
      <w:r>
        <w:separator/>
      </w:r>
    </w:p>
  </w:endnote>
  <w:endnote w:type="continuationSeparator" w:id="0">
    <w:p w14:paraId="0CC60AB0" w14:textId="77777777" w:rsidR="00950A65" w:rsidRDefault="00950A65" w:rsidP="000C5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9C14B" w14:textId="77777777" w:rsidR="000C5549" w:rsidRDefault="000C5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89203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0568ECE" w14:textId="77777777" w:rsidR="000C5549" w:rsidRDefault="000C554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B13DD1" w14:textId="77777777" w:rsidR="000C5549" w:rsidRDefault="000C55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FDAE9" w14:textId="77777777" w:rsidR="000C5549" w:rsidRDefault="000C55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318FF" w14:textId="77777777" w:rsidR="00950A65" w:rsidRDefault="00950A65" w:rsidP="000C5549">
      <w:pPr>
        <w:spacing w:after="0" w:line="240" w:lineRule="auto"/>
      </w:pPr>
      <w:r>
        <w:separator/>
      </w:r>
    </w:p>
  </w:footnote>
  <w:footnote w:type="continuationSeparator" w:id="0">
    <w:p w14:paraId="52B96D19" w14:textId="77777777" w:rsidR="00950A65" w:rsidRDefault="00950A65" w:rsidP="000C5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D2DBD" w14:textId="77777777" w:rsidR="000C5549" w:rsidRDefault="000C55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74C0E" w14:textId="77777777" w:rsidR="000C5549" w:rsidRDefault="000C55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0FA4F" w14:textId="77777777" w:rsidR="000C5549" w:rsidRDefault="000C55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07429"/>
    <w:multiLevelType w:val="hybridMultilevel"/>
    <w:tmpl w:val="3DA445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E6C92"/>
    <w:multiLevelType w:val="hybridMultilevel"/>
    <w:tmpl w:val="B4A4A2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5161D"/>
    <w:multiLevelType w:val="hybridMultilevel"/>
    <w:tmpl w:val="30D245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B2F2C"/>
    <w:multiLevelType w:val="hybridMultilevel"/>
    <w:tmpl w:val="DDC205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411F2"/>
    <w:multiLevelType w:val="hybridMultilevel"/>
    <w:tmpl w:val="6ED20B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A30CA"/>
    <w:multiLevelType w:val="hybridMultilevel"/>
    <w:tmpl w:val="CD805E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57328"/>
    <w:multiLevelType w:val="hybridMultilevel"/>
    <w:tmpl w:val="30D4AF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355529">
    <w:abstractNumId w:val="6"/>
  </w:num>
  <w:num w:numId="2" w16cid:durableId="920019501">
    <w:abstractNumId w:val="0"/>
  </w:num>
  <w:num w:numId="3" w16cid:durableId="859272818">
    <w:abstractNumId w:val="2"/>
  </w:num>
  <w:num w:numId="4" w16cid:durableId="1787775371">
    <w:abstractNumId w:val="1"/>
  </w:num>
  <w:num w:numId="5" w16cid:durableId="385371193">
    <w:abstractNumId w:val="3"/>
  </w:num>
  <w:num w:numId="6" w16cid:durableId="543058823">
    <w:abstractNumId w:val="4"/>
  </w:num>
  <w:num w:numId="7" w16cid:durableId="6576609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oNotDisplayPageBoundaries/>
  <w:attachedTemplate r:id="rId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D4"/>
    <w:rsid w:val="000014DE"/>
    <w:rsid w:val="00012108"/>
    <w:rsid w:val="00015628"/>
    <w:rsid w:val="0002128C"/>
    <w:rsid w:val="00030A47"/>
    <w:rsid w:val="000331DF"/>
    <w:rsid w:val="00033F2C"/>
    <w:rsid w:val="00043B22"/>
    <w:rsid w:val="000467A1"/>
    <w:rsid w:val="00050910"/>
    <w:rsid w:val="00066EE4"/>
    <w:rsid w:val="00073547"/>
    <w:rsid w:val="00074F65"/>
    <w:rsid w:val="000905CF"/>
    <w:rsid w:val="000943F6"/>
    <w:rsid w:val="00097B0D"/>
    <w:rsid w:val="000A1B02"/>
    <w:rsid w:val="000B6CED"/>
    <w:rsid w:val="000C1006"/>
    <w:rsid w:val="000C5549"/>
    <w:rsid w:val="000C63DA"/>
    <w:rsid w:val="000C7925"/>
    <w:rsid w:val="000D26C0"/>
    <w:rsid w:val="000D4062"/>
    <w:rsid w:val="000D4E43"/>
    <w:rsid w:val="000D6E47"/>
    <w:rsid w:val="000D6F4D"/>
    <w:rsid w:val="000E05A3"/>
    <w:rsid w:val="000E68BE"/>
    <w:rsid w:val="000E6D82"/>
    <w:rsid w:val="00102F35"/>
    <w:rsid w:val="001071C5"/>
    <w:rsid w:val="00107B10"/>
    <w:rsid w:val="00117F3F"/>
    <w:rsid w:val="0012333F"/>
    <w:rsid w:val="00131D4C"/>
    <w:rsid w:val="001600BE"/>
    <w:rsid w:val="00165C69"/>
    <w:rsid w:val="00180291"/>
    <w:rsid w:val="00186E27"/>
    <w:rsid w:val="00194232"/>
    <w:rsid w:val="001A16A8"/>
    <w:rsid w:val="001A3FFC"/>
    <w:rsid w:val="001A596F"/>
    <w:rsid w:val="001A73BE"/>
    <w:rsid w:val="001B34C1"/>
    <w:rsid w:val="001C2225"/>
    <w:rsid w:val="001C2BD7"/>
    <w:rsid w:val="001C3B4B"/>
    <w:rsid w:val="001D0D3B"/>
    <w:rsid w:val="001D19BF"/>
    <w:rsid w:val="001D52DE"/>
    <w:rsid w:val="001E24FB"/>
    <w:rsid w:val="001E533B"/>
    <w:rsid w:val="001E69C9"/>
    <w:rsid w:val="00202F8A"/>
    <w:rsid w:val="0020552B"/>
    <w:rsid w:val="0020688E"/>
    <w:rsid w:val="00221EAF"/>
    <w:rsid w:val="002300C1"/>
    <w:rsid w:val="0023533B"/>
    <w:rsid w:val="0024501F"/>
    <w:rsid w:val="00245C79"/>
    <w:rsid w:val="0025346E"/>
    <w:rsid w:val="0026373A"/>
    <w:rsid w:val="00263966"/>
    <w:rsid w:val="00266B84"/>
    <w:rsid w:val="00271582"/>
    <w:rsid w:val="002744A9"/>
    <w:rsid w:val="0027453A"/>
    <w:rsid w:val="002A1BBD"/>
    <w:rsid w:val="002A31F7"/>
    <w:rsid w:val="002A4A5F"/>
    <w:rsid w:val="002B3621"/>
    <w:rsid w:val="002B6FF7"/>
    <w:rsid w:val="002C04A9"/>
    <w:rsid w:val="002C29B2"/>
    <w:rsid w:val="002C2E3C"/>
    <w:rsid w:val="002C3202"/>
    <w:rsid w:val="002D5AE9"/>
    <w:rsid w:val="002E12B2"/>
    <w:rsid w:val="002E15BA"/>
    <w:rsid w:val="002E2B8B"/>
    <w:rsid w:val="002F6313"/>
    <w:rsid w:val="0030008D"/>
    <w:rsid w:val="00305763"/>
    <w:rsid w:val="00311326"/>
    <w:rsid w:val="00314118"/>
    <w:rsid w:val="00320780"/>
    <w:rsid w:val="0032099D"/>
    <w:rsid w:val="00325092"/>
    <w:rsid w:val="003406F1"/>
    <w:rsid w:val="00343454"/>
    <w:rsid w:val="0034371C"/>
    <w:rsid w:val="0034700B"/>
    <w:rsid w:val="00347F84"/>
    <w:rsid w:val="00350F16"/>
    <w:rsid w:val="00351699"/>
    <w:rsid w:val="003554C2"/>
    <w:rsid w:val="00357F17"/>
    <w:rsid w:val="0036298A"/>
    <w:rsid w:val="00366157"/>
    <w:rsid w:val="003666E3"/>
    <w:rsid w:val="00367BA4"/>
    <w:rsid w:val="00373134"/>
    <w:rsid w:val="003758F7"/>
    <w:rsid w:val="00375CF5"/>
    <w:rsid w:val="0038129D"/>
    <w:rsid w:val="00382ADF"/>
    <w:rsid w:val="003903E8"/>
    <w:rsid w:val="00391A64"/>
    <w:rsid w:val="00395554"/>
    <w:rsid w:val="003A3208"/>
    <w:rsid w:val="003B3436"/>
    <w:rsid w:val="003B35D1"/>
    <w:rsid w:val="003B3D8A"/>
    <w:rsid w:val="003B78A1"/>
    <w:rsid w:val="003C0E8E"/>
    <w:rsid w:val="003C1BEC"/>
    <w:rsid w:val="003C4631"/>
    <w:rsid w:val="003C7751"/>
    <w:rsid w:val="003D1056"/>
    <w:rsid w:val="003D17ED"/>
    <w:rsid w:val="003D3686"/>
    <w:rsid w:val="003D3FF1"/>
    <w:rsid w:val="003E03BE"/>
    <w:rsid w:val="003E2B0F"/>
    <w:rsid w:val="003E712A"/>
    <w:rsid w:val="003F15EC"/>
    <w:rsid w:val="003F2BA0"/>
    <w:rsid w:val="003F3D75"/>
    <w:rsid w:val="003F64D4"/>
    <w:rsid w:val="0041180E"/>
    <w:rsid w:val="00424EB5"/>
    <w:rsid w:val="00434588"/>
    <w:rsid w:val="0044660E"/>
    <w:rsid w:val="0044663B"/>
    <w:rsid w:val="00446FC4"/>
    <w:rsid w:val="00452408"/>
    <w:rsid w:val="00455BAD"/>
    <w:rsid w:val="00457D4B"/>
    <w:rsid w:val="0046080E"/>
    <w:rsid w:val="0046134D"/>
    <w:rsid w:val="00464136"/>
    <w:rsid w:val="00464827"/>
    <w:rsid w:val="00474397"/>
    <w:rsid w:val="00475BAE"/>
    <w:rsid w:val="004A1F61"/>
    <w:rsid w:val="004A2074"/>
    <w:rsid w:val="004B409B"/>
    <w:rsid w:val="004B4ADA"/>
    <w:rsid w:val="004D360D"/>
    <w:rsid w:val="004D3EDA"/>
    <w:rsid w:val="004E273E"/>
    <w:rsid w:val="004E2A40"/>
    <w:rsid w:val="004E2F01"/>
    <w:rsid w:val="004E4222"/>
    <w:rsid w:val="004E4446"/>
    <w:rsid w:val="004F10AD"/>
    <w:rsid w:val="004F3007"/>
    <w:rsid w:val="004F354E"/>
    <w:rsid w:val="004F7976"/>
    <w:rsid w:val="0051216F"/>
    <w:rsid w:val="00523B49"/>
    <w:rsid w:val="00524550"/>
    <w:rsid w:val="00527E93"/>
    <w:rsid w:val="005421C9"/>
    <w:rsid w:val="005432D6"/>
    <w:rsid w:val="00543CC3"/>
    <w:rsid w:val="00546040"/>
    <w:rsid w:val="00555E51"/>
    <w:rsid w:val="0055739F"/>
    <w:rsid w:val="005630E6"/>
    <w:rsid w:val="00565719"/>
    <w:rsid w:val="005674DF"/>
    <w:rsid w:val="00567FF2"/>
    <w:rsid w:val="005902F5"/>
    <w:rsid w:val="005A7FFC"/>
    <w:rsid w:val="005B1DBD"/>
    <w:rsid w:val="005B729E"/>
    <w:rsid w:val="005C2865"/>
    <w:rsid w:val="005C4774"/>
    <w:rsid w:val="005C7294"/>
    <w:rsid w:val="005D4D1C"/>
    <w:rsid w:val="005D562B"/>
    <w:rsid w:val="005E4A1D"/>
    <w:rsid w:val="005F0F80"/>
    <w:rsid w:val="005F1AEE"/>
    <w:rsid w:val="005F6205"/>
    <w:rsid w:val="005F6F77"/>
    <w:rsid w:val="00600CC3"/>
    <w:rsid w:val="00606C3B"/>
    <w:rsid w:val="0060729B"/>
    <w:rsid w:val="006104E9"/>
    <w:rsid w:val="0061344F"/>
    <w:rsid w:val="00620ED3"/>
    <w:rsid w:val="00632DCF"/>
    <w:rsid w:val="00635EEC"/>
    <w:rsid w:val="0064776F"/>
    <w:rsid w:val="0065583A"/>
    <w:rsid w:val="00666248"/>
    <w:rsid w:val="00681F99"/>
    <w:rsid w:val="00685565"/>
    <w:rsid w:val="0068618A"/>
    <w:rsid w:val="00690F33"/>
    <w:rsid w:val="00694308"/>
    <w:rsid w:val="00694617"/>
    <w:rsid w:val="00695F73"/>
    <w:rsid w:val="006A6CFA"/>
    <w:rsid w:val="006B5996"/>
    <w:rsid w:val="006B5DF6"/>
    <w:rsid w:val="006C0EA0"/>
    <w:rsid w:val="006C35EE"/>
    <w:rsid w:val="006D055B"/>
    <w:rsid w:val="006D5F23"/>
    <w:rsid w:val="006D69A7"/>
    <w:rsid w:val="006D7BF8"/>
    <w:rsid w:val="006E2BE4"/>
    <w:rsid w:val="006F0831"/>
    <w:rsid w:val="006F3C8C"/>
    <w:rsid w:val="006F62BB"/>
    <w:rsid w:val="006F69E3"/>
    <w:rsid w:val="00711795"/>
    <w:rsid w:val="007158ED"/>
    <w:rsid w:val="00717A3B"/>
    <w:rsid w:val="00720213"/>
    <w:rsid w:val="00721B8D"/>
    <w:rsid w:val="00723AB8"/>
    <w:rsid w:val="00730329"/>
    <w:rsid w:val="0073139B"/>
    <w:rsid w:val="00731B44"/>
    <w:rsid w:val="0073414A"/>
    <w:rsid w:val="00736F7B"/>
    <w:rsid w:val="00740FFC"/>
    <w:rsid w:val="00743ED4"/>
    <w:rsid w:val="00762373"/>
    <w:rsid w:val="007706CB"/>
    <w:rsid w:val="00774D4E"/>
    <w:rsid w:val="00776758"/>
    <w:rsid w:val="00777777"/>
    <w:rsid w:val="00777AD2"/>
    <w:rsid w:val="0078045A"/>
    <w:rsid w:val="0078391D"/>
    <w:rsid w:val="007879E5"/>
    <w:rsid w:val="00793DEF"/>
    <w:rsid w:val="00794C98"/>
    <w:rsid w:val="007A10D8"/>
    <w:rsid w:val="007A1EF2"/>
    <w:rsid w:val="007A3A7E"/>
    <w:rsid w:val="007A4B18"/>
    <w:rsid w:val="007B5256"/>
    <w:rsid w:val="007B5F34"/>
    <w:rsid w:val="007C4BE3"/>
    <w:rsid w:val="007C58A9"/>
    <w:rsid w:val="007D2C31"/>
    <w:rsid w:val="007D7638"/>
    <w:rsid w:val="007E003B"/>
    <w:rsid w:val="007E1C63"/>
    <w:rsid w:val="007F1F88"/>
    <w:rsid w:val="007F3E27"/>
    <w:rsid w:val="008073C3"/>
    <w:rsid w:val="008138FC"/>
    <w:rsid w:val="008142D9"/>
    <w:rsid w:val="00816EC0"/>
    <w:rsid w:val="00822D70"/>
    <w:rsid w:val="008245D2"/>
    <w:rsid w:val="00824755"/>
    <w:rsid w:val="00834B30"/>
    <w:rsid w:val="00835335"/>
    <w:rsid w:val="00836552"/>
    <w:rsid w:val="00846E7E"/>
    <w:rsid w:val="0085240D"/>
    <w:rsid w:val="00852774"/>
    <w:rsid w:val="00854D5A"/>
    <w:rsid w:val="00856555"/>
    <w:rsid w:val="00857034"/>
    <w:rsid w:val="00875908"/>
    <w:rsid w:val="00877619"/>
    <w:rsid w:val="00882B0F"/>
    <w:rsid w:val="008A08FB"/>
    <w:rsid w:val="008A2EA8"/>
    <w:rsid w:val="008B369F"/>
    <w:rsid w:val="008B71BE"/>
    <w:rsid w:val="008C22C1"/>
    <w:rsid w:val="008C5955"/>
    <w:rsid w:val="008C7493"/>
    <w:rsid w:val="008D1061"/>
    <w:rsid w:val="008D3D5D"/>
    <w:rsid w:val="008D58C3"/>
    <w:rsid w:val="008D656D"/>
    <w:rsid w:val="008E040D"/>
    <w:rsid w:val="008E7124"/>
    <w:rsid w:val="008E75C1"/>
    <w:rsid w:val="008F0710"/>
    <w:rsid w:val="0090166D"/>
    <w:rsid w:val="00927762"/>
    <w:rsid w:val="009318B8"/>
    <w:rsid w:val="0093269D"/>
    <w:rsid w:val="00936FC7"/>
    <w:rsid w:val="00947C36"/>
    <w:rsid w:val="00950A65"/>
    <w:rsid w:val="00950D00"/>
    <w:rsid w:val="00950FBF"/>
    <w:rsid w:val="00971670"/>
    <w:rsid w:val="00980E45"/>
    <w:rsid w:val="00991E92"/>
    <w:rsid w:val="0099345C"/>
    <w:rsid w:val="009A1A28"/>
    <w:rsid w:val="009A6E08"/>
    <w:rsid w:val="009A7F2B"/>
    <w:rsid w:val="009C350F"/>
    <w:rsid w:val="009C38E2"/>
    <w:rsid w:val="009C3A9E"/>
    <w:rsid w:val="009C3B80"/>
    <w:rsid w:val="009C455B"/>
    <w:rsid w:val="009D23AF"/>
    <w:rsid w:val="009D32CB"/>
    <w:rsid w:val="009E6795"/>
    <w:rsid w:val="009F2103"/>
    <w:rsid w:val="009F5D70"/>
    <w:rsid w:val="009F7961"/>
    <w:rsid w:val="00A0637F"/>
    <w:rsid w:val="00A075AD"/>
    <w:rsid w:val="00A138FE"/>
    <w:rsid w:val="00A20227"/>
    <w:rsid w:val="00A21863"/>
    <w:rsid w:val="00A22B4F"/>
    <w:rsid w:val="00A23036"/>
    <w:rsid w:val="00A23788"/>
    <w:rsid w:val="00A374AE"/>
    <w:rsid w:val="00A40F72"/>
    <w:rsid w:val="00A473F6"/>
    <w:rsid w:val="00A47997"/>
    <w:rsid w:val="00A51347"/>
    <w:rsid w:val="00A5478D"/>
    <w:rsid w:val="00A61DCF"/>
    <w:rsid w:val="00A620D1"/>
    <w:rsid w:val="00A67C6E"/>
    <w:rsid w:val="00A70E91"/>
    <w:rsid w:val="00A73B23"/>
    <w:rsid w:val="00A77986"/>
    <w:rsid w:val="00A82B6F"/>
    <w:rsid w:val="00A82B73"/>
    <w:rsid w:val="00AA2103"/>
    <w:rsid w:val="00AA2E92"/>
    <w:rsid w:val="00AC78E2"/>
    <w:rsid w:val="00AD5273"/>
    <w:rsid w:val="00AD7C3B"/>
    <w:rsid w:val="00AE147D"/>
    <w:rsid w:val="00AE7182"/>
    <w:rsid w:val="00B00193"/>
    <w:rsid w:val="00B06CBD"/>
    <w:rsid w:val="00B079B5"/>
    <w:rsid w:val="00B129FB"/>
    <w:rsid w:val="00B16C55"/>
    <w:rsid w:val="00B200A7"/>
    <w:rsid w:val="00B21118"/>
    <w:rsid w:val="00B21B48"/>
    <w:rsid w:val="00B2289A"/>
    <w:rsid w:val="00B23C39"/>
    <w:rsid w:val="00B245B2"/>
    <w:rsid w:val="00B306FA"/>
    <w:rsid w:val="00B33072"/>
    <w:rsid w:val="00B333CD"/>
    <w:rsid w:val="00B33788"/>
    <w:rsid w:val="00B3401E"/>
    <w:rsid w:val="00B344C1"/>
    <w:rsid w:val="00B34A14"/>
    <w:rsid w:val="00B369E5"/>
    <w:rsid w:val="00B40D5B"/>
    <w:rsid w:val="00B4690C"/>
    <w:rsid w:val="00B47D82"/>
    <w:rsid w:val="00B64D12"/>
    <w:rsid w:val="00B6694F"/>
    <w:rsid w:val="00B673F9"/>
    <w:rsid w:val="00B718E5"/>
    <w:rsid w:val="00B72F1F"/>
    <w:rsid w:val="00B93A07"/>
    <w:rsid w:val="00B93D1D"/>
    <w:rsid w:val="00B95935"/>
    <w:rsid w:val="00B95C71"/>
    <w:rsid w:val="00B96B74"/>
    <w:rsid w:val="00B97FA1"/>
    <w:rsid w:val="00BA0200"/>
    <w:rsid w:val="00BA1C84"/>
    <w:rsid w:val="00BA4675"/>
    <w:rsid w:val="00BA6D45"/>
    <w:rsid w:val="00BB701F"/>
    <w:rsid w:val="00BC76FC"/>
    <w:rsid w:val="00BD66B0"/>
    <w:rsid w:val="00BE114B"/>
    <w:rsid w:val="00BE11D8"/>
    <w:rsid w:val="00C01254"/>
    <w:rsid w:val="00C0523A"/>
    <w:rsid w:val="00C06044"/>
    <w:rsid w:val="00C073A3"/>
    <w:rsid w:val="00C11849"/>
    <w:rsid w:val="00C1316D"/>
    <w:rsid w:val="00C1485F"/>
    <w:rsid w:val="00C16B49"/>
    <w:rsid w:val="00C31847"/>
    <w:rsid w:val="00C3291A"/>
    <w:rsid w:val="00C42EE8"/>
    <w:rsid w:val="00C460F1"/>
    <w:rsid w:val="00C513CD"/>
    <w:rsid w:val="00C535FD"/>
    <w:rsid w:val="00C54242"/>
    <w:rsid w:val="00C54B6D"/>
    <w:rsid w:val="00C623C2"/>
    <w:rsid w:val="00C64AC6"/>
    <w:rsid w:val="00C7610D"/>
    <w:rsid w:val="00C816FD"/>
    <w:rsid w:val="00C91A40"/>
    <w:rsid w:val="00C91F70"/>
    <w:rsid w:val="00C92834"/>
    <w:rsid w:val="00C934FD"/>
    <w:rsid w:val="00C96A7B"/>
    <w:rsid w:val="00CA66D4"/>
    <w:rsid w:val="00CA6E41"/>
    <w:rsid w:val="00CB1C2C"/>
    <w:rsid w:val="00CC5384"/>
    <w:rsid w:val="00CD1F82"/>
    <w:rsid w:val="00CD53F4"/>
    <w:rsid w:val="00CD6AE7"/>
    <w:rsid w:val="00CD75B5"/>
    <w:rsid w:val="00CE7868"/>
    <w:rsid w:val="00CF75F1"/>
    <w:rsid w:val="00D007EC"/>
    <w:rsid w:val="00D04071"/>
    <w:rsid w:val="00D04169"/>
    <w:rsid w:val="00D0470F"/>
    <w:rsid w:val="00D04A87"/>
    <w:rsid w:val="00D04BDA"/>
    <w:rsid w:val="00D072A7"/>
    <w:rsid w:val="00D12BBF"/>
    <w:rsid w:val="00D14B6C"/>
    <w:rsid w:val="00D30866"/>
    <w:rsid w:val="00D32AD2"/>
    <w:rsid w:val="00D350AF"/>
    <w:rsid w:val="00D3652A"/>
    <w:rsid w:val="00D53725"/>
    <w:rsid w:val="00D70512"/>
    <w:rsid w:val="00D80A9E"/>
    <w:rsid w:val="00D814A9"/>
    <w:rsid w:val="00D86A4F"/>
    <w:rsid w:val="00D901C3"/>
    <w:rsid w:val="00D948B3"/>
    <w:rsid w:val="00DA379C"/>
    <w:rsid w:val="00DB55DB"/>
    <w:rsid w:val="00DB6F86"/>
    <w:rsid w:val="00DC27BD"/>
    <w:rsid w:val="00DD3314"/>
    <w:rsid w:val="00DD47A1"/>
    <w:rsid w:val="00DD7BDE"/>
    <w:rsid w:val="00DE099F"/>
    <w:rsid w:val="00DE0A1B"/>
    <w:rsid w:val="00DF3FAF"/>
    <w:rsid w:val="00DF51A2"/>
    <w:rsid w:val="00E039EF"/>
    <w:rsid w:val="00E1455E"/>
    <w:rsid w:val="00E22EE4"/>
    <w:rsid w:val="00E24836"/>
    <w:rsid w:val="00E444C4"/>
    <w:rsid w:val="00E46384"/>
    <w:rsid w:val="00E64592"/>
    <w:rsid w:val="00E6660E"/>
    <w:rsid w:val="00E71B6E"/>
    <w:rsid w:val="00E830FA"/>
    <w:rsid w:val="00E90850"/>
    <w:rsid w:val="00E972E4"/>
    <w:rsid w:val="00EA4815"/>
    <w:rsid w:val="00EB1EFE"/>
    <w:rsid w:val="00EB2E08"/>
    <w:rsid w:val="00EB6D9A"/>
    <w:rsid w:val="00EC418B"/>
    <w:rsid w:val="00EC4A55"/>
    <w:rsid w:val="00EC7924"/>
    <w:rsid w:val="00ED0AD4"/>
    <w:rsid w:val="00ED3A11"/>
    <w:rsid w:val="00EE1BD7"/>
    <w:rsid w:val="00EE68DC"/>
    <w:rsid w:val="00EF47C6"/>
    <w:rsid w:val="00F03A07"/>
    <w:rsid w:val="00F10038"/>
    <w:rsid w:val="00F2321A"/>
    <w:rsid w:val="00F24D6E"/>
    <w:rsid w:val="00F30E40"/>
    <w:rsid w:val="00F33937"/>
    <w:rsid w:val="00F34E12"/>
    <w:rsid w:val="00F36847"/>
    <w:rsid w:val="00F435CE"/>
    <w:rsid w:val="00F454FF"/>
    <w:rsid w:val="00F4769E"/>
    <w:rsid w:val="00F51631"/>
    <w:rsid w:val="00F53747"/>
    <w:rsid w:val="00F5412F"/>
    <w:rsid w:val="00F7239F"/>
    <w:rsid w:val="00F7732F"/>
    <w:rsid w:val="00F8067E"/>
    <w:rsid w:val="00F8281A"/>
    <w:rsid w:val="00F874D4"/>
    <w:rsid w:val="00F9728C"/>
    <w:rsid w:val="00FB1CE3"/>
    <w:rsid w:val="00FB2B2D"/>
    <w:rsid w:val="00FB3AA4"/>
    <w:rsid w:val="00FB6DF6"/>
    <w:rsid w:val="00FC1C94"/>
    <w:rsid w:val="00FC5304"/>
    <w:rsid w:val="00FD0250"/>
    <w:rsid w:val="00FD4DEC"/>
    <w:rsid w:val="00FD5518"/>
    <w:rsid w:val="00FD6799"/>
    <w:rsid w:val="00FE32CF"/>
    <w:rsid w:val="00FE71EF"/>
    <w:rsid w:val="00FE77B7"/>
    <w:rsid w:val="00FF071C"/>
    <w:rsid w:val="00FF1FF9"/>
    <w:rsid w:val="00FF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E3ECB"/>
  <w15:chartTrackingRefBased/>
  <w15:docId w15:val="{3C152ACB-EF61-4F63-92FE-CC23C485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E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5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549"/>
  </w:style>
  <w:style w:type="paragraph" w:styleId="Footer">
    <w:name w:val="footer"/>
    <w:basedOn w:val="Normal"/>
    <w:link w:val="FooterChar"/>
    <w:uiPriority w:val="99"/>
    <w:unhideWhenUsed/>
    <w:rsid w:val="000C55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549"/>
  </w:style>
  <w:style w:type="paragraph" w:styleId="Title">
    <w:name w:val="Title"/>
    <w:basedOn w:val="Normal"/>
    <w:next w:val="Normal"/>
    <w:link w:val="TitleChar"/>
    <w:uiPriority w:val="10"/>
    <w:qFormat/>
    <w:rsid w:val="00743E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3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662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2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12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59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2B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servatorio.favo.it/" TargetMode="External"/><Relationship Id="rId13" Type="http://schemas.openxmlformats.org/officeDocument/2006/relationships/hyperlink" Target="https://www.gazzettaufficiale.it/eli/id/2024/07/30/24A03953/s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www.gazzettaufficiale.it/atto/stampa/serie_generale/originario" TargetMode="External"/><Relationship Id="rId12" Type="http://schemas.openxmlformats.org/officeDocument/2006/relationships/hyperlink" Target="https://www.gazzettaufficiale.it/eli/id/2024/04/24/24A02057/sg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uroparl.europa.eu/doceo/document/TA-9-2022-0038_I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pdp.it/web/guest/home/docweb/-/docweb-display/docweb/1004351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ur-lex.europa.eu/legal-content/IT/TXT/HTML/?uri=CELEX:52021PC0347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health.ec.europa.eu/system/files/2022-02/eu_cancer-plan_en_0.pdf" TargetMode="External"/><Relationship Id="rId14" Type="http://schemas.openxmlformats.org/officeDocument/2006/relationships/hyperlink" Target="https://www.gpdp.it/web/guest/home/docweb/-/docweb-display/docweb/10036869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rio\Documents\Custom%20Office%20Templates\w_pagenumbe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w_pagenumbers</Template>
  <TotalTime>595</TotalTime>
  <Pages>7</Pages>
  <Words>3303</Words>
  <Characters>18830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dataism</dc:creator>
  <cp:keywords/>
  <dc:description/>
  <cp:lastModifiedBy>DPO</cp:lastModifiedBy>
  <cp:revision>503</cp:revision>
  <dcterms:created xsi:type="dcterms:W3CDTF">2023-12-30T11:49:00Z</dcterms:created>
  <dcterms:modified xsi:type="dcterms:W3CDTF">2024-09-01T17:40:00Z</dcterms:modified>
</cp:coreProperties>
</file>