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E1DEC" w14:textId="73CA1C77" w:rsidR="00D007EC" w:rsidRDefault="00E831C6" w:rsidP="003103CD">
      <w:pPr>
        <w:pStyle w:val="Title"/>
      </w:pPr>
      <w:r>
        <w:t>Risarcimento danni GDPR</w:t>
      </w:r>
    </w:p>
    <w:p w14:paraId="14699877" w14:textId="4739E3BC" w:rsidR="00713CF8" w:rsidRDefault="00713CF8" w:rsidP="00713CF8">
      <w:r>
        <w:t xml:space="preserve">Alcune decisioni della Corte di Giustizia UE </w:t>
      </w:r>
      <w:r w:rsidR="0022581D">
        <w:t>forniscono ulteriori chiarimenti interpretativi sulla risarcibilità dei danni derivanti da trattamenti di dati personali</w:t>
      </w:r>
      <w:r w:rsidR="00FA3341">
        <w:t xml:space="preserve">, in base a quanto </w:t>
      </w:r>
      <w:r w:rsidR="00024FC5">
        <w:t>previsto dall’articolo 82 del GDPR</w:t>
      </w:r>
      <w:r w:rsidR="0022581D">
        <w:t xml:space="preserve">. </w:t>
      </w:r>
    </w:p>
    <w:p w14:paraId="6F45C4C5" w14:textId="0FD2710E" w:rsidR="007F4FA0" w:rsidRDefault="007F4FA0" w:rsidP="00713CF8">
      <w:r>
        <w:rPr>
          <w:noProof/>
        </w:rPr>
        <w:drawing>
          <wp:inline distT="0" distB="0" distL="0" distR="0" wp14:anchorId="1747D42B" wp14:editId="751A1D21">
            <wp:extent cx="6120130" cy="3442335"/>
            <wp:effectExtent l="0" t="0" r="0" b="5715"/>
            <wp:docPr id="377616778" name="Picture 377616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16778" name=""/>
                    <pic:cNvPicPr/>
                  </pic:nvPicPr>
                  <pic:blipFill>
                    <a:blip r:embed="rId7">
                      <a:extLst>
                        <a:ext uri="{96DAC541-7B7A-43D3-8B79-37D633B846F1}">
                          <asvg:svgBlip xmlns:asvg="http://schemas.microsoft.com/office/drawing/2016/SVG/main" r:embed="rId8"/>
                        </a:ext>
                      </a:extLst>
                    </a:blip>
                    <a:stretch>
                      <a:fillRect/>
                    </a:stretch>
                  </pic:blipFill>
                  <pic:spPr>
                    <a:xfrm>
                      <a:off x="0" y="0"/>
                      <a:ext cx="6120130" cy="3442335"/>
                    </a:xfrm>
                    <a:prstGeom prst="rect">
                      <a:avLst/>
                    </a:prstGeom>
                  </pic:spPr>
                </pic:pic>
              </a:graphicData>
            </a:graphic>
          </wp:inline>
        </w:drawing>
      </w:r>
    </w:p>
    <w:p w14:paraId="494A2266" w14:textId="29A848A2" w:rsidR="00D0545B" w:rsidRPr="00713CF8" w:rsidRDefault="00D0545B" w:rsidP="00D0545B">
      <w:pPr>
        <w:pStyle w:val="Heading1"/>
      </w:pPr>
      <w:r>
        <w:t>Articolo 82 del GDPR</w:t>
      </w:r>
    </w:p>
    <w:p w14:paraId="284E4E9E" w14:textId="5F8B0D81" w:rsidR="00CF7994" w:rsidRDefault="004622A0" w:rsidP="00CF7994">
      <w:r>
        <w:t>L’articolo 82</w:t>
      </w:r>
      <w:r w:rsidR="00A2509F">
        <w:t>, paragrafo 1,</w:t>
      </w:r>
      <w:r>
        <w:t xml:space="preserve"> del GDPR così recita:</w:t>
      </w:r>
    </w:p>
    <w:p w14:paraId="1DA8F10C" w14:textId="77777777" w:rsidR="009845B4" w:rsidRDefault="00836E81" w:rsidP="00CF7994">
      <w:r>
        <w:rPr>
          <w:rFonts w:cstheme="minorHAnsi"/>
        </w:rPr>
        <w:t>«</w:t>
      </w:r>
      <w:r w:rsidRPr="004D2446">
        <w:rPr>
          <w:rFonts w:cstheme="minorHAnsi"/>
          <w:i/>
          <w:iCs/>
        </w:rPr>
        <w:t>Chiunque subisca un danno materiale o immateriale causato da una violazione del presente regolamento ha il diritto di ottenere il risarcimento del danno dal titolare del trattamento o dal responsabile del trattamento</w:t>
      </w:r>
      <w:r w:rsidRPr="00836E81">
        <w:rPr>
          <w:rFonts w:cstheme="minorHAnsi"/>
        </w:rPr>
        <w:t>.</w:t>
      </w:r>
      <w:r>
        <w:rPr>
          <w:rFonts w:cstheme="minorHAnsi"/>
        </w:rPr>
        <w:t>»</w:t>
      </w:r>
      <w:r w:rsidR="004D2446">
        <w:rPr>
          <w:rFonts w:cstheme="minorHAnsi"/>
        </w:rPr>
        <w:t>.</w:t>
      </w:r>
      <w:r w:rsidR="009845B4" w:rsidRPr="009845B4">
        <w:t xml:space="preserve"> </w:t>
      </w:r>
    </w:p>
    <w:p w14:paraId="2315A0F9" w14:textId="77777777" w:rsidR="001B0E28" w:rsidRDefault="009845B4" w:rsidP="00CF7994">
      <w:r>
        <w:t xml:space="preserve">Questa prescrizione </w:t>
      </w:r>
      <w:r w:rsidRPr="002200C7">
        <w:t xml:space="preserve">è direttamente applicabile a tutti i sistemi giuridici nazionali degli Stati membri dell'UE, in quanto </w:t>
      </w:r>
      <w:r w:rsidR="00122B1E">
        <w:t xml:space="preserve">essa </w:t>
      </w:r>
      <w:r w:rsidRPr="002200C7">
        <w:t>è previst</w:t>
      </w:r>
      <w:r w:rsidR="00122B1E">
        <w:t>a</w:t>
      </w:r>
      <w:r w:rsidRPr="002200C7">
        <w:t xml:space="preserve"> da un regolamento UE</w:t>
      </w:r>
      <w:r>
        <w:t xml:space="preserve"> e</w:t>
      </w:r>
      <w:r w:rsidRPr="002200C7">
        <w:t xml:space="preserve"> ha effetto diretto</w:t>
      </w:r>
      <w:r>
        <w:t xml:space="preserve">. </w:t>
      </w:r>
    </w:p>
    <w:p w14:paraId="0A4A5BFE" w14:textId="7BBAFD1B" w:rsidR="004622A0" w:rsidRPr="007D113C" w:rsidRDefault="003B7A43" w:rsidP="00CF7994">
      <w:r>
        <w:t xml:space="preserve">Sempre l’articolo 82 ammette che il titolare possa </w:t>
      </w:r>
      <w:r w:rsidR="00A15A3A">
        <w:t>sottrarsi alla responsabilità</w:t>
      </w:r>
      <w:r>
        <w:t xml:space="preserve"> solo se egli dimostra che il fatto </w:t>
      </w:r>
      <w:r w:rsidR="00C30C3C">
        <w:t>che ha generato il danno non è “in alcun modo” a lui imputabile</w:t>
      </w:r>
      <w:r w:rsidR="007E39F4">
        <w:t>; in tal modo, introducendo nell’azione per risarcimento del danno, un’invenzione dell’on</w:t>
      </w:r>
      <w:r w:rsidR="004A28EA">
        <w:t>e</w:t>
      </w:r>
      <w:r w:rsidR="007E39F4">
        <w:t>re della prova.</w:t>
      </w:r>
      <w:r w:rsidR="007D113C">
        <w:t xml:space="preserve"> </w:t>
      </w:r>
      <w:r w:rsidR="009845B4">
        <w:t>In considerazione di ciò, l</w:t>
      </w:r>
      <w:r w:rsidR="009845B4" w:rsidRPr="00474E92">
        <w:t xml:space="preserve">'articolo 82 inverte anche le situazioni in alcuni </w:t>
      </w:r>
      <w:r w:rsidR="009845B4">
        <w:t>ordinamenti nazionali</w:t>
      </w:r>
      <w:r w:rsidR="009845B4" w:rsidRPr="00474E92">
        <w:t xml:space="preserve"> precedenti al GDPR, in cui l'onere della prova incombeva al ricorrente</w:t>
      </w:r>
      <w:r w:rsidR="009845B4">
        <w:t>.</w:t>
      </w:r>
    </w:p>
    <w:p w14:paraId="19512033" w14:textId="685A8426" w:rsidR="0046132B" w:rsidRDefault="0046132B" w:rsidP="0046132B">
      <w:pPr>
        <w:pStyle w:val="Heading2"/>
      </w:pPr>
      <w:r>
        <w:t xml:space="preserve">Danni </w:t>
      </w:r>
      <w:r w:rsidR="007C4B9D">
        <w:t>da violazioni GDPR</w:t>
      </w:r>
    </w:p>
    <w:p w14:paraId="52837F8E" w14:textId="7BD9A155" w:rsidR="00D2765B" w:rsidRDefault="004D2446" w:rsidP="00CF7994">
      <w:r>
        <w:t xml:space="preserve">La prescrizione </w:t>
      </w:r>
      <w:r w:rsidR="003963C8">
        <w:t xml:space="preserve">fornisce una chiara indicazione sull’ambito di applicazione della risarcibilità del danno causato dal trattamento </w:t>
      </w:r>
      <w:r w:rsidR="00895FDD">
        <w:t xml:space="preserve">illecito </w:t>
      </w:r>
      <w:r w:rsidR="003963C8">
        <w:t>di dati personali</w:t>
      </w:r>
      <w:r w:rsidR="00D56063">
        <w:t>; sono risarcibili</w:t>
      </w:r>
      <w:r w:rsidR="003963C8">
        <w:t xml:space="preserve">: </w:t>
      </w:r>
    </w:p>
    <w:p w14:paraId="738071B0" w14:textId="101CC5E3" w:rsidR="00D2765B" w:rsidRDefault="003963C8" w:rsidP="00D2765B">
      <w:pPr>
        <w:pStyle w:val="ListParagraph"/>
        <w:numPr>
          <w:ilvl w:val="0"/>
          <w:numId w:val="2"/>
        </w:numPr>
      </w:pPr>
      <w:r>
        <w:t>danni materiali</w:t>
      </w:r>
      <w:r w:rsidR="009B2221">
        <w:t>, noti come “patrimoniali”</w:t>
      </w:r>
      <w:r>
        <w:t xml:space="preserve"> e </w:t>
      </w:r>
    </w:p>
    <w:p w14:paraId="3EF238B4" w14:textId="00E60DEF" w:rsidR="004D2446" w:rsidRPr="00CF7994" w:rsidRDefault="00FB0050" w:rsidP="00D2765B">
      <w:pPr>
        <w:pStyle w:val="ListParagraph"/>
        <w:numPr>
          <w:ilvl w:val="0"/>
          <w:numId w:val="2"/>
        </w:numPr>
      </w:pPr>
      <w:r>
        <w:t>D</w:t>
      </w:r>
      <w:r w:rsidR="00D56063">
        <w:t xml:space="preserve">anni </w:t>
      </w:r>
      <w:r w:rsidR="003963C8">
        <w:t>immateriali</w:t>
      </w:r>
      <w:r w:rsidR="0080397E">
        <w:t>, nel nostro ordinamento noti</w:t>
      </w:r>
      <w:r w:rsidR="00776401">
        <w:t xml:space="preserve"> come</w:t>
      </w:r>
      <w:r w:rsidR="0022260A">
        <w:t xml:space="preserve"> </w:t>
      </w:r>
      <w:r w:rsidR="00E35657">
        <w:t>“</w:t>
      </w:r>
      <w:r w:rsidR="0022260A">
        <w:t>non patrimoniali</w:t>
      </w:r>
      <w:r w:rsidR="00E35657">
        <w:t>”</w:t>
      </w:r>
      <w:r w:rsidR="003963C8">
        <w:t>.</w:t>
      </w:r>
    </w:p>
    <w:p w14:paraId="2896CAFC" w14:textId="07C1B1DE" w:rsidR="00A21605" w:rsidRDefault="00C3064D" w:rsidP="00C3064D">
      <w:pPr>
        <w:pBdr>
          <w:bottom w:val="single" w:sz="6" w:space="1" w:color="auto"/>
        </w:pBdr>
      </w:pPr>
      <w:r>
        <w:t xml:space="preserve">L'articolo 82 del GDPR </w:t>
      </w:r>
      <w:r w:rsidR="00B3671E">
        <w:t>stabilisce</w:t>
      </w:r>
      <w:r>
        <w:t xml:space="preserve"> il diritto di chiunque abbia subito un danno materiale o immateriale a seguito di un trattamento illecito di dati personali di ricevere un risarcimento. </w:t>
      </w:r>
      <w:r w:rsidR="00EC3AC1">
        <w:t>La prescrizione</w:t>
      </w:r>
      <w:r w:rsidR="00FE71FB">
        <w:t xml:space="preserve">, quindi, indica chiaramente </w:t>
      </w:r>
      <w:r w:rsidR="006768F8">
        <w:t>che il diritto al risarcimento non spetta unicamente all’interessato ma a “chiunque” subisc</w:t>
      </w:r>
      <w:r w:rsidR="00370DFD">
        <w:t>a</w:t>
      </w:r>
      <w:r w:rsidR="006768F8">
        <w:t xml:space="preserve"> un danno a causa di un trattamento illecito.</w:t>
      </w:r>
      <w:r w:rsidR="00B76F16">
        <w:t xml:space="preserve"> </w:t>
      </w:r>
    </w:p>
    <w:p w14:paraId="385839CF" w14:textId="77777777" w:rsidR="007679F0" w:rsidRDefault="007679F0" w:rsidP="00C3064D"/>
    <w:p w14:paraId="0483261A" w14:textId="77777777" w:rsidR="000A10AE" w:rsidRPr="000A10AE" w:rsidRDefault="000A10AE" w:rsidP="000A10AE">
      <w:pPr>
        <w:keepNext/>
        <w:keepLines/>
        <w:spacing w:before="240" w:after="0"/>
        <w:outlineLvl w:val="0"/>
        <w:rPr>
          <w:rFonts w:asciiTheme="majorHAnsi" w:eastAsiaTheme="majorEastAsia" w:hAnsiTheme="majorHAnsi" w:cstheme="majorBidi"/>
          <w:color w:val="2F5496" w:themeColor="accent1" w:themeShade="BF"/>
          <w:sz w:val="32"/>
          <w:szCs w:val="32"/>
        </w:rPr>
      </w:pPr>
      <w:r w:rsidRPr="000A10AE">
        <w:rPr>
          <w:rFonts w:asciiTheme="majorHAnsi" w:eastAsiaTheme="majorEastAsia" w:hAnsiTheme="majorHAnsi" w:cstheme="majorBidi"/>
          <w:color w:val="2F5496" w:themeColor="accent1" w:themeShade="BF"/>
          <w:sz w:val="32"/>
          <w:szCs w:val="32"/>
        </w:rPr>
        <w:t>Condizioni per la risarcibilità del danno GDPR</w:t>
      </w:r>
    </w:p>
    <w:p w14:paraId="365974A2" w14:textId="77777777" w:rsidR="000A10AE" w:rsidRPr="000A10AE" w:rsidRDefault="000A10AE" w:rsidP="000A10AE">
      <w:r w:rsidRPr="000A10AE">
        <w:t xml:space="preserve">Il regolamento prevede tre condizioni cumulative per la risarcibilità del danno derivante dal trattamento di dati personali: </w:t>
      </w:r>
    </w:p>
    <w:p w14:paraId="20DC45BE" w14:textId="77777777" w:rsidR="000A10AE" w:rsidRPr="000A10AE" w:rsidRDefault="000A10AE" w:rsidP="000A10AE">
      <w:pPr>
        <w:numPr>
          <w:ilvl w:val="0"/>
          <w:numId w:val="1"/>
        </w:numPr>
        <w:contextualSpacing/>
      </w:pPr>
      <w:r w:rsidRPr="000A10AE">
        <w:t xml:space="preserve">che sia stata commessa una </w:t>
      </w:r>
      <w:r w:rsidRPr="00947329">
        <w:rPr>
          <w:b/>
          <w:bCs/>
        </w:rPr>
        <w:t>violazione</w:t>
      </w:r>
      <w:r w:rsidRPr="000A10AE">
        <w:t xml:space="preserve"> del GDPR</w:t>
      </w:r>
    </w:p>
    <w:p w14:paraId="3D6C4A2A" w14:textId="77777777" w:rsidR="000A10AE" w:rsidRPr="000A10AE" w:rsidRDefault="000A10AE" w:rsidP="000A10AE">
      <w:pPr>
        <w:numPr>
          <w:ilvl w:val="0"/>
          <w:numId w:val="1"/>
        </w:numPr>
        <w:contextualSpacing/>
      </w:pPr>
      <w:r w:rsidRPr="000A10AE">
        <w:t xml:space="preserve">che si sia subito un </w:t>
      </w:r>
      <w:r w:rsidRPr="00947329">
        <w:rPr>
          <w:b/>
          <w:bCs/>
        </w:rPr>
        <w:t>danno</w:t>
      </w:r>
      <w:r w:rsidRPr="000A10AE">
        <w:t xml:space="preserve"> </w:t>
      </w:r>
    </w:p>
    <w:p w14:paraId="28343DE6" w14:textId="47F3BF2E" w:rsidR="000A10AE" w:rsidRPr="000A10AE" w:rsidRDefault="000A10AE" w:rsidP="009A15DC">
      <w:pPr>
        <w:numPr>
          <w:ilvl w:val="0"/>
          <w:numId w:val="1"/>
        </w:numPr>
        <w:spacing w:before="240"/>
        <w:ind w:left="714" w:hanging="357"/>
        <w:contextualSpacing/>
      </w:pPr>
      <w:r w:rsidRPr="000A10AE">
        <w:t xml:space="preserve">l’esistenza del </w:t>
      </w:r>
      <w:r w:rsidRPr="00947329">
        <w:rPr>
          <w:b/>
          <w:bCs/>
        </w:rPr>
        <w:t>nesso di causalità</w:t>
      </w:r>
      <w:r w:rsidRPr="000A10AE">
        <w:t xml:space="preserve"> tra violazione e danno</w:t>
      </w:r>
      <w:r>
        <w:t xml:space="preserve"> (</w:t>
      </w:r>
      <w:hyperlink r:id="rId9" w:history="1">
        <w:r w:rsidRPr="00F1164F">
          <w:rPr>
            <w:rStyle w:val="Hyperlink"/>
          </w:rPr>
          <w:t xml:space="preserve">CGUE, </w:t>
        </w:r>
        <w:r w:rsidR="000A1B84" w:rsidRPr="00F1164F">
          <w:rPr>
            <w:rStyle w:val="Hyperlink"/>
          </w:rPr>
          <w:t>c</w:t>
        </w:r>
        <w:r w:rsidRPr="00F1164F">
          <w:rPr>
            <w:rStyle w:val="Hyperlink"/>
          </w:rPr>
          <w:t>-300/21</w:t>
        </w:r>
        <w:r w:rsidR="000A1B84" w:rsidRPr="00F1164F">
          <w:rPr>
            <w:rStyle w:val="Hyperlink"/>
          </w:rPr>
          <w:t xml:space="preserve">, par. </w:t>
        </w:r>
        <w:r w:rsidR="00285277" w:rsidRPr="00F1164F">
          <w:rPr>
            <w:rStyle w:val="Hyperlink"/>
          </w:rPr>
          <w:t>32</w:t>
        </w:r>
      </w:hyperlink>
      <w:r w:rsidR="00285277">
        <w:t>)</w:t>
      </w:r>
      <w:r w:rsidR="00301465">
        <w:t>.</w:t>
      </w:r>
    </w:p>
    <w:p w14:paraId="74E3BFF2" w14:textId="5EFA392E" w:rsidR="009A15DC" w:rsidRDefault="009A15DC" w:rsidP="009A15DC">
      <w:pPr>
        <w:spacing w:before="240"/>
      </w:pPr>
      <w:r>
        <w:rPr>
          <w:noProof/>
        </w:rPr>
        <w:drawing>
          <wp:inline distT="0" distB="0" distL="0" distR="0" wp14:anchorId="40708CA7" wp14:editId="786AD10E">
            <wp:extent cx="6120130" cy="3442335"/>
            <wp:effectExtent l="0" t="0" r="0" b="5715"/>
            <wp:docPr id="216918688" name="Picture 216918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18688"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42335"/>
                    </a:xfrm>
                    <a:prstGeom prst="rect">
                      <a:avLst/>
                    </a:prstGeom>
                  </pic:spPr>
                </pic:pic>
              </a:graphicData>
            </a:graphic>
          </wp:inline>
        </w:drawing>
      </w:r>
    </w:p>
    <w:p w14:paraId="15E4C5C0" w14:textId="4AB09F80" w:rsidR="000A10AE" w:rsidRDefault="00301465" w:rsidP="00C3064D">
      <w:r>
        <w:t>Di conseguenza, occorre che:</w:t>
      </w:r>
    </w:p>
    <w:p w14:paraId="65FAF756" w14:textId="60989271" w:rsidR="007767D8" w:rsidRDefault="007767D8" w:rsidP="007767D8">
      <w:pPr>
        <w:pStyle w:val="ListParagraph"/>
        <w:numPr>
          <w:ilvl w:val="0"/>
          <w:numId w:val="3"/>
        </w:numPr>
      </w:pPr>
      <w:r>
        <w:t>Il danno sia stato causato da un trattamento di dati personali</w:t>
      </w:r>
    </w:p>
    <w:p w14:paraId="4CFFC713" w14:textId="54284402" w:rsidR="007767D8" w:rsidRDefault="007767D8" w:rsidP="007767D8">
      <w:pPr>
        <w:pStyle w:val="ListParagraph"/>
        <w:numPr>
          <w:ilvl w:val="0"/>
          <w:numId w:val="3"/>
        </w:numPr>
      </w:pPr>
      <w:r>
        <w:t>Tale trattamento sia illecito, cioè frutto di una violazione del GDPR.</w:t>
      </w:r>
    </w:p>
    <w:p w14:paraId="7A526DE0" w14:textId="77777777" w:rsidR="00986570" w:rsidRDefault="00986570" w:rsidP="00986570">
      <w:pPr>
        <w:pStyle w:val="Heading1"/>
      </w:pPr>
      <w:r>
        <w:t>Violazione del GDPR</w:t>
      </w:r>
    </w:p>
    <w:p w14:paraId="789064C7" w14:textId="3281D9AE" w:rsidR="00880CFD" w:rsidRDefault="00986570" w:rsidP="00986570">
      <w:r>
        <w:t xml:space="preserve">Tra </w:t>
      </w:r>
      <w:r w:rsidR="00880CFD">
        <w:t>le condizioni</w:t>
      </w:r>
      <w:r>
        <w:t xml:space="preserve"> per la risarcibilità del danno GDPR, l’articolo 82</w:t>
      </w:r>
      <w:r w:rsidR="00335441">
        <w:t xml:space="preserve">, </w:t>
      </w:r>
      <w:r w:rsidR="00865B8B">
        <w:t>paragrafo</w:t>
      </w:r>
      <w:r w:rsidR="00335441">
        <w:t xml:space="preserve"> 2,</w:t>
      </w:r>
      <w:r>
        <w:t xml:space="preserve"> </w:t>
      </w:r>
      <w:r w:rsidR="00880CFD">
        <w:t xml:space="preserve">richiede che </w:t>
      </w:r>
      <w:r w:rsidR="0018628C">
        <w:t>il trattamento sia stato realizza</w:t>
      </w:r>
      <w:r w:rsidR="004E0027">
        <w:t>t</w:t>
      </w:r>
      <w:r w:rsidR="0018628C">
        <w:t xml:space="preserve">o </w:t>
      </w:r>
      <w:r w:rsidR="004E0027">
        <w:t>in</w:t>
      </w:r>
      <w:r w:rsidR="00B34198">
        <w:t xml:space="preserve"> violazione del GDPR.</w:t>
      </w:r>
    </w:p>
    <w:p w14:paraId="5FD49D58" w14:textId="7DDBE134" w:rsidR="00DB5467" w:rsidRDefault="00DB5467" w:rsidP="00DB5467">
      <w:r>
        <w:t xml:space="preserve">Tuttavia, la stessa disposizione va interpretata </w:t>
      </w:r>
      <w:r>
        <w:rPr>
          <w:rFonts w:cstheme="minorHAnsi"/>
        </w:rPr>
        <w:t>«</w:t>
      </w:r>
      <w:r w:rsidRPr="007938EC">
        <w:rPr>
          <w:i/>
          <w:iCs/>
        </w:rPr>
        <w:t>nel senso che la mera violazione delle disposizioni di tale</w:t>
      </w:r>
      <w:r>
        <w:rPr>
          <w:i/>
          <w:iCs/>
        </w:rPr>
        <w:t xml:space="preserve"> </w:t>
      </w:r>
      <w:r w:rsidRPr="007938EC">
        <w:rPr>
          <w:i/>
          <w:iCs/>
        </w:rPr>
        <w:t>regolamento non è sufficiente per conferire un diritto al risarcimento</w:t>
      </w:r>
      <w:r>
        <w:rPr>
          <w:rFonts w:cstheme="minorHAnsi"/>
        </w:rPr>
        <w:t xml:space="preserve">» in quanto occorre dimostrare </w:t>
      </w:r>
      <w:r w:rsidR="00D6546B">
        <w:rPr>
          <w:rFonts w:cstheme="minorHAnsi"/>
        </w:rPr>
        <w:t xml:space="preserve">anche </w:t>
      </w:r>
      <w:r>
        <w:rPr>
          <w:rFonts w:cstheme="minorHAnsi"/>
        </w:rPr>
        <w:t>l’esistenza di un danno</w:t>
      </w:r>
      <w:r>
        <w:t xml:space="preserve"> effettivamente patito (</w:t>
      </w:r>
      <w:hyperlink r:id="rId12" w:history="1">
        <w:r w:rsidRPr="00313A19">
          <w:rPr>
            <w:rStyle w:val="Hyperlink"/>
          </w:rPr>
          <w:t>CGUE, c-300/21, par. 42</w:t>
        </w:r>
      </w:hyperlink>
      <w:r>
        <w:t xml:space="preserve">). </w:t>
      </w:r>
      <w:r w:rsidR="00B95918">
        <w:t xml:space="preserve">Questa conclusione </w:t>
      </w:r>
      <w:r w:rsidR="00710907">
        <w:t>trova conferma dall’analisi letterale della disposizione, in quanto</w:t>
      </w:r>
      <w:r w:rsidR="00841FC6">
        <w:t xml:space="preserve"> ragionando al contrario,</w:t>
      </w:r>
      <w:r w:rsidR="00710907">
        <w:t xml:space="preserve"> </w:t>
      </w:r>
      <w:r w:rsidR="00541FBF">
        <w:rPr>
          <w:rFonts w:cstheme="minorHAnsi"/>
        </w:rPr>
        <w:t>«</w:t>
      </w:r>
      <w:r w:rsidR="00245D67" w:rsidRPr="006D3DCB">
        <w:rPr>
          <w:rFonts w:cstheme="minorHAnsi"/>
          <w:i/>
          <w:iCs/>
        </w:rPr>
        <w:t xml:space="preserve">la menzione distinta di un «danno» e di una «violazione», all’articolo 82, paragrafo 1, del RGPD, sarebbe superflua se il legislatore dell’Unione avesse ritenuto che una violazione delle disposizioni del regolamento </w:t>
      </w:r>
      <w:r w:rsidR="006D3DCB" w:rsidRPr="006D3DCB">
        <w:rPr>
          <w:rFonts w:cstheme="minorHAnsi"/>
          <w:i/>
          <w:iCs/>
        </w:rPr>
        <w:t>(…)</w:t>
      </w:r>
      <w:r w:rsidR="00245D67" w:rsidRPr="006D3DCB">
        <w:rPr>
          <w:rFonts w:cstheme="minorHAnsi"/>
          <w:i/>
          <w:iCs/>
        </w:rPr>
        <w:t xml:space="preserve"> possa essere sufficiente, da sola e in ogni caso, a </w:t>
      </w:r>
      <w:r w:rsidR="006D3DCB" w:rsidRPr="006D3DCB">
        <w:rPr>
          <w:rFonts w:cstheme="minorHAnsi"/>
          <w:i/>
          <w:iCs/>
        </w:rPr>
        <w:t>dare fondamento</w:t>
      </w:r>
      <w:r w:rsidR="00245D67" w:rsidRPr="006D3DCB">
        <w:rPr>
          <w:rFonts w:cstheme="minorHAnsi"/>
          <w:i/>
          <w:iCs/>
        </w:rPr>
        <w:t xml:space="preserve"> a un diritto al risarcimento</w:t>
      </w:r>
      <w:r w:rsidR="006D3DCB">
        <w:rPr>
          <w:rFonts w:cstheme="minorHAnsi"/>
        </w:rPr>
        <w:t>» (</w:t>
      </w:r>
      <w:hyperlink r:id="rId13" w:history="1">
        <w:r w:rsidR="006D3DCB" w:rsidRPr="00313A19">
          <w:rPr>
            <w:rStyle w:val="Hyperlink"/>
            <w:rFonts w:cstheme="minorHAnsi"/>
          </w:rPr>
          <w:t>c-300/21, par. 34</w:t>
        </w:r>
      </w:hyperlink>
      <w:r w:rsidR="006D3DCB">
        <w:rPr>
          <w:rFonts w:cstheme="minorHAnsi"/>
        </w:rPr>
        <w:t>)</w:t>
      </w:r>
      <w:r w:rsidR="00245D67" w:rsidRPr="00245D67">
        <w:rPr>
          <w:rFonts w:cstheme="minorHAnsi"/>
        </w:rPr>
        <w:t>.</w:t>
      </w:r>
      <w:r w:rsidR="00710907">
        <w:t xml:space="preserve"> </w:t>
      </w:r>
    </w:p>
    <w:p w14:paraId="5367E409" w14:textId="22A36A1E" w:rsidR="006B6B7D" w:rsidRDefault="006B6B7D" w:rsidP="00DB5467">
      <w:r>
        <w:t xml:space="preserve">Peraltro, </w:t>
      </w:r>
      <w:r w:rsidR="00726704">
        <w:t xml:space="preserve">come desumibile anche dai considerando </w:t>
      </w:r>
      <w:r w:rsidR="00983667">
        <w:t xml:space="preserve">(75), (85) e (146) del GDPR, </w:t>
      </w:r>
      <w:r w:rsidR="0033294E">
        <w:t xml:space="preserve">non ogni violazione può provocare danni </w:t>
      </w:r>
      <w:r w:rsidR="006462A2">
        <w:t xml:space="preserve">e, di conseguenza, un trattamento illecito </w:t>
      </w:r>
      <w:r w:rsidR="00B068C8">
        <w:t>non comporta necessariamente un danno (</w:t>
      </w:r>
      <w:hyperlink r:id="rId14" w:history="1">
        <w:r w:rsidR="00B068C8" w:rsidRPr="00313A19">
          <w:rPr>
            <w:rStyle w:val="Hyperlink"/>
          </w:rPr>
          <w:t>c-300/21, par. 37</w:t>
        </w:r>
      </w:hyperlink>
      <w:r w:rsidR="00B068C8">
        <w:t>).</w:t>
      </w:r>
    </w:p>
    <w:p w14:paraId="3FCA5365" w14:textId="77777777" w:rsidR="00216C58" w:rsidRDefault="0078056D" w:rsidP="00DB5467">
      <w:r>
        <w:t xml:space="preserve">A supporto di tale conclusione, la Corte fa rilevare la differenza tra il diritto al risarcimento </w:t>
      </w:r>
      <w:r w:rsidR="00F513F7">
        <w:t xml:space="preserve">e il diritto a </w:t>
      </w:r>
      <w:r w:rsidR="00F513F7" w:rsidRPr="00216C58">
        <w:rPr>
          <w:b/>
          <w:bCs/>
        </w:rPr>
        <w:t>mezzi di ricorso</w:t>
      </w:r>
      <w:r w:rsidR="00F513F7">
        <w:t xml:space="preserve"> presso o nei confronti di un’autorità di controllo</w:t>
      </w:r>
      <w:r w:rsidR="00F25C60">
        <w:t xml:space="preserve">: </w:t>
      </w:r>
      <w:r w:rsidR="003E1EAB">
        <w:t xml:space="preserve">in questa seconda ipotesi, </w:t>
      </w:r>
      <w:r w:rsidR="0036440C">
        <w:t xml:space="preserve">per poter proporre tali </w:t>
      </w:r>
      <w:r w:rsidR="00D56B19">
        <w:t>ricorsi –</w:t>
      </w:r>
      <w:r w:rsidR="00F25C60">
        <w:t xml:space="preserve"> a differenza del diritto al risarcimento del danno </w:t>
      </w:r>
      <w:r w:rsidR="00FA4282">
        <w:t>–</w:t>
      </w:r>
      <w:r w:rsidR="00F25C60">
        <w:t xml:space="preserve"> </w:t>
      </w:r>
      <w:r w:rsidR="0036440C">
        <w:t>è sufficiente che si presuma</w:t>
      </w:r>
      <w:r w:rsidR="00FA4282">
        <w:t xml:space="preserve"> </w:t>
      </w:r>
      <w:r w:rsidR="0036440C">
        <w:t xml:space="preserve">una </w:t>
      </w:r>
      <w:r w:rsidR="00FA4282">
        <w:t>violazione del regolamento</w:t>
      </w:r>
      <w:r w:rsidR="00BD5C3C">
        <w:t>,</w:t>
      </w:r>
      <w:r w:rsidR="00FA4282">
        <w:t xml:space="preserve"> </w:t>
      </w:r>
      <w:r w:rsidR="00B351CD">
        <w:t xml:space="preserve">senza che sia necessario che l’interessato abbia anche subito un danno. </w:t>
      </w:r>
    </w:p>
    <w:p w14:paraId="4B9CB281" w14:textId="4F9C756B" w:rsidR="001F4715" w:rsidRDefault="00B351CD" w:rsidP="00DB5467">
      <w:r>
        <w:t xml:space="preserve">Analogamente, </w:t>
      </w:r>
      <w:r w:rsidR="005E1949">
        <w:t>nell’ambito dell’</w:t>
      </w:r>
      <w:r w:rsidR="00C94FB6">
        <w:t>applica</w:t>
      </w:r>
      <w:r w:rsidR="005E1949">
        <w:t xml:space="preserve">zione delle </w:t>
      </w:r>
      <w:r w:rsidR="005E1949" w:rsidRPr="00216C58">
        <w:rPr>
          <w:b/>
          <w:bCs/>
        </w:rPr>
        <w:t>sanzioni</w:t>
      </w:r>
      <w:r w:rsidR="00486579">
        <w:t xml:space="preserve"> di cui agli articoli 83 e 84</w:t>
      </w:r>
      <w:r w:rsidR="00C94FB6">
        <w:t xml:space="preserve">, che hanno essenzialmente una finalità punitiva, </w:t>
      </w:r>
      <w:r w:rsidR="00DA0DDB">
        <w:t>la loro irrogazione non è subordinata all’esistenza di un danno individuale</w:t>
      </w:r>
      <w:r w:rsidR="00790C5A">
        <w:t xml:space="preserve"> </w:t>
      </w:r>
      <w:r w:rsidR="00790C5A" w:rsidRPr="00790C5A">
        <w:t>(</w:t>
      </w:r>
      <w:hyperlink r:id="rId15" w:history="1">
        <w:r w:rsidR="00790C5A" w:rsidRPr="00313A19">
          <w:rPr>
            <w:rStyle w:val="Hyperlink"/>
          </w:rPr>
          <w:t xml:space="preserve">c-300/21, </w:t>
        </w:r>
        <w:proofErr w:type="spellStart"/>
        <w:r w:rsidR="00790C5A" w:rsidRPr="00313A19">
          <w:rPr>
            <w:rStyle w:val="Hyperlink"/>
          </w:rPr>
          <w:t>parr</w:t>
        </w:r>
        <w:proofErr w:type="spellEnd"/>
        <w:r w:rsidR="00790C5A" w:rsidRPr="00313A19">
          <w:rPr>
            <w:rStyle w:val="Hyperlink"/>
          </w:rPr>
          <w:t>. 39. 40</w:t>
        </w:r>
      </w:hyperlink>
      <w:r w:rsidR="00790C5A" w:rsidRPr="00790C5A">
        <w:t>)</w:t>
      </w:r>
      <w:r w:rsidR="00DA0DDB">
        <w:t>.</w:t>
      </w:r>
    </w:p>
    <w:p w14:paraId="779081D7" w14:textId="77777777" w:rsidR="00B66B09" w:rsidRDefault="00B66B09" w:rsidP="00B66B09">
      <w:pPr>
        <w:pStyle w:val="Heading2"/>
      </w:pPr>
      <w:r>
        <w:t>Soggetto agente</w:t>
      </w:r>
    </w:p>
    <w:p w14:paraId="7224285D" w14:textId="77777777" w:rsidR="00020653" w:rsidRDefault="003716D4" w:rsidP="00273F74">
      <w:pPr>
        <w:rPr>
          <w:rFonts w:cstheme="minorHAnsi"/>
        </w:rPr>
      </w:pPr>
      <w:r>
        <w:t xml:space="preserve">L’obbligo di risarcire il danno </w:t>
      </w:r>
      <w:r w:rsidR="00902F1C">
        <w:t xml:space="preserve">ricade normalmente sul titolare, a condizione che esso sia </w:t>
      </w:r>
      <w:r w:rsidR="00902F1C">
        <w:rPr>
          <w:rFonts w:cstheme="minorHAnsi"/>
        </w:rPr>
        <w:t>«</w:t>
      </w:r>
      <w:r w:rsidR="00AF1D80" w:rsidRPr="00DB55E5">
        <w:rPr>
          <w:rFonts w:cstheme="minorHAnsi"/>
          <w:i/>
          <w:iCs/>
        </w:rPr>
        <w:t>coinvolto nel trattamento</w:t>
      </w:r>
      <w:r w:rsidR="00AF1D80">
        <w:rPr>
          <w:rFonts w:cstheme="minorHAnsi"/>
        </w:rPr>
        <w:t xml:space="preserve">». </w:t>
      </w:r>
    </w:p>
    <w:p w14:paraId="25D2DFF6" w14:textId="4A6DD228" w:rsidR="00AF1D80" w:rsidRDefault="00AF1D80" w:rsidP="00273F74">
      <w:pPr>
        <w:rPr>
          <w:rFonts w:cstheme="minorHAnsi"/>
        </w:rPr>
      </w:pPr>
      <w:r>
        <w:rPr>
          <w:rFonts w:cstheme="minorHAnsi"/>
        </w:rPr>
        <w:t xml:space="preserve">Questa formulazione </w:t>
      </w:r>
      <w:r w:rsidR="00DB55E5">
        <w:rPr>
          <w:rFonts w:cstheme="minorHAnsi"/>
        </w:rPr>
        <w:t>contenuta</w:t>
      </w:r>
      <w:r w:rsidR="003E63EA">
        <w:rPr>
          <w:rFonts w:cstheme="minorHAnsi"/>
        </w:rPr>
        <w:t xml:space="preserve"> al paragrafo 2 dell’articolo 82 evidenzia che </w:t>
      </w:r>
      <w:r w:rsidR="00420BED">
        <w:rPr>
          <w:rFonts w:cstheme="minorHAnsi"/>
        </w:rPr>
        <w:t>l’</w:t>
      </w:r>
      <w:r w:rsidR="00442E04">
        <w:rPr>
          <w:rFonts w:cstheme="minorHAnsi"/>
        </w:rPr>
        <w:t>obbligo</w:t>
      </w:r>
      <w:r w:rsidR="00420BED">
        <w:rPr>
          <w:rFonts w:cstheme="minorHAnsi"/>
        </w:rPr>
        <w:t xml:space="preserve"> di risarcire</w:t>
      </w:r>
      <w:r w:rsidR="00442E04">
        <w:rPr>
          <w:rFonts w:cstheme="minorHAnsi"/>
        </w:rPr>
        <w:t xml:space="preserve"> </w:t>
      </w:r>
      <w:r w:rsidR="00420BED">
        <w:rPr>
          <w:rFonts w:cstheme="minorHAnsi"/>
        </w:rPr>
        <w:t xml:space="preserve">in capo al titolare </w:t>
      </w:r>
      <w:r w:rsidR="00442E04">
        <w:rPr>
          <w:rFonts w:cstheme="minorHAnsi"/>
        </w:rPr>
        <w:t xml:space="preserve">non comporta necessariamente che la violazione sia anche compiuta dal </w:t>
      </w:r>
      <w:r w:rsidR="00420BED">
        <w:rPr>
          <w:rFonts w:cstheme="minorHAnsi"/>
        </w:rPr>
        <w:t xml:space="preserve">medesimo </w:t>
      </w:r>
      <w:r w:rsidR="00442E04">
        <w:rPr>
          <w:rFonts w:cstheme="minorHAnsi"/>
        </w:rPr>
        <w:t>titolare.</w:t>
      </w:r>
      <w:r w:rsidR="00BF4ED8">
        <w:rPr>
          <w:rFonts w:cstheme="minorHAnsi"/>
        </w:rPr>
        <w:t xml:space="preserve"> Il titolare, infatti, </w:t>
      </w:r>
      <w:r w:rsidR="00B84769">
        <w:rPr>
          <w:rFonts w:cstheme="minorHAnsi"/>
        </w:rPr>
        <w:t>sarà tenuto al risarcimento anche se la violazione è compiuta da suoi responsabili, da soggetti autorizzati o, persino, da terzi</w:t>
      </w:r>
      <w:r w:rsidR="008376B9">
        <w:rPr>
          <w:rFonts w:cstheme="minorHAnsi"/>
        </w:rPr>
        <w:t>, in presenza delle condizioni richieste dalla legge.</w:t>
      </w:r>
    </w:p>
    <w:p w14:paraId="1BE80714" w14:textId="79BA02D6" w:rsidR="006C29EC" w:rsidRDefault="006C29EC" w:rsidP="006C29EC">
      <w:pPr>
        <w:pStyle w:val="Heading3"/>
      </w:pPr>
      <w:r>
        <w:t>Violazione compiuta dal responsabile del trattamento</w:t>
      </w:r>
    </w:p>
    <w:p w14:paraId="4884E22B" w14:textId="77087E73" w:rsidR="00E90C79" w:rsidRDefault="00E90C79" w:rsidP="00273F74">
      <w:pPr>
        <w:rPr>
          <w:rFonts w:cstheme="minorHAnsi"/>
        </w:rPr>
      </w:pPr>
      <w:r>
        <w:rPr>
          <w:rFonts w:cstheme="minorHAnsi"/>
        </w:rPr>
        <w:t xml:space="preserve">Il medesimo paragrafo 2 dell’articolo 82, indica </w:t>
      </w:r>
      <w:r w:rsidR="00C326A7">
        <w:rPr>
          <w:rFonts w:cstheme="minorHAnsi"/>
        </w:rPr>
        <w:t>le casistiche</w:t>
      </w:r>
      <w:r>
        <w:rPr>
          <w:rFonts w:cstheme="minorHAnsi"/>
        </w:rPr>
        <w:t xml:space="preserve"> in cui l</w:t>
      </w:r>
      <w:r w:rsidR="00C326A7">
        <w:rPr>
          <w:rFonts w:cstheme="minorHAnsi"/>
        </w:rPr>
        <w:t>’obbligo del risarcimento cade in capo al responsabile del trattamento</w:t>
      </w:r>
      <w:r w:rsidR="00C7628A">
        <w:rPr>
          <w:rFonts w:cstheme="minorHAnsi"/>
        </w:rPr>
        <w:t>; vale a dire se esso</w:t>
      </w:r>
      <w:r w:rsidR="00C326A7">
        <w:rPr>
          <w:rFonts w:cstheme="minorHAnsi"/>
        </w:rPr>
        <w:t xml:space="preserve">: </w:t>
      </w:r>
    </w:p>
    <w:p w14:paraId="1D4C2299" w14:textId="55627923" w:rsidR="000374B9" w:rsidRDefault="000374B9" w:rsidP="000374B9">
      <w:pPr>
        <w:pStyle w:val="ListParagraph"/>
        <w:numPr>
          <w:ilvl w:val="0"/>
          <w:numId w:val="4"/>
        </w:numPr>
        <w:rPr>
          <w:rFonts w:cstheme="minorHAnsi"/>
        </w:rPr>
      </w:pPr>
      <w:r>
        <w:rPr>
          <w:rFonts w:cstheme="minorHAnsi"/>
        </w:rPr>
        <w:t>«</w:t>
      </w:r>
      <w:r w:rsidRPr="00025A7C">
        <w:rPr>
          <w:rFonts w:cstheme="minorHAnsi"/>
          <w:i/>
          <w:iCs/>
        </w:rPr>
        <w:t>non ha adempiuto gli obblighi del presente regolamento specificatamente diretti ai responsabili del trattamento</w:t>
      </w:r>
      <w:r>
        <w:rPr>
          <w:rFonts w:cstheme="minorHAnsi"/>
        </w:rPr>
        <w:t>»</w:t>
      </w:r>
      <w:r w:rsidRPr="000374B9">
        <w:rPr>
          <w:rFonts w:cstheme="minorHAnsi"/>
        </w:rPr>
        <w:t xml:space="preserve"> </w:t>
      </w:r>
    </w:p>
    <w:p w14:paraId="274C4B17" w14:textId="25FEC5D8" w:rsidR="00C326A7" w:rsidRPr="000374B9" w:rsidRDefault="000374B9" w:rsidP="000374B9">
      <w:pPr>
        <w:pStyle w:val="ListParagraph"/>
        <w:numPr>
          <w:ilvl w:val="0"/>
          <w:numId w:val="4"/>
        </w:numPr>
        <w:rPr>
          <w:rFonts w:cstheme="minorHAnsi"/>
        </w:rPr>
      </w:pPr>
      <w:r>
        <w:rPr>
          <w:rFonts w:cstheme="minorHAnsi"/>
        </w:rPr>
        <w:t>«</w:t>
      </w:r>
      <w:r w:rsidRPr="00025A7C">
        <w:rPr>
          <w:rFonts w:cstheme="minorHAnsi"/>
          <w:i/>
          <w:iCs/>
        </w:rPr>
        <w:t>ha agito in modo difforme o contrario rispetto alle legittime istruzioni del titolare del trattamento</w:t>
      </w:r>
      <w:r>
        <w:rPr>
          <w:rFonts w:cstheme="minorHAnsi"/>
        </w:rPr>
        <w:t>»</w:t>
      </w:r>
      <w:r w:rsidRPr="000374B9">
        <w:rPr>
          <w:rFonts w:cstheme="minorHAnsi"/>
        </w:rPr>
        <w:t>.</w:t>
      </w:r>
    </w:p>
    <w:p w14:paraId="5A755302" w14:textId="441E0AE3" w:rsidR="004E7373" w:rsidRDefault="00154E42" w:rsidP="00273F74">
      <w:r>
        <w:t>La seconda casistica sopra indicata richiede una precisazione: s</w:t>
      </w:r>
      <w:r w:rsidRPr="00154E42">
        <w:t xml:space="preserve">e l’inottemperanza del data processor è resa possibile o è agevolata dalla carenza di controlli da parte del titolare, quest’ultimo </w:t>
      </w:r>
      <w:r w:rsidR="003F5C84">
        <w:t>rimane</w:t>
      </w:r>
      <w:r w:rsidRPr="00154E42">
        <w:t xml:space="preserve"> </w:t>
      </w:r>
      <w:r w:rsidR="003F5C84">
        <w:t xml:space="preserve">pur sempre </w:t>
      </w:r>
      <w:r w:rsidRPr="00154E42">
        <w:t xml:space="preserve">responsabile per “culpa in vigilando” </w:t>
      </w:r>
      <w:r w:rsidR="00412BE3">
        <w:t>ed è tenuto a risarcire il danno causato</w:t>
      </w:r>
      <w:r w:rsidRPr="00154E42">
        <w:t xml:space="preserve"> d</w:t>
      </w:r>
      <w:r w:rsidR="00412BE3">
        <w:t>a</w:t>
      </w:r>
      <w:r w:rsidRPr="00154E42">
        <w:t>lle violazioni commesse dal proprio responsabile del trattamento</w:t>
      </w:r>
      <w:r w:rsidR="00D515C9">
        <w:t xml:space="preserve"> </w:t>
      </w:r>
      <w:r w:rsidR="0014098D">
        <w:t>(</w:t>
      </w:r>
      <w:proofErr w:type="spellStart"/>
      <w:r w:rsidR="004E3055">
        <w:fldChar w:fldCharType="begin"/>
      </w:r>
      <w:r w:rsidR="004E3055">
        <w:instrText>HYPERLINK "https://www.garanteprivacy.it/home/docweb/-/docweb-display/docweb/9940988"</w:instrText>
      </w:r>
      <w:r w:rsidR="004E3055">
        <w:fldChar w:fldCharType="separate"/>
      </w:r>
      <w:r w:rsidR="0014098D" w:rsidRPr="004E3055">
        <w:rPr>
          <w:rStyle w:val="Hyperlink"/>
        </w:rPr>
        <w:t>provv</w:t>
      </w:r>
      <w:proofErr w:type="spellEnd"/>
      <w:r w:rsidR="0014098D" w:rsidRPr="004E3055">
        <w:rPr>
          <w:rStyle w:val="Hyperlink"/>
        </w:rPr>
        <w:t xml:space="preserve">. Garante sul caso </w:t>
      </w:r>
      <w:proofErr w:type="spellStart"/>
      <w:r w:rsidR="0014098D" w:rsidRPr="004E3055">
        <w:rPr>
          <w:rStyle w:val="Hyperlink"/>
        </w:rPr>
        <w:t>A</w:t>
      </w:r>
      <w:r w:rsidR="00574AA0" w:rsidRPr="004E3055">
        <w:rPr>
          <w:rStyle w:val="Hyperlink"/>
        </w:rPr>
        <w:t>xpo</w:t>
      </w:r>
      <w:proofErr w:type="spellEnd"/>
      <w:r w:rsidR="00574AA0" w:rsidRPr="004E3055">
        <w:rPr>
          <w:rStyle w:val="Hyperlink"/>
        </w:rPr>
        <w:t xml:space="preserve">, doc. </w:t>
      </w:r>
      <w:r w:rsidR="006A51EB" w:rsidRPr="004E3055">
        <w:rPr>
          <w:rStyle w:val="Hyperlink"/>
        </w:rPr>
        <w:t>we</w:t>
      </w:r>
      <w:r w:rsidR="00574AA0" w:rsidRPr="004E3055">
        <w:rPr>
          <w:rStyle w:val="Hyperlink"/>
        </w:rPr>
        <w:t>b</w:t>
      </w:r>
      <w:r w:rsidR="00910B78">
        <w:rPr>
          <w:rStyle w:val="Hyperlink"/>
        </w:rPr>
        <w:t xml:space="preserve"> n</w:t>
      </w:r>
      <w:r w:rsidR="00795C0E">
        <w:rPr>
          <w:rStyle w:val="Hyperlink"/>
        </w:rPr>
        <w:t xml:space="preserve">. </w:t>
      </w:r>
      <w:r w:rsidR="00507CFB" w:rsidRPr="004E3055">
        <w:rPr>
          <w:rStyle w:val="Hyperlink"/>
        </w:rPr>
        <w:t>994</w:t>
      </w:r>
      <w:r w:rsidR="00307C8F" w:rsidRPr="004E3055">
        <w:rPr>
          <w:rStyle w:val="Hyperlink"/>
        </w:rPr>
        <w:t>0988</w:t>
      </w:r>
      <w:r w:rsidR="004E3055">
        <w:fldChar w:fldCharType="end"/>
      </w:r>
      <w:r w:rsidR="00E056BB">
        <w:t xml:space="preserve">). </w:t>
      </w:r>
      <w:r w:rsidRPr="00154E42">
        <w:t xml:space="preserve">Infatti, il titolare è esonerato </w:t>
      </w:r>
      <w:r w:rsidR="00805277">
        <w:t>dall’obbligo di risarcimento</w:t>
      </w:r>
      <w:r w:rsidRPr="00154E42">
        <w:t xml:space="preserve"> unicamente a condizione che egli riesca a dimostrare che l’evento dannoso </w:t>
      </w:r>
      <w:r w:rsidRPr="0067108B">
        <w:rPr>
          <w:b/>
          <w:bCs/>
        </w:rPr>
        <w:t>non è in alcun modo a lui imputabile</w:t>
      </w:r>
      <w:r w:rsidR="00780316">
        <w:t xml:space="preserve"> (</w:t>
      </w:r>
      <w:hyperlink r:id="rId16" w:history="1">
        <w:r w:rsidR="00780316" w:rsidRPr="005E7FF4">
          <w:rPr>
            <w:rStyle w:val="Hyperlink"/>
          </w:rPr>
          <w:t>CGUE, c-340/21, par. 67</w:t>
        </w:r>
      </w:hyperlink>
      <w:r w:rsidR="00780316">
        <w:t>)</w:t>
      </w:r>
      <w:r w:rsidRPr="00154E42">
        <w:t>.</w:t>
      </w:r>
    </w:p>
    <w:p w14:paraId="225CE799" w14:textId="77777777" w:rsidR="006C29EC" w:rsidRDefault="00273F74" w:rsidP="006C29EC">
      <w:pPr>
        <w:pStyle w:val="Heading3"/>
      </w:pPr>
      <w:r>
        <w:t xml:space="preserve">Violazione compiuta da terzi </w:t>
      </w:r>
    </w:p>
    <w:p w14:paraId="4E22603D" w14:textId="2FDD47FD" w:rsidR="00273F74" w:rsidRDefault="00A41228" w:rsidP="00273F74">
      <w:r>
        <w:t>Anche nel caso in cui</w:t>
      </w:r>
      <w:r w:rsidR="006C29EC">
        <w:t xml:space="preserve"> la</w:t>
      </w:r>
      <w:r w:rsidR="006C29EC" w:rsidRPr="006C29EC">
        <w:t xml:space="preserve"> violazione </w:t>
      </w:r>
      <w:r w:rsidR="00171499">
        <w:t>del GDPR</w:t>
      </w:r>
      <w:r w:rsidR="006C29EC" w:rsidRPr="006C29EC">
        <w:t xml:space="preserve"> sia stata commessa da «terzi»</w:t>
      </w:r>
      <w:r w:rsidR="00044D0F">
        <w:t xml:space="preserve"> -</w:t>
      </w:r>
      <w:r w:rsidR="006C29EC" w:rsidRPr="006C29EC">
        <w:t xml:space="preserve"> </w:t>
      </w:r>
      <w:r w:rsidR="00171499">
        <w:t>nell’accezione</w:t>
      </w:r>
      <w:r w:rsidR="006C29EC" w:rsidRPr="006C29EC">
        <w:t xml:space="preserve"> dell’articolo 4, punto 10, </w:t>
      </w:r>
      <w:r w:rsidR="00171499">
        <w:t>del</w:t>
      </w:r>
      <w:r w:rsidR="008B0DE1">
        <w:t xml:space="preserve"> </w:t>
      </w:r>
      <w:r w:rsidR="006C29EC" w:rsidRPr="006C29EC">
        <w:t>regolamento</w:t>
      </w:r>
      <w:r w:rsidR="00044D0F">
        <w:t xml:space="preserve"> -</w:t>
      </w:r>
      <w:r w:rsidR="006C29EC" w:rsidRPr="006C29EC">
        <w:t xml:space="preserve"> tale violazione </w:t>
      </w:r>
      <w:r w:rsidR="008B0DE1">
        <w:t>potrà</w:t>
      </w:r>
      <w:r w:rsidR="006C29EC" w:rsidRPr="006C29EC">
        <w:t xml:space="preserve"> </w:t>
      </w:r>
      <w:r w:rsidR="003F5E08">
        <w:t xml:space="preserve">comunque </w:t>
      </w:r>
      <w:r w:rsidR="00033BCE">
        <w:rPr>
          <w:rFonts w:cstheme="minorHAnsi"/>
        </w:rPr>
        <w:t>«</w:t>
      </w:r>
      <w:r w:rsidR="006C29EC" w:rsidRPr="00033BCE">
        <w:rPr>
          <w:i/>
          <w:iCs/>
        </w:rPr>
        <w:t>essere imputata al titolare del trattamento,</w:t>
      </w:r>
      <w:r w:rsidR="003F5E08" w:rsidRPr="00033BCE">
        <w:rPr>
          <w:i/>
          <w:iCs/>
        </w:rPr>
        <w:t xml:space="preserve"> se</w:t>
      </w:r>
      <w:r w:rsidR="006C29EC" w:rsidRPr="00033BCE">
        <w:rPr>
          <w:i/>
          <w:iCs/>
        </w:rPr>
        <w:t xml:space="preserve"> quest’ultimo abbia reso possibile detta violazione violando </w:t>
      </w:r>
      <w:r w:rsidR="003F5E08" w:rsidRPr="00033BCE">
        <w:rPr>
          <w:i/>
          <w:iCs/>
        </w:rPr>
        <w:t>un obbligo</w:t>
      </w:r>
      <w:r w:rsidR="006C29EC" w:rsidRPr="00033BCE">
        <w:rPr>
          <w:i/>
          <w:iCs/>
        </w:rPr>
        <w:t xml:space="preserve"> previsto dal RGPD</w:t>
      </w:r>
      <w:r w:rsidR="003F5E08">
        <w:rPr>
          <w:rFonts w:cstheme="minorHAnsi"/>
        </w:rPr>
        <w:t>»</w:t>
      </w:r>
      <w:r>
        <w:rPr>
          <w:rFonts w:cstheme="minorHAnsi"/>
        </w:rPr>
        <w:t xml:space="preserve"> (</w:t>
      </w:r>
      <w:hyperlink r:id="rId17" w:history="1">
        <w:r w:rsidRPr="00F32764">
          <w:rPr>
            <w:rStyle w:val="Hyperlink"/>
            <w:rFonts w:cstheme="minorHAnsi"/>
          </w:rPr>
          <w:t xml:space="preserve">c-340/21, par. </w:t>
        </w:r>
        <w:r w:rsidR="009537CC" w:rsidRPr="00F32764">
          <w:rPr>
            <w:rStyle w:val="Hyperlink"/>
            <w:rFonts w:cstheme="minorHAnsi"/>
          </w:rPr>
          <w:t>71</w:t>
        </w:r>
      </w:hyperlink>
      <w:r w:rsidR="009537CC">
        <w:rPr>
          <w:rFonts w:cstheme="minorHAnsi"/>
        </w:rPr>
        <w:t>)</w:t>
      </w:r>
      <w:r w:rsidR="006C29EC" w:rsidRPr="006C29EC">
        <w:t>.</w:t>
      </w:r>
    </w:p>
    <w:p w14:paraId="12DC775F" w14:textId="1B04D38C" w:rsidR="00790C5A" w:rsidRDefault="00995000" w:rsidP="00995000">
      <w:pPr>
        <w:pStyle w:val="Heading2"/>
      </w:pPr>
      <w:r>
        <w:t>Irrilevanza della colpa</w:t>
      </w:r>
    </w:p>
    <w:p w14:paraId="23540B7A" w14:textId="77777777" w:rsidR="00A918FF" w:rsidRDefault="009537CC" w:rsidP="00986570">
      <w:r>
        <w:t>L’obbligo al risarcimento dei danni derivanti dal trattamento illecito</w:t>
      </w:r>
      <w:r w:rsidR="00A918FF">
        <w:t xml:space="preserve"> </w:t>
      </w:r>
      <w:r w:rsidR="00986570">
        <w:t xml:space="preserve">non include la colpa del trasgressore in quanto </w:t>
      </w:r>
      <w:r w:rsidR="00986570">
        <w:rPr>
          <w:rFonts w:cstheme="minorHAnsi"/>
        </w:rPr>
        <w:t>«</w:t>
      </w:r>
      <w:r w:rsidR="00986570" w:rsidRPr="00A918FF">
        <w:rPr>
          <w:i/>
          <w:iCs/>
        </w:rPr>
        <w:t>[u]</w:t>
      </w:r>
      <w:r w:rsidR="00986570" w:rsidRPr="00A918FF">
        <w:rPr>
          <w:rFonts w:cstheme="minorHAnsi"/>
          <w:i/>
          <w:iCs/>
        </w:rPr>
        <w:t>n titolare del trattamento coinvolto nel trattamento risponde per il danno cagionato dal suo trattamento che violi il presente regolamento.</w:t>
      </w:r>
      <w:r w:rsidR="00986570">
        <w:rPr>
          <w:rFonts w:cstheme="minorHAnsi"/>
        </w:rPr>
        <w:t>» (art. 82.2, GDPR)</w:t>
      </w:r>
      <w:r w:rsidR="00986570">
        <w:t xml:space="preserve">. </w:t>
      </w:r>
    </w:p>
    <w:p w14:paraId="474E348B" w14:textId="341BA34A" w:rsidR="00986570" w:rsidRPr="00A06702" w:rsidRDefault="00986570" w:rsidP="00986570">
      <w:r>
        <w:t>U</w:t>
      </w:r>
      <w:r w:rsidRPr="00842603">
        <w:t xml:space="preserve">na volta dimostrato che il trattamento viola </w:t>
      </w:r>
      <w:r>
        <w:t>il</w:t>
      </w:r>
      <w:r w:rsidRPr="00842603">
        <w:t xml:space="preserve"> GDPR, nella misura in cui il danno è stato causato da esso, il titolare del trattamento </w:t>
      </w:r>
      <w:r>
        <w:t xml:space="preserve">ne è responsabile e </w:t>
      </w:r>
      <w:r w:rsidRPr="00842603">
        <w:t>dovrà risarcir</w:t>
      </w:r>
      <w:r>
        <w:t>lo.</w:t>
      </w:r>
      <w:r w:rsidRPr="00842603">
        <w:t xml:space="preserve"> </w:t>
      </w:r>
    </w:p>
    <w:p w14:paraId="6866DA64" w14:textId="77777777" w:rsidR="006817E6" w:rsidRDefault="00EA742D" w:rsidP="00986570">
      <w:pPr>
        <w:rPr>
          <w:rFonts w:cstheme="minorHAnsi"/>
        </w:rPr>
      </w:pPr>
      <w:r>
        <w:rPr>
          <w:rFonts w:cstheme="minorHAnsi"/>
        </w:rPr>
        <w:t xml:space="preserve">Il titolare, infatti, per </w:t>
      </w:r>
      <w:r w:rsidR="0067073D">
        <w:rPr>
          <w:rFonts w:cstheme="minorHAnsi"/>
        </w:rPr>
        <w:t>sottrarsi a tale obbligo</w:t>
      </w:r>
      <w:r>
        <w:rPr>
          <w:rFonts w:cstheme="minorHAnsi"/>
        </w:rPr>
        <w:t>, ha l’onere di dimostrare «</w:t>
      </w:r>
      <w:r w:rsidRPr="00847114">
        <w:rPr>
          <w:rFonts w:cstheme="minorHAnsi"/>
          <w:i/>
          <w:iCs/>
        </w:rPr>
        <w:t>che l’evento dannoso non gli è in alcun modo imputabile. (…)</w:t>
      </w:r>
      <w:r w:rsidRPr="001A6F89">
        <w:rPr>
          <w:rFonts w:cstheme="minorHAnsi"/>
        </w:rPr>
        <w:t>»</w:t>
      </w:r>
      <w:r>
        <w:rPr>
          <w:rFonts w:cstheme="minorHAnsi"/>
        </w:rPr>
        <w:t xml:space="preserve">. </w:t>
      </w:r>
    </w:p>
    <w:p w14:paraId="385681AE" w14:textId="446F02C1" w:rsidR="00986570" w:rsidRDefault="00EA742D" w:rsidP="00986570">
      <w:r>
        <w:rPr>
          <w:rFonts w:cstheme="minorHAnsi"/>
        </w:rPr>
        <w:t xml:space="preserve">Secondo </w:t>
      </w:r>
      <w:r w:rsidR="0067073D">
        <w:rPr>
          <w:rFonts w:cstheme="minorHAnsi"/>
        </w:rPr>
        <w:t xml:space="preserve">l’avvocato generale </w:t>
      </w:r>
      <w:r w:rsidR="00272F3D">
        <w:rPr>
          <w:rFonts w:cstheme="minorHAnsi"/>
        </w:rPr>
        <w:t>nelle conclusioni relative alla causa c-3</w:t>
      </w:r>
      <w:r w:rsidR="0046704F">
        <w:rPr>
          <w:rFonts w:cstheme="minorHAnsi"/>
        </w:rPr>
        <w:t>00</w:t>
      </w:r>
      <w:r w:rsidR="00272F3D">
        <w:rPr>
          <w:rFonts w:cstheme="minorHAnsi"/>
        </w:rPr>
        <w:t xml:space="preserve">/21 </w:t>
      </w:r>
      <w:r>
        <w:rPr>
          <w:rFonts w:cstheme="minorHAnsi"/>
        </w:rPr>
        <w:t>«</w:t>
      </w:r>
      <w:r w:rsidRPr="00875658">
        <w:rPr>
          <w:rFonts w:cstheme="minorHAnsi"/>
          <w:i/>
          <w:iCs/>
        </w:rPr>
        <w:t>l’espressione «in alcun modo», (…) suggerisce che il modello non è quello della colpa (neanche della colpa lievissima) con inversione dell’onere della prova</w:t>
      </w:r>
      <w:r>
        <w:rPr>
          <w:rFonts w:cstheme="minorHAnsi"/>
        </w:rPr>
        <w:t>» (punti 95 e 96)</w:t>
      </w:r>
      <w:r>
        <w:t>; alla stessa stregua, l’avv</w:t>
      </w:r>
      <w:r w:rsidR="0046704F">
        <w:t>ocato generale</w:t>
      </w:r>
      <w:r>
        <w:t xml:space="preserve"> nelle sue conclusion</w:t>
      </w:r>
      <w:r w:rsidR="0046704F">
        <w:t xml:space="preserve">i riguardo alla causa </w:t>
      </w:r>
      <w:r w:rsidR="00071DEE">
        <w:t>c-340/21</w:t>
      </w:r>
      <w:r>
        <w:t xml:space="preserve"> afferma: </w:t>
      </w:r>
      <w:r>
        <w:rPr>
          <w:rFonts w:cstheme="minorHAnsi"/>
        </w:rPr>
        <w:t>«</w:t>
      </w:r>
      <w:r w:rsidRPr="00032EC6">
        <w:rPr>
          <w:rFonts w:cstheme="minorHAnsi"/>
          <w:i/>
          <w:iCs/>
        </w:rPr>
        <w:t>l’articolo 82,</w:t>
      </w:r>
      <w:r>
        <w:rPr>
          <w:rFonts w:cstheme="minorHAnsi"/>
          <w:i/>
          <w:iCs/>
        </w:rPr>
        <w:t xml:space="preserve"> </w:t>
      </w:r>
      <w:r w:rsidRPr="00032EC6">
        <w:rPr>
          <w:rFonts w:cstheme="minorHAnsi"/>
          <w:i/>
          <w:iCs/>
        </w:rPr>
        <w:t>paragrafo 3, del Regolamento detta un regime favorevole al danneggiato, disponendo una forma di inversione</w:t>
      </w:r>
      <w:r>
        <w:rPr>
          <w:rFonts w:cstheme="minorHAnsi"/>
          <w:i/>
          <w:iCs/>
        </w:rPr>
        <w:t xml:space="preserve"> </w:t>
      </w:r>
      <w:r w:rsidRPr="00032EC6">
        <w:rPr>
          <w:rFonts w:cstheme="minorHAnsi"/>
          <w:i/>
          <w:iCs/>
        </w:rPr>
        <w:t xml:space="preserve">dell’onere della prova della colpa del danneggiante (24), </w:t>
      </w:r>
      <w:r w:rsidRPr="00071DEE">
        <w:rPr>
          <w:rFonts w:cstheme="minorHAnsi"/>
          <w:i/>
          <w:iCs/>
        </w:rPr>
        <w:t>in piena simmetria con la predetta inversione dell’onere della prova per quanto attiene all’adeguatezza delle misure adottate</w:t>
      </w:r>
      <w:r w:rsidRPr="00032EC6">
        <w:rPr>
          <w:rFonts w:cstheme="minorHAnsi"/>
          <w:i/>
          <w:iCs/>
        </w:rPr>
        <w:t>.</w:t>
      </w:r>
      <w:r>
        <w:rPr>
          <w:rFonts w:cstheme="minorHAnsi"/>
        </w:rPr>
        <w:t>»</w:t>
      </w:r>
      <w:r w:rsidRPr="00E97801">
        <w:t xml:space="preserve"> </w:t>
      </w:r>
      <w:r>
        <w:t>(</w:t>
      </w:r>
      <w:hyperlink r:id="rId18" w:history="1">
        <w:r w:rsidRPr="009178FF">
          <w:rPr>
            <w:rStyle w:val="Hyperlink"/>
          </w:rPr>
          <w:t>C-340/21, conclusioni, p. 63</w:t>
        </w:r>
      </w:hyperlink>
      <w:r>
        <w:t>).</w:t>
      </w:r>
    </w:p>
    <w:p w14:paraId="32EC5CF1" w14:textId="77777777" w:rsidR="00653F80" w:rsidRDefault="00653F80" w:rsidP="00653F80">
      <w:pPr>
        <w:pStyle w:val="Heading1"/>
      </w:pPr>
      <w:r>
        <w:t>Concetto di danno</w:t>
      </w:r>
    </w:p>
    <w:p w14:paraId="30B652FB" w14:textId="45B15972" w:rsidR="00653F80" w:rsidRPr="00A8549B" w:rsidRDefault="00653F80" w:rsidP="00653F80">
      <w:r>
        <w:t xml:space="preserve">Secondo la CGUE, sulla base di un’interpretazione consolidata della stessa Corte, in mancanza di rinvii al diritto degli Stati membri riguardo al significato e alla portata dell’articolo 82 del GDPR, </w:t>
      </w:r>
      <w:r>
        <w:rPr>
          <w:rFonts w:cstheme="minorHAnsi"/>
        </w:rPr>
        <w:t>«</w:t>
      </w:r>
      <w:r w:rsidRPr="00B50DD2">
        <w:rPr>
          <w:rFonts w:cstheme="minorHAnsi"/>
          <w:i/>
          <w:iCs/>
        </w:rPr>
        <w:t xml:space="preserve">le nozioni di «danno materiale o immateriale» e di «risarcimento del danno» (…) devono essere </w:t>
      </w:r>
      <w:proofErr w:type="spellStart"/>
      <w:r w:rsidRPr="00B50DD2">
        <w:rPr>
          <w:rFonts w:cstheme="minorHAnsi"/>
          <w:i/>
          <w:iCs/>
        </w:rPr>
        <w:t>considerat</w:t>
      </w:r>
      <w:proofErr w:type="spellEnd"/>
      <w:r w:rsidRPr="00B50DD2">
        <w:rPr>
          <w:rFonts w:cstheme="minorHAnsi"/>
          <w:i/>
          <w:iCs/>
        </w:rPr>
        <w:t>(e), ai fini dell’applicazione di detto regolamento, come nozioni autonome del diritto dell’Unione, che devono essere interpretate in modo uniforme in tutti gli Stati membri</w:t>
      </w:r>
      <w:r>
        <w:rPr>
          <w:rFonts w:cstheme="minorHAnsi"/>
        </w:rPr>
        <w:t>» (</w:t>
      </w:r>
      <w:hyperlink r:id="rId19" w:history="1">
        <w:r w:rsidRPr="00EC6E21">
          <w:rPr>
            <w:rStyle w:val="Hyperlink"/>
            <w:rFonts w:cstheme="minorHAnsi"/>
          </w:rPr>
          <w:t xml:space="preserve">c-300/21, </w:t>
        </w:r>
        <w:proofErr w:type="spellStart"/>
        <w:r w:rsidRPr="00EC6E21">
          <w:rPr>
            <w:rStyle w:val="Hyperlink"/>
            <w:rFonts w:cstheme="minorHAnsi"/>
          </w:rPr>
          <w:t>parr</w:t>
        </w:r>
        <w:proofErr w:type="spellEnd"/>
        <w:r w:rsidRPr="00EC6E21">
          <w:rPr>
            <w:rStyle w:val="Hyperlink"/>
            <w:rFonts w:cstheme="minorHAnsi"/>
          </w:rPr>
          <w:t>. 29 e 30</w:t>
        </w:r>
      </w:hyperlink>
      <w:r>
        <w:rPr>
          <w:rFonts w:cstheme="minorHAnsi"/>
        </w:rPr>
        <w:t>)</w:t>
      </w:r>
      <w:r w:rsidRPr="00445A85">
        <w:rPr>
          <w:rFonts w:cstheme="minorHAnsi"/>
        </w:rPr>
        <w:t>.</w:t>
      </w:r>
    </w:p>
    <w:p w14:paraId="5D9A4152" w14:textId="77777777" w:rsidR="00653F80" w:rsidRDefault="00653F80" w:rsidP="00653F80">
      <w:pPr>
        <w:pStyle w:val="Heading2"/>
      </w:pPr>
      <w:r>
        <w:t xml:space="preserve">Danno in senso lato </w:t>
      </w:r>
    </w:p>
    <w:p w14:paraId="4A0F542E" w14:textId="31C1E636" w:rsidR="00982C52" w:rsidRDefault="00982C52" w:rsidP="007D0946">
      <w:r>
        <w:t xml:space="preserve">Secondo il considerando (146) del GDPR </w:t>
      </w:r>
      <w:r w:rsidR="007D0946">
        <w:t>«</w:t>
      </w:r>
      <w:r w:rsidR="007D0946" w:rsidRPr="002F6B64">
        <w:rPr>
          <w:i/>
          <w:iCs/>
        </w:rPr>
        <w:t>[i]l concetto di danno dovrebbe essere interpretato in senso lato alla luce della giurisprudenza della Corte di giustizia in modo da rispecchiare pienamente gli obiettivi di tale regolamento</w:t>
      </w:r>
      <w:r w:rsidR="002F6B64">
        <w:rPr>
          <w:rFonts w:cstheme="minorHAnsi"/>
        </w:rPr>
        <w:t>»</w:t>
      </w:r>
      <w:r w:rsidR="007D0946">
        <w:t>.</w:t>
      </w:r>
    </w:p>
    <w:p w14:paraId="0EAD5955" w14:textId="76D3DB17" w:rsidR="00144028" w:rsidRDefault="00144028" w:rsidP="007D0946">
      <w:r>
        <w:t>In questa direzione, il considerando (85)</w:t>
      </w:r>
      <w:r w:rsidR="008303B8">
        <w:t>, nel fornire</w:t>
      </w:r>
      <w:r>
        <w:t xml:space="preserve"> </w:t>
      </w:r>
      <w:r w:rsidR="008303B8">
        <w:t xml:space="preserve">alcuni esempi di danni GDPR, </w:t>
      </w:r>
      <w:r w:rsidR="00FD4756">
        <w:t xml:space="preserve">dopo aver fatto riferimento ai </w:t>
      </w:r>
      <w:r w:rsidR="00FD4756">
        <w:rPr>
          <w:rFonts w:cstheme="minorHAnsi"/>
        </w:rPr>
        <w:t>«</w:t>
      </w:r>
      <w:r w:rsidR="00623DF9" w:rsidRPr="00421E99">
        <w:rPr>
          <w:rFonts w:cstheme="minorHAnsi"/>
          <w:i/>
          <w:iCs/>
        </w:rPr>
        <w:t>danni fisici, materiali o immateriali alle persone fisiche, ad esempio perdita del controllo dei dati personali che li riguardano o limitazione dei loro diritti, discriminazione, furto o usurpazione d’identità, perdite finanziarie, (...)</w:t>
      </w:r>
      <w:r w:rsidR="00623DF9">
        <w:rPr>
          <w:rFonts w:cstheme="minorHAnsi"/>
        </w:rPr>
        <w:t xml:space="preserve">», chiude questa elencazione esemplificativa </w:t>
      </w:r>
      <w:r w:rsidR="002918DC">
        <w:rPr>
          <w:rFonts w:cstheme="minorHAnsi"/>
        </w:rPr>
        <w:t>con l’espressione «</w:t>
      </w:r>
      <w:r w:rsidR="002918DC" w:rsidRPr="00421E99">
        <w:rPr>
          <w:rFonts w:cstheme="minorHAnsi"/>
          <w:i/>
          <w:iCs/>
        </w:rPr>
        <w:t>o qualsiasi</w:t>
      </w:r>
      <w:r w:rsidR="00623DF9" w:rsidRPr="00421E99">
        <w:rPr>
          <w:rFonts w:cstheme="minorHAnsi"/>
          <w:i/>
          <w:iCs/>
        </w:rPr>
        <w:t xml:space="preserve"> altro danno economico o sociale significativo</w:t>
      </w:r>
      <w:r w:rsidR="00623DF9" w:rsidRPr="00623DF9">
        <w:rPr>
          <w:rFonts w:cstheme="minorHAnsi"/>
        </w:rPr>
        <w:t>»</w:t>
      </w:r>
      <w:r w:rsidR="002918DC">
        <w:rPr>
          <w:rFonts w:cstheme="minorHAnsi"/>
        </w:rPr>
        <w:t>.</w:t>
      </w:r>
    </w:p>
    <w:p w14:paraId="5FB81385" w14:textId="19535468" w:rsidR="00247950" w:rsidRDefault="00247950" w:rsidP="007D0946">
      <w:r>
        <w:t xml:space="preserve">A questo si aggiunga che </w:t>
      </w:r>
      <w:r w:rsidR="00501ED2">
        <w:t>l’obiettivo del GDPR è quello di assicurare una protezione elevata ai diritti fondamentali e alle libertà degli individui cui si riferiscono i dati personali</w:t>
      </w:r>
      <w:r w:rsidR="00F65EB6">
        <w:t xml:space="preserve"> [Considerando (10)]</w:t>
      </w:r>
      <w:r w:rsidR="00501ED2">
        <w:t xml:space="preserve">. </w:t>
      </w:r>
    </w:p>
    <w:p w14:paraId="09066169" w14:textId="53E0429F" w:rsidR="005F5A3B" w:rsidRDefault="00470252" w:rsidP="007D0946">
      <w:r>
        <w:t xml:space="preserve">Da questi riferimenti consegue che nella nozione di danno </w:t>
      </w:r>
      <w:r w:rsidR="003B0638">
        <w:t>riportata nel GDPR rientra qualsiasi forma di pregiudizio arrecato al danneggiato.</w:t>
      </w:r>
    </w:p>
    <w:p w14:paraId="1086B027" w14:textId="77777777" w:rsidR="00653F80" w:rsidRDefault="00653F80" w:rsidP="00653F80">
      <w:pPr>
        <w:pStyle w:val="Heading2"/>
      </w:pPr>
      <w:r>
        <w:t xml:space="preserve">Danno come perdita di controllo </w:t>
      </w:r>
    </w:p>
    <w:p w14:paraId="1A207189" w14:textId="1FEECF89" w:rsidR="00653F80" w:rsidRDefault="00FA7137" w:rsidP="00653F80">
      <w:r>
        <w:t>Come rilevato dalla CGUE</w:t>
      </w:r>
      <w:r w:rsidR="00CC13E3">
        <w:t xml:space="preserve">, il concetto ampio di “danno” e la lettera del Considerando (85) </w:t>
      </w:r>
      <w:r w:rsidR="005400DC">
        <w:t xml:space="preserve">con l’elenco esemplificativo dei danni </w:t>
      </w:r>
      <w:r w:rsidR="005506BC">
        <w:t xml:space="preserve">suscettibili di risarcimento </w:t>
      </w:r>
      <w:r w:rsidR="000031AB">
        <w:t>forniscono</w:t>
      </w:r>
      <w:r w:rsidR="0016210E">
        <w:t xml:space="preserve"> evidenza </w:t>
      </w:r>
      <w:r w:rsidR="0016210E">
        <w:rPr>
          <w:rFonts w:cstheme="minorHAnsi"/>
        </w:rPr>
        <w:t>«</w:t>
      </w:r>
      <w:r w:rsidR="0016210E" w:rsidRPr="00421E99">
        <w:rPr>
          <w:i/>
          <w:iCs/>
        </w:rPr>
        <w:t xml:space="preserve">che </w:t>
      </w:r>
      <w:r w:rsidR="004022EC" w:rsidRPr="00421E99">
        <w:rPr>
          <w:i/>
          <w:iCs/>
        </w:rPr>
        <w:t>il legislatore dell’Unione ha inteso includere in tali nozioni, in particolare, la semplice «perdita di controllo» sui loro dati</w:t>
      </w:r>
      <w:r w:rsidR="00B33993">
        <w:rPr>
          <w:i/>
          <w:iCs/>
        </w:rPr>
        <w:t xml:space="preserve"> </w:t>
      </w:r>
      <w:r w:rsidR="00B33993" w:rsidRPr="00B33993">
        <w:rPr>
          <w:i/>
          <w:iCs/>
        </w:rPr>
        <w:t>(da parte degli interessati)</w:t>
      </w:r>
      <w:r w:rsidR="004022EC" w:rsidRPr="00421E99">
        <w:rPr>
          <w:i/>
          <w:iCs/>
        </w:rPr>
        <w:t>, a seguito di una violazione</w:t>
      </w:r>
      <w:r w:rsidR="004022EC">
        <w:rPr>
          <w:rFonts w:cstheme="minorHAnsi"/>
        </w:rPr>
        <w:t>»</w:t>
      </w:r>
      <w:r w:rsidR="004022EC">
        <w:t xml:space="preserve"> </w:t>
      </w:r>
      <w:r w:rsidR="00273053">
        <w:t>(</w:t>
      </w:r>
      <w:hyperlink r:id="rId20" w:history="1">
        <w:r w:rsidR="00273053" w:rsidRPr="009178FF">
          <w:rPr>
            <w:rStyle w:val="Hyperlink"/>
          </w:rPr>
          <w:t xml:space="preserve">c-340/21, </w:t>
        </w:r>
        <w:r w:rsidR="00653F80" w:rsidRPr="009178FF">
          <w:rPr>
            <w:rStyle w:val="Hyperlink"/>
          </w:rPr>
          <w:t>par. 82</w:t>
        </w:r>
      </w:hyperlink>
      <w:r w:rsidR="00273053">
        <w:t>).</w:t>
      </w:r>
    </w:p>
    <w:p w14:paraId="69B04313" w14:textId="77777777" w:rsidR="00653F80" w:rsidRDefault="00653F80" w:rsidP="00653F80">
      <w:pPr>
        <w:pStyle w:val="Heading2"/>
      </w:pPr>
      <w:r>
        <w:t>Funzione compensativa e non punitiva</w:t>
      </w:r>
    </w:p>
    <w:p w14:paraId="2A0A137C" w14:textId="340454EA" w:rsidR="00653F80" w:rsidRDefault="00FC6331" w:rsidP="00653F80">
      <w:r>
        <w:t xml:space="preserve">Il diritto al risarcimento dei dati </w:t>
      </w:r>
      <w:r w:rsidR="00E06439">
        <w:t xml:space="preserve">derivanti da trattamenti in violazione </w:t>
      </w:r>
      <w:r w:rsidR="005A3A43">
        <w:t>del GDPR ha funzione compensativa e non punitiva</w:t>
      </w:r>
      <w:r w:rsidR="00362673">
        <w:t xml:space="preserve">. </w:t>
      </w:r>
      <w:r w:rsidR="006115AD">
        <w:t>L</w:t>
      </w:r>
      <w:r w:rsidR="00921D67">
        <w:t>a compensazione integrale del danno concretamente subito a causa della violazione del regolamento</w:t>
      </w:r>
      <w:r w:rsidR="00700619">
        <w:t>, mediante il risarcimento pecuniario</w:t>
      </w:r>
      <w:r w:rsidR="00F0124F">
        <w:t>, deve essere considerato</w:t>
      </w:r>
      <w:r w:rsidR="00624E0D">
        <w:t xml:space="preserve"> come risarcimento</w:t>
      </w:r>
      <w:r w:rsidR="00F0124F">
        <w:t xml:space="preserve"> “pieno ed effettivo”</w:t>
      </w:r>
      <w:r w:rsidR="00791BA9">
        <w:t>,</w:t>
      </w:r>
      <w:r w:rsidR="00710C9C">
        <w:t xml:space="preserve"> </w:t>
      </w:r>
      <w:r w:rsidR="00791BA9">
        <w:t>ai sensi del</w:t>
      </w:r>
      <w:r w:rsidR="00710C9C">
        <w:t xml:space="preserve"> Considerando (146)</w:t>
      </w:r>
      <w:r w:rsidR="00F0124F">
        <w:t xml:space="preserve">, senza che vi sia necessità </w:t>
      </w:r>
      <w:r w:rsidR="00294E45">
        <w:t>di imporre un risarcimento punitivo</w:t>
      </w:r>
      <w:r w:rsidR="005A3A43">
        <w:t xml:space="preserve"> (</w:t>
      </w:r>
      <w:hyperlink r:id="rId21" w:history="1">
        <w:r w:rsidR="00653F80" w:rsidRPr="007A2BFC">
          <w:rPr>
            <w:rStyle w:val="Hyperlink"/>
          </w:rPr>
          <w:t xml:space="preserve">c-300/21, par. </w:t>
        </w:r>
        <w:r w:rsidR="005A3A43" w:rsidRPr="007A2BFC">
          <w:rPr>
            <w:rStyle w:val="Hyperlink"/>
          </w:rPr>
          <w:t>5</w:t>
        </w:r>
        <w:r w:rsidR="00653F80" w:rsidRPr="007A2BFC">
          <w:rPr>
            <w:rStyle w:val="Hyperlink"/>
          </w:rPr>
          <w:t>8</w:t>
        </w:r>
      </w:hyperlink>
      <w:r w:rsidR="003F35C0">
        <w:t>).</w:t>
      </w:r>
    </w:p>
    <w:p w14:paraId="32D26C8B" w14:textId="763ACFC1" w:rsidR="00B35454" w:rsidRPr="000113CF" w:rsidRDefault="00B35454" w:rsidP="00653F80">
      <w:r>
        <w:t>Ai fini della determinazione dell’importo</w:t>
      </w:r>
      <w:r w:rsidR="00B96269">
        <w:t xml:space="preserve">, </w:t>
      </w:r>
      <w:r w:rsidR="00D50AE0">
        <w:t>sono</w:t>
      </w:r>
      <w:r w:rsidR="00B96269">
        <w:t xml:space="preserve"> i giudici nazionali che </w:t>
      </w:r>
      <w:r w:rsidR="00D50AE0">
        <w:rPr>
          <w:rFonts w:cstheme="minorHAnsi"/>
        </w:rPr>
        <w:t>«</w:t>
      </w:r>
      <w:r w:rsidR="00D50AE0" w:rsidRPr="00D50AE0">
        <w:rPr>
          <w:rFonts w:cstheme="minorHAnsi"/>
          <w:i/>
          <w:iCs/>
        </w:rPr>
        <w:t xml:space="preserve">devono applicare le norme interne di ciascuno Stato </w:t>
      </w:r>
      <w:r w:rsidR="002676FF" w:rsidRPr="00D50AE0">
        <w:rPr>
          <w:rFonts w:cstheme="minorHAnsi"/>
          <w:i/>
          <w:iCs/>
        </w:rPr>
        <w:t>membro relative</w:t>
      </w:r>
      <w:r w:rsidR="00D50AE0" w:rsidRPr="00D50AE0">
        <w:rPr>
          <w:rFonts w:cstheme="minorHAnsi"/>
          <w:i/>
          <w:iCs/>
        </w:rPr>
        <w:t xml:space="preserve"> all’entità del risarcimento pecuniario, purché siano rispettati i </w:t>
      </w:r>
      <w:r w:rsidR="002676FF" w:rsidRPr="00D50AE0">
        <w:rPr>
          <w:rFonts w:cstheme="minorHAnsi"/>
          <w:i/>
          <w:iCs/>
        </w:rPr>
        <w:t>principi di</w:t>
      </w:r>
      <w:r w:rsidR="00D50AE0" w:rsidRPr="00D50AE0">
        <w:rPr>
          <w:rFonts w:cstheme="minorHAnsi"/>
          <w:i/>
          <w:iCs/>
        </w:rPr>
        <w:t xml:space="preserve"> equivalenza e di effettività del diritto dell’Unione.</w:t>
      </w:r>
      <w:r w:rsidR="00D50AE0">
        <w:rPr>
          <w:rFonts w:cstheme="minorHAnsi"/>
        </w:rPr>
        <w:t>»</w:t>
      </w:r>
      <w:r w:rsidR="00D50AE0" w:rsidRPr="00D50AE0">
        <w:t xml:space="preserve"> </w:t>
      </w:r>
      <w:r w:rsidR="00D50AE0" w:rsidRPr="00D50AE0">
        <w:rPr>
          <w:rFonts w:cstheme="minorHAnsi"/>
        </w:rPr>
        <w:t>(</w:t>
      </w:r>
      <w:hyperlink r:id="rId22" w:history="1">
        <w:r w:rsidR="00D50AE0" w:rsidRPr="00EC6E21">
          <w:rPr>
            <w:rStyle w:val="Hyperlink"/>
            <w:rFonts w:cstheme="minorHAnsi"/>
          </w:rPr>
          <w:t>c-300/21, par. 59</w:t>
        </w:r>
      </w:hyperlink>
      <w:r w:rsidR="00D50AE0" w:rsidRPr="00D50AE0">
        <w:rPr>
          <w:rFonts w:cstheme="minorHAnsi"/>
        </w:rPr>
        <w:t>).</w:t>
      </w:r>
    </w:p>
    <w:p w14:paraId="761E835F" w14:textId="77777777" w:rsidR="00945283" w:rsidRDefault="00945283" w:rsidP="00945283">
      <w:pPr>
        <w:pStyle w:val="Heading1"/>
      </w:pPr>
      <w:r>
        <w:t>Prova del danno</w:t>
      </w:r>
    </w:p>
    <w:p w14:paraId="0B7C9E9D" w14:textId="2F11148F" w:rsidR="00C04C52" w:rsidRDefault="00C04C52" w:rsidP="00945283">
      <w:r>
        <w:t>Sebbene il diritto al risarc</w:t>
      </w:r>
      <w:r w:rsidR="001A385F">
        <w:t xml:space="preserve">imento </w:t>
      </w:r>
      <w:r w:rsidR="007059B3">
        <w:t xml:space="preserve">non richieda </w:t>
      </w:r>
      <w:r w:rsidR="00090BCE">
        <w:t xml:space="preserve">come condizione </w:t>
      </w:r>
      <w:r w:rsidR="007059B3">
        <w:t xml:space="preserve">la colpa del trasgressore </w:t>
      </w:r>
      <w:r w:rsidR="00090BCE">
        <w:t xml:space="preserve">ma </w:t>
      </w:r>
      <w:r w:rsidR="004F107B">
        <w:t>la sola evidenza del danno subito</w:t>
      </w:r>
      <w:r w:rsidR="008072DE">
        <w:t xml:space="preserve"> a causa del trattamento illecito</w:t>
      </w:r>
      <w:r w:rsidR="004F107B">
        <w:t xml:space="preserve">, </w:t>
      </w:r>
      <w:r w:rsidR="00BC33A5">
        <w:t>resta comunque necessari</w:t>
      </w:r>
      <w:r w:rsidR="008072DE">
        <w:t>o provare l’esistenza di un danno.</w:t>
      </w:r>
    </w:p>
    <w:p w14:paraId="6B8F7DF7" w14:textId="77777777" w:rsidR="000E400D" w:rsidRDefault="007D318C" w:rsidP="00945283">
      <w:r>
        <w:t>L</w:t>
      </w:r>
      <w:r w:rsidR="00945283">
        <w:t xml:space="preserve">a dimostrazione </w:t>
      </w:r>
      <w:r>
        <w:t xml:space="preserve">del fatto di aver subito il danno </w:t>
      </w:r>
      <w:r w:rsidR="00945283">
        <w:t>è a carico del danneggiato</w:t>
      </w:r>
      <w:r w:rsidR="00D50AE0">
        <w:t>, specie riguardo ai danni immateriali</w:t>
      </w:r>
      <w:r w:rsidR="00945283">
        <w:t>.</w:t>
      </w:r>
      <w:r w:rsidR="00E1318F">
        <w:t xml:space="preserve"> </w:t>
      </w:r>
    </w:p>
    <w:p w14:paraId="7D28AD43" w14:textId="53B0B92B" w:rsidR="00945283" w:rsidRDefault="00C81976" w:rsidP="00945283">
      <w:r>
        <w:t>Nell</w:t>
      </w:r>
      <w:r w:rsidR="00463C03">
        <w:t>e</w:t>
      </w:r>
      <w:r>
        <w:t xml:space="preserve"> decision</w:t>
      </w:r>
      <w:r w:rsidR="00463C03">
        <w:t>i</w:t>
      </w:r>
      <w:r>
        <w:t xml:space="preserve"> relativa all</w:t>
      </w:r>
      <w:r w:rsidR="00463C03">
        <w:t>e</w:t>
      </w:r>
      <w:r>
        <w:t xml:space="preserve"> caus</w:t>
      </w:r>
      <w:r w:rsidR="00463C03">
        <w:t>e</w:t>
      </w:r>
      <w:r>
        <w:t xml:space="preserve"> </w:t>
      </w:r>
      <w:r w:rsidR="00E2288B">
        <w:t xml:space="preserve">c-300/21 e </w:t>
      </w:r>
      <w:r>
        <w:t xml:space="preserve">c-340/21, la Corte ha ribadito </w:t>
      </w:r>
      <w:r w:rsidR="00E2288B">
        <w:rPr>
          <w:rFonts w:cstheme="minorHAnsi"/>
        </w:rPr>
        <w:t>«</w:t>
      </w:r>
      <w:r w:rsidR="00F35914" w:rsidRPr="00F35914">
        <w:rPr>
          <w:i/>
          <w:iCs/>
        </w:rPr>
        <w:t>che una persona interessata da una violazione del RGPD, che abbia subito conseguenze negative, è tenuta a dimostrare che tali conseguenze costituiscono un danno immateriale, ai sensi dell’articolo 82</w:t>
      </w:r>
      <w:r w:rsidR="00F35914">
        <w:rPr>
          <w:rFonts w:cstheme="minorHAnsi"/>
        </w:rPr>
        <w:t>»</w:t>
      </w:r>
      <w:r w:rsidR="00F35914">
        <w:t xml:space="preserve"> del regolamento </w:t>
      </w:r>
      <w:r w:rsidR="00E762B3">
        <w:t>(</w:t>
      </w:r>
      <w:hyperlink r:id="rId23" w:history="1">
        <w:r w:rsidR="00E762B3" w:rsidRPr="000A6717">
          <w:rPr>
            <w:rStyle w:val="Hyperlink"/>
          </w:rPr>
          <w:t xml:space="preserve">c-340/21, </w:t>
        </w:r>
        <w:r w:rsidR="00945283" w:rsidRPr="000A6717">
          <w:rPr>
            <w:rStyle w:val="Hyperlink"/>
          </w:rPr>
          <w:t>par. 84</w:t>
        </w:r>
      </w:hyperlink>
      <w:r w:rsidR="00945283">
        <w:t>)</w:t>
      </w:r>
      <w:r w:rsidR="00E762B3">
        <w:t>.</w:t>
      </w:r>
    </w:p>
    <w:p w14:paraId="4B2DDFAF" w14:textId="77777777" w:rsidR="007C4B9D" w:rsidRDefault="007C4B9D" w:rsidP="007C4B9D">
      <w:pPr>
        <w:pStyle w:val="Heading1"/>
      </w:pPr>
      <w:r>
        <w:t xml:space="preserve">Danni immateriali </w:t>
      </w:r>
    </w:p>
    <w:p w14:paraId="5213E4F1" w14:textId="4F1E669B" w:rsidR="00F10A34" w:rsidRDefault="00F10A34" w:rsidP="00E831C6">
      <w:pPr>
        <w:rPr>
          <w:rFonts w:cstheme="minorHAnsi"/>
        </w:rPr>
      </w:pPr>
      <w:r>
        <w:t xml:space="preserve">Il regime giuridico della protezione dei dati, quindi, </w:t>
      </w:r>
      <w:r w:rsidR="00EE559C">
        <w:t xml:space="preserve">riconosce la risarcibilità dei danni </w:t>
      </w:r>
      <w:r w:rsidR="00EA540A">
        <w:t xml:space="preserve">non patrimoniali. Secondo la Cassazione, </w:t>
      </w:r>
      <w:r w:rsidR="004D4E86">
        <w:t xml:space="preserve">il danno immateriale </w:t>
      </w:r>
      <w:r w:rsidR="00F310CB">
        <w:t xml:space="preserve">(o non-patrimoniale) </w:t>
      </w:r>
      <w:r w:rsidR="004D4E86">
        <w:t xml:space="preserve">consiste nello </w:t>
      </w:r>
      <w:r w:rsidR="004D4E86">
        <w:rPr>
          <w:rFonts w:cstheme="minorHAnsi"/>
        </w:rPr>
        <w:t>«</w:t>
      </w:r>
      <w:r w:rsidR="008125CE" w:rsidRPr="00181D37">
        <w:rPr>
          <w:i/>
          <w:iCs/>
        </w:rPr>
        <w:t>i</w:t>
      </w:r>
      <w:r w:rsidR="008125CE" w:rsidRPr="00181D37">
        <w:rPr>
          <w:rFonts w:cstheme="minorHAnsi"/>
          <w:i/>
          <w:iCs/>
        </w:rPr>
        <w:t>ngiusto turbamento dello stato d’animo del danneggiato o anche nel patema d’animo o stato d’angoscia transeunte generato dall’illecito</w:t>
      </w:r>
      <w:r w:rsidR="008125CE">
        <w:rPr>
          <w:rFonts w:cstheme="minorHAnsi"/>
        </w:rPr>
        <w:t>»</w:t>
      </w:r>
      <w:r w:rsidR="008125CE" w:rsidRPr="008125CE">
        <w:rPr>
          <w:rFonts w:cstheme="minorHAnsi"/>
        </w:rPr>
        <w:t xml:space="preserve"> (Cass. n. 10393/2002)</w:t>
      </w:r>
      <w:r w:rsidR="008125CE">
        <w:rPr>
          <w:rFonts w:cstheme="minorHAnsi"/>
        </w:rPr>
        <w:t>.</w:t>
      </w:r>
      <w:r w:rsidR="0022260A">
        <w:rPr>
          <w:rFonts w:cstheme="minorHAnsi"/>
        </w:rPr>
        <w:t xml:space="preserve"> </w:t>
      </w:r>
    </w:p>
    <w:p w14:paraId="7629002E" w14:textId="68FBE6DF" w:rsidR="0022260A" w:rsidRDefault="009845B4" w:rsidP="00E831C6">
      <w:pPr>
        <w:rPr>
          <w:rFonts w:cstheme="minorHAnsi"/>
        </w:rPr>
      </w:pPr>
      <w:r>
        <w:rPr>
          <w:rFonts w:cstheme="minorHAnsi"/>
        </w:rPr>
        <w:t>Anche i</w:t>
      </w:r>
      <w:r w:rsidR="0022260A">
        <w:rPr>
          <w:rFonts w:cstheme="minorHAnsi"/>
        </w:rPr>
        <w:t xml:space="preserve">l codice privacy previgente </w:t>
      </w:r>
      <w:r w:rsidR="001B5C5A">
        <w:rPr>
          <w:rFonts w:cstheme="minorHAnsi"/>
        </w:rPr>
        <w:t xml:space="preserve">riconosceva il diritto al risarcimento del danno non patrimoniale in caso di trattamento </w:t>
      </w:r>
      <w:r w:rsidR="00DB57EF">
        <w:rPr>
          <w:rFonts w:cstheme="minorHAnsi"/>
        </w:rPr>
        <w:t>effettuato in violazione dei principi generali</w:t>
      </w:r>
      <w:r w:rsidR="001B5C5A">
        <w:rPr>
          <w:rFonts w:cstheme="minorHAnsi"/>
        </w:rPr>
        <w:t xml:space="preserve"> (art. 15, cod. privacy previgente).</w:t>
      </w:r>
    </w:p>
    <w:p w14:paraId="3956BB7F" w14:textId="77777777" w:rsidR="009845B4" w:rsidRDefault="009845B4" w:rsidP="009845B4">
      <w:pPr>
        <w:pStyle w:val="Heading2"/>
      </w:pPr>
      <w:r>
        <w:t xml:space="preserve">Timore di uso abusivo dei propri dati personali </w:t>
      </w:r>
    </w:p>
    <w:p w14:paraId="5A9EEBB8" w14:textId="77777777" w:rsidR="00B801DB" w:rsidRDefault="00B85661" w:rsidP="00D2609B">
      <w:r>
        <w:t xml:space="preserve">Riguardo ai danni immateriali, la CGUE </w:t>
      </w:r>
      <w:r w:rsidR="00A4502E">
        <w:t>è intervenuta a risolvere il quesito se ai fini del diritto al risarcimento dei danni riconosciuto dall’articolo 82 del GDPR</w:t>
      </w:r>
      <w:r w:rsidR="00503727" w:rsidRPr="00503727">
        <w:t xml:space="preserve">, </w:t>
      </w:r>
      <w:r w:rsidR="000E003F">
        <w:t xml:space="preserve">possa costituire danno immateriale </w:t>
      </w:r>
      <w:r w:rsidR="00503727" w:rsidRPr="00503727">
        <w:t xml:space="preserve">il timore </w:t>
      </w:r>
      <w:r w:rsidR="00391A6A">
        <w:t xml:space="preserve">dell’interessato </w:t>
      </w:r>
      <w:r w:rsidR="00B23541">
        <w:rPr>
          <w:rFonts w:cstheme="minorHAnsi"/>
        </w:rPr>
        <w:t>«</w:t>
      </w:r>
      <w:r w:rsidR="00503727" w:rsidRPr="00B23541">
        <w:rPr>
          <w:i/>
          <w:iCs/>
        </w:rPr>
        <w:t>che i suoi dati personali siano oggetto di un futuro utilizzo abusivo da parte di terzi, a causa della violazione di tale regolamento che si è verificata</w:t>
      </w:r>
      <w:r w:rsidR="00B23541">
        <w:rPr>
          <w:rFonts w:cstheme="minorHAnsi"/>
        </w:rPr>
        <w:t>»</w:t>
      </w:r>
      <w:r w:rsidR="00503727" w:rsidRPr="00503727">
        <w:t>.</w:t>
      </w:r>
      <w:r w:rsidR="00EB02DC">
        <w:t xml:space="preserve"> </w:t>
      </w:r>
    </w:p>
    <w:p w14:paraId="2AB82AD1" w14:textId="50DA1D32" w:rsidR="00D2609B" w:rsidRDefault="00EB02DC" w:rsidP="00D2609B">
      <w:r>
        <w:t xml:space="preserve">La conclusione interpretativa della Corte, fondata sulle argomentazioni specificate di seguito, </w:t>
      </w:r>
      <w:r w:rsidR="00A91727">
        <w:t xml:space="preserve">è stata </w:t>
      </w:r>
      <w:r w:rsidR="00D45FC0" w:rsidRPr="00D45FC0">
        <w:t xml:space="preserve">nel senso che </w:t>
      </w:r>
      <w:r w:rsidR="005966D3">
        <w:t xml:space="preserve">tale </w:t>
      </w:r>
      <w:r w:rsidR="00D45FC0" w:rsidRPr="00D45FC0">
        <w:t>timore può, di per sé, costituire un «danno immateriale», ai sensi d</w:t>
      </w:r>
      <w:r w:rsidR="002B1632">
        <w:t xml:space="preserve">ella </w:t>
      </w:r>
      <w:r w:rsidR="002B1632" w:rsidRPr="00D45FC0">
        <w:t>disposizione</w:t>
      </w:r>
      <w:r w:rsidR="002B1632">
        <w:t xml:space="preserve"> richiamata</w:t>
      </w:r>
      <w:r w:rsidR="00D45FC0" w:rsidRPr="00D45FC0">
        <w:t>.</w:t>
      </w:r>
    </w:p>
    <w:p w14:paraId="7C8D1C93" w14:textId="3D389EAF" w:rsidR="009845B4" w:rsidRPr="00EC4B74" w:rsidRDefault="00D52721" w:rsidP="00E831C6">
      <w:r>
        <w:t xml:space="preserve">La Corte ha precisato, tuttavia, </w:t>
      </w:r>
      <w:r w:rsidR="00B03B8E">
        <w:t xml:space="preserve">che spetterà all’interessato dimostrare – e ai giudici nazionali verificare – </w:t>
      </w:r>
      <w:r w:rsidR="00CE0296">
        <w:t xml:space="preserve">che tale timore possa essere considerato </w:t>
      </w:r>
      <w:r w:rsidR="00CE0296" w:rsidRPr="00B801DB">
        <w:rPr>
          <w:b/>
          <w:bCs/>
        </w:rPr>
        <w:t>fondato</w:t>
      </w:r>
      <w:r w:rsidR="00CE0296">
        <w:t xml:space="preserve"> </w:t>
      </w:r>
      <w:r w:rsidR="001D2331">
        <w:t>(</w:t>
      </w:r>
      <w:hyperlink r:id="rId24" w:history="1">
        <w:r w:rsidR="001D2331" w:rsidRPr="002C59C2">
          <w:rPr>
            <w:rStyle w:val="Hyperlink"/>
          </w:rPr>
          <w:t xml:space="preserve">CGUE, c-340/21, </w:t>
        </w:r>
        <w:proofErr w:type="spellStart"/>
        <w:r w:rsidR="001D2331" w:rsidRPr="002C59C2">
          <w:rPr>
            <w:rStyle w:val="Hyperlink"/>
          </w:rPr>
          <w:t>parr</w:t>
        </w:r>
        <w:proofErr w:type="spellEnd"/>
        <w:r w:rsidR="001D2331" w:rsidRPr="002C59C2">
          <w:rPr>
            <w:rStyle w:val="Hyperlink"/>
          </w:rPr>
          <w:t>. 80 e 85</w:t>
        </w:r>
      </w:hyperlink>
      <w:r w:rsidR="001D2331">
        <w:t>).</w:t>
      </w:r>
    </w:p>
    <w:p w14:paraId="146A04F0" w14:textId="47F4D86B" w:rsidR="00610B9D" w:rsidRDefault="000B7031" w:rsidP="00610B9D">
      <w:pPr>
        <w:pStyle w:val="Heading1"/>
      </w:pPr>
      <w:r>
        <w:t>Gravità del danno immateriale risarcibile</w:t>
      </w:r>
    </w:p>
    <w:p w14:paraId="2B1B3071" w14:textId="54E8D255" w:rsidR="008461D7" w:rsidRDefault="00E00AAC" w:rsidP="008461D7">
      <w:r>
        <w:t xml:space="preserve">Nel nostro ordinamento </w:t>
      </w:r>
      <w:r w:rsidR="000F5833">
        <w:t>il pregiudizio non patrimoniale</w:t>
      </w:r>
      <w:r w:rsidR="00D3512F">
        <w:t xml:space="preserve"> per </w:t>
      </w:r>
      <w:r w:rsidR="00E0271D">
        <w:t xml:space="preserve">dar luogo al diritto al </w:t>
      </w:r>
      <w:r w:rsidR="002B400D">
        <w:t>risarcimento,</w:t>
      </w:r>
      <w:r w:rsidR="000F5833">
        <w:t xml:space="preserve"> secondo </w:t>
      </w:r>
      <w:r w:rsidR="003C3EF7">
        <w:t xml:space="preserve">consolidata </w:t>
      </w:r>
      <w:r w:rsidR="00D3512F">
        <w:t>giurisprudenza</w:t>
      </w:r>
      <w:r w:rsidR="003C3EF7">
        <w:t xml:space="preserve"> della Cassazione</w:t>
      </w:r>
      <w:r w:rsidR="00D3512F">
        <w:t xml:space="preserve">, </w:t>
      </w:r>
      <w:r w:rsidR="00E0271D">
        <w:t xml:space="preserve">deve </w:t>
      </w:r>
      <w:r w:rsidR="00754961">
        <w:t>possedere un coefficiente minimo di gravità e serietà</w:t>
      </w:r>
      <w:r w:rsidR="00357432">
        <w:t xml:space="preserve"> per poter superare la soglia di tolleranza imposta dal dovere di solidarietà</w:t>
      </w:r>
      <w:r w:rsidR="00335AD5">
        <w:t xml:space="preserve"> dell’art. 2 della Costituzione</w:t>
      </w:r>
      <w:r w:rsidR="006B5B7C">
        <w:t xml:space="preserve"> (da ultimo, Cass. n. 29982/2020)</w:t>
      </w:r>
      <w:r w:rsidR="00754961">
        <w:t>.</w:t>
      </w:r>
    </w:p>
    <w:p w14:paraId="52ADD0E3" w14:textId="60C085DE" w:rsidR="00B40E30" w:rsidRPr="008461D7" w:rsidRDefault="00B40E30" w:rsidP="00B40E30">
      <w:r>
        <w:t>Secondo Cassazione</w:t>
      </w:r>
      <w:r w:rsidR="00B02661">
        <w:t>,</w:t>
      </w:r>
      <w:r>
        <w:t xml:space="preserve"> </w:t>
      </w:r>
      <w:r w:rsidR="006B5B7C">
        <w:t xml:space="preserve">intervenuta </w:t>
      </w:r>
      <w:r w:rsidR="00B02661">
        <w:t xml:space="preserve">con riferimento alla disciplina antecedente all’entrata in vigore del GDPR, </w:t>
      </w:r>
      <w:r w:rsidR="00942FDB">
        <w:rPr>
          <w:rFonts w:cstheme="minorHAnsi"/>
        </w:rPr>
        <w:t>«</w:t>
      </w:r>
      <w:r w:rsidR="00942FDB" w:rsidRPr="00815077">
        <w:rPr>
          <w:rFonts w:cstheme="minorHAnsi"/>
          <w:i/>
          <w:iCs/>
        </w:rPr>
        <w:t>il</w:t>
      </w:r>
      <w:r w:rsidRPr="00815077">
        <w:rPr>
          <w:rFonts w:cstheme="minorHAnsi"/>
          <w:i/>
          <w:iCs/>
        </w:rPr>
        <w:t xml:space="preserve"> danno non patrimoniale risarcibile ai sensi del D.Lgs. 30 giugno 2003, n. 196, art. 15 (cosiddetto codice della privacy</w:t>
      </w:r>
      <w:r w:rsidR="00AE7815" w:rsidRPr="00815077">
        <w:rPr>
          <w:rFonts w:cstheme="minorHAnsi"/>
          <w:i/>
          <w:iCs/>
        </w:rPr>
        <w:t>), pur</w:t>
      </w:r>
      <w:r w:rsidRPr="00815077">
        <w:rPr>
          <w:rFonts w:cstheme="minorHAnsi"/>
          <w:i/>
          <w:iCs/>
        </w:rPr>
        <w:t xml:space="preserve"> determinato da una lesione del diritto fondamentale alla protezione dei dati personali tutelato dagli artt. 2 e 21 Cost. e dall'art. 8 della CEDU, non si sottrae alla verifica della "gravità della lesione" e della "serietà del danno" (quale perdita di natura personale effettivamente patita dall'interessato), in quanto anche per tale diritto opera il bilanciamento con il principio di solidarietà ex art. 2 Cost., di cui il principio di tolleranza della lesione minima è intrinseco precipitato, sicché determina una lesione ingiustificabile del diritto non la mera violazione delle prescrizioni poste dall'art. 11 del codice della privacy ma solo quella che ne offenda in modo sensibile la sua portata effettiva</w:t>
      </w:r>
      <w:r w:rsidRPr="00B40E30">
        <w:rPr>
          <w:rFonts w:cstheme="minorHAnsi"/>
        </w:rPr>
        <w:t>.</w:t>
      </w:r>
      <w:r>
        <w:rPr>
          <w:rFonts w:cstheme="minorHAnsi"/>
        </w:rPr>
        <w:t>»</w:t>
      </w:r>
      <w:r w:rsidR="00C25C7C">
        <w:rPr>
          <w:rFonts w:cstheme="minorHAnsi"/>
        </w:rPr>
        <w:t xml:space="preserve"> (Cass. </w:t>
      </w:r>
      <w:r w:rsidR="004F7434">
        <w:rPr>
          <w:rFonts w:cstheme="minorHAnsi"/>
        </w:rPr>
        <w:t>17383/2020).</w:t>
      </w:r>
    </w:p>
    <w:p w14:paraId="05DF4B78" w14:textId="300E07EE" w:rsidR="002C64E3" w:rsidRDefault="00D13377">
      <w:r>
        <w:t>Il regime giuridico del risarcimento del danno GDPR</w:t>
      </w:r>
      <w:r w:rsidR="00D764B1">
        <w:t xml:space="preserve"> secondo il diritto dell’Unione</w:t>
      </w:r>
      <w:r>
        <w:t xml:space="preserve">, </w:t>
      </w:r>
      <w:r w:rsidR="00D764B1">
        <w:t xml:space="preserve">al quale occorre fare riferimento in questo ambito, </w:t>
      </w:r>
      <w:r w:rsidR="00B92534">
        <w:t>non prevede alcuna soglia di gravità</w:t>
      </w:r>
      <w:r w:rsidR="000E7DC3">
        <w:t xml:space="preserve"> (</w:t>
      </w:r>
      <w:hyperlink r:id="rId25" w:history="1">
        <w:r w:rsidR="000E7DC3" w:rsidRPr="00EC6E21">
          <w:rPr>
            <w:rStyle w:val="Hyperlink"/>
          </w:rPr>
          <w:t>c-300/21, par. 45</w:t>
        </w:r>
      </w:hyperlink>
      <w:r w:rsidR="000E7DC3">
        <w:t xml:space="preserve">). </w:t>
      </w:r>
    </w:p>
    <w:p w14:paraId="489C12A3" w14:textId="77777777" w:rsidR="00D57C5C" w:rsidRDefault="000E7DC3">
      <w:r w:rsidRPr="00D41D46">
        <w:rPr>
          <w:b/>
          <w:bCs/>
        </w:rPr>
        <w:t>Secondo la CGUE</w:t>
      </w:r>
      <w:r w:rsidR="003B25F1">
        <w:t xml:space="preserve">, </w:t>
      </w:r>
    </w:p>
    <w:p w14:paraId="1CD8A7C4" w14:textId="77777777" w:rsidR="00D57C5C" w:rsidRDefault="003B25F1" w:rsidP="00D57C5C">
      <w:pPr>
        <w:pStyle w:val="ListParagraph"/>
        <w:numPr>
          <w:ilvl w:val="0"/>
          <w:numId w:val="5"/>
        </w:numPr>
      </w:pPr>
      <w:r>
        <w:t xml:space="preserve">la concezione ampia della nozione di “danno”, privilegiata dal legislatore dell’Unione, </w:t>
      </w:r>
    </w:p>
    <w:p w14:paraId="6D02910A" w14:textId="77777777" w:rsidR="00D57C5C" w:rsidRDefault="00D85BF4" w:rsidP="00D57C5C">
      <w:pPr>
        <w:pStyle w:val="ListParagraph"/>
        <w:numPr>
          <w:ilvl w:val="0"/>
          <w:numId w:val="5"/>
        </w:numPr>
      </w:pPr>
      <w:r>
        <w:t>il livello coerente ed elevato di protezione delle persone fisiche con riguardo al trattamento di dati personali nella UE</w:t>
      </w:r>
      <w:r w:rsidR="00AA5794">
        <w:t xml:space="preserve">, assicurato dal GDPR, </w:t>
      </w:r>
    </w:p>
    <w:p w14:paraId="23BF9DD1" w14:textId="77777777" w:rsidR="00D57C5C" w:rsidRDefault="00AA5794" w:rsidP="00D57C5C">
      <w:r>
        <w:t>militano per questa conclusione</w:t>
      </w:r>
      <w:r w:rsidR="00404185">
        <w:t xml:space="preserve">. </w:t>
      </w:r>
    </w:p>
    <w:p w14:paraId="13DA2F21" w14:textId="064D57B0" w:rsidR="000B7031" w:rsidRDefault="00404185" w:rsidP="00D57C5C">
      <w:r>
        <w:t xml:space="preserve">Diversamente, </w:t>
      </w:r>
      <w:r w:rsidRPr="00D57C5C">
        <w:rPr>
          <w:rFonts w:cstheme="minorHAnsi"/>
        </w:rPr>
        <w:t>«</w:t>
      </w:r>
      <w:r w:rsidR="001A2E70" w:rsidRPr="00D57C5C">
        <w:rPr>
          <w:rFonts w:cstheme="minorHAnsi"/>
          <w:i/>
          <w:iCs/>
        </w:rPr>
        <w:t>subordinare il risarcimento di un danno immateriale a una certa soglia di gravità rischierebbe di nuocere alla coerenza del regime istituito dal RGPD, poiché la graduazione di una siffatta soglia, da cui dipenderebbe la possibilità o meno di ottenere detto risarcimento, potrebbe variare in funzione della valutazione dei giudici aditi</w:t>
      </w:r>
      <w:r w:rsidR="001A2E70" w:rsidRPr="00D57C5C">
        <w:rPr>
          <w:rFonts w:cstheme="minorHAnsi"/>
        </w:rPr>
        <w:t xml:space="preserve">» </w:t>
      </w:r>
      <w:r w:rsidR="00240045" w:rsidRPr="00D57C5C">
        <w:rPr>
          <w:rFonts w:cstheme="minorHAnsi"/>
        </w:rPr>
        <w:t>(</w:t>
      </w:r>
      <w:hyperlink r:id="rId26" w:history="1">
        <w:r w:rsidR="000B7031" w:rsidRPr="00EC6E21">
          <w:rPr>
            <w:rStyle w:val="Hyperlink"/>
          </w:rPr>
          <w:t>c-300/21</w:t>
        </w:r>
        <w:r w:rsidR="00240045" w:rsidRPr="00EC6E21">
          <w:rPr>
            <w:rStyle w:val="Hyperlink"/>
          </w:rPr>
          <w:t>, par. 49).</w:t>
        </w:r>
      </w:hyperlink>
    </w:p>
    <w:sectPr w:rsidR="000B7031">
      <w:headerReference w:type="even" r:id="rId27"/>
      <w:headerReference w:type="default" r:id="rId28"/>
      <w:footerReference w:type="even" r:id="rId29"/>
      <w:footerReference w:type="default" r:id="rId30"/>
      <w:headerReference w:type="first" r:id="rId31"/>
      <w:footerReference w:type="firs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6011C" w14:textId="77777777" w:rsidR="00E145E1" w:rsidRDefault="00E145E1" w:rsidP="000C5549">
      <w:pPr>
        <w:spacing w:after="0" w:line="240" w:lineRule="auto"/>
      </w:pPr>
      <w:r>
        <w:separator/>
      </w:r>
    </w:p>
  </w:endnote>
  <w:endnote w:type="continuationSeparator" w:id="0">
    <w:p w14:paraId="436B5C5E" w14:textId="77777777" w:rsidR="00E145E1" w:rsidRDefault="00E145E1" w:rsidP="000C5549">
      <w:pPr>
        <w:spacing w:after="0" w:line="240" w:lineRule="auto"/>
      </w:pPr>
      <w:r>
        <w:continuationSeparator/>
      </w:r>
    </w:p>
  </w:endnote>
  <w:endnote w:type="continuationNotice" w:id="1">
    <w:p w14:paraId="4B4D97D4" w14:textId="77777777" w:rsidR="00E145E1" w:rsidRDefault="00E145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AA25C" w14:textId="77777777" w:rsidR="000C5549" w:rsidRDefault="000C55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892036"/>
      <w:docPartObj>
        <w:docPartGallery w:val="Page Numbers (Bottom of Page)"/>
        <w:docPartUnique/>
      </w:docPartObj>
    </w:sdtPr>
    <w:sdtEndPr/>
    <w:sdtContent>
      <w:sdt>
        <w:sdtPr>
          <w:id w:val="1728636285"/>
          <w:docPartObj>
            <w:docPartGallery w:val="Page Numbers (Top of Page)"/>
            <w:docPartUnique/>
          </w:docPartObj>
        </w:sdtPr>
        <w:sdtEndPr/>
        <w:sdtContent>
          <w:p w14:paraId="1CB2BE2D" w14:textId="77777777" w:rsidR="000C5549" w:rsidRDefault="000C55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03689CF" w14:textId="77777777" w:rsidR="000C5549" w:rsidRDefault="000C55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BEF85" w14:textId="77777777" w:rsidR="000C5549" w:rsidRDefault="000C5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696EB" w14:textId="77777777" w:rsidR="00E145E1" w:rsidRDefault="00E145E1" w:rsidP="000C5549">
      <w:pPr>
        <w:spacing w:after="0" w:line="240" w:lineRule="auto"/>
      </w:pPr>
      <w:r>
        <w:separator/>
      </w:r>
    </w:p>
  </w:footnote>
  <w:footnote w:type="continuationSeparator" w:id="0">
    <w:p w14:paraId="14C0D819" w14:textId="77777777" w:rsidR="00E145E1" w:rsidRDefault="00E145E1" w:rsidP="000C5549">
      <w:pPr>
        <w:spacing w:after="0" w:line="240" w:lineRule="auto"/>
      </w:pPr>
      <w:r>
        <w:continuationSeparator/>
      </w:r>
    </w:p>
  </w:footnote>
  <w:footnote w:type="continuationNotice" w:id="1">
    <w:p w14:paraId="3464DC10" w14:textId="77777777" w:rsidR="00E145E1" w:rsidRDefault="00E145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75218" w14:textId="77777777" w:rsidR="000C5549" w:rsidRDefault="000C55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AE00F" w14:textId="77777777" w:rsidR="000C5549" w:rsidRDefault="000C55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FAE4D" w14:textId="77777777" w:rsidR="000C5549" w:rsidRDefault="000C5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5E1"/>
    <w:multiLevelType w:val="hybridMultilevel"/>
    <w:tmpl w:val="C8284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4171AE"/>
    <w:multiLevelType w:val="hybridMultilevel"/>
    <w:tmpl w:val="E256A7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EE7349"/>
    <w:multiLevelType w:val="hybridMultilevel"/>
    <w:tmpl w:val="256C0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455A31"/>
    <w:multiLevelType w:val="hybridMultilevel"/>
    <w:tmpl w:val="C0286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822297"/>
    <w:multiLevelType w:val="hybridMultilevel"/>
    <w:tmpl w:val="69C07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35442759">
    <w:abstractNumId w:val="1"/>
  </w:num>
  <w:num w:numId="2" w16cid:durableId="958682847">
    <w:abstractNumId w:val="3"/>
  </w:num>
  <w:num w:numId="3" w16cid:durableId="1273779667">
    <w:abstractNumId w:val="2"/>
  </w:num>
  <w:num w:numId="4" w16cid:durableId="1431466021">
    <w:abstractNumId w:val="0"/>
  </w:num>
  <w:num w:numId="5" w16cid:durableId="10284139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attachedTemplate r:id="rId1"/>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2B"/>
    <w:rsid w:val="000031AB"/>
    <w:rsid w:val="000113CF"/>
    <w:rsid w:val="00020653"/>
    <w:rsid w:val="00024FC5"/>
    <w:rsid w:val="00025A7C"/>
    <w:rsid w:val="00033BCE"/>
    <w:rsid w:val="000374B9"/>
    <w:rsid w:val="000424E7"/>
    <w:rsid w:val="00044D0F"/>
    <w:rsid w:val="000607E1"/>
    <w:rsid w:val="00060D51"/>
    <w:rsid w:val="00071DEE"/>
    <w:rsid w:val="00077269"/>
    <w:rsid w:val="00090BCE"/>
    <w:rsid w:val="000A10AE"/>
    <w:rsid w:val="000A1B84"/>
    <w:rsid w:val="000A6717"/>
    <w:rsid w:val="000B7031"/>
    <w:rsid w:val="000C5549"/>
    <w:rsid w:val="000E003F"/>
    <w:rsid w:val="000E400D"/>
    <w:rsid w:val="000E7DC3"/>
    <w:rsid w:val="000F48FF"/>
    <w:rsid w:val="000F5833"/>
    <w:rsid w:val="00122B1E"/>
    <w:rsid w:val="0014098D"/>
    <w:rsid w:val="00144028"/>
    <w:rsid w:val="00154E42"/>
    <w:rsid w:val="0016210E"/>
    <w:rsid w:val="00171499"/>
    <w:rsid w:val="00174902"/>
    <w:rsid w:val="00181D37"/>
    <w:rsid w:val="0018628C"/>
    <w:rsid w:val="001A16A8"/>
    <w:rsid w:val="001A2E70"/>
    <w:rsid w:val="001A385F"/>
    <w:rsid w:val="001B0E28"/>
    <w:rsid w:val="001B5C5A"/>
    <w:rsid w:val="001C4C96"/>
    <w:rsid w:val="001C7A3D"/>
    <w:rsid w:val="001D2331"/>
    <w:rsid w:val="001F380E"/>
    <w:rsid w:val="001F4715"/>
    <w:rsid w:val="001F70DF"/>
    <w:rsid w:val="00210171"/>
    <w:rsid w:val="00214B7A"/>
    <w:rsid w:val="00216C58"/>
    <w:rsid w:val="002200C7"/>
    <w:rsid w:val="0022020E"/>
    <w:rsid w:val="0022260A"/>
    <w:rsid w:val="0022581D"/>
    <w:rsid w:val="00240045"/>
    <w:rsid w:val="00245D67"/>
    <w:rsid w:val="00247950"/>
    <w:rsid w:val="002676FF"/>
    <w:rsid w:val="00272F3D"/>
    <w:rsid w:val="00273053"/>
    <w:rsid w:val="00273F74"/>
    <w:rsid w:val="00285277"/>
    <w:rsid w:val="002918DC"/>
    <w:rsid w:val="00294E45"/>
    <w:rsid w:val="002A04F9"/>
    <w:rsid w:val="002A319B"/>
    <w:rsid w:val="002B1632"/>
    <w:rsid w:val="002B400D"/>
    <w:rsid w:val="002C59C2"/>
    <w:rsid w:val="002C64E3"/>
    <w:rsid w:val="002F6B64"/>
    <w:rsid w:val="00301465"/>
    <w:rsid w:val="00307C8F"/>
    <w:rsid w:val="003103CD"/>
    <w:rsid w:val="00313A19"/>
    <w:rsid w:val="0033294E"/>
    <w:rsid w:val="00335441"/>
    <w:rsid w:val="00335AD5"/>
    <w:rsid w:val="00357432"/>
    <w:rsid w:val="00362673"/>
    <w:rsid w:val="003636CB"/>
    <w:rsid w:val="0036440C"/>
    <w:rsid w:val="00370DFD"/>
    <w:rsid w:val="003716D4"/>
    <w:rsid w:val="00391A6A"/>
    <w:rsid w:val="003963C8"/>
    <w:rsid w:val="003A1E86"/>
    <w:rsid w:val="003B0638"/>
    <w:rsid w:val="003B25F1"/>
    <w:rsid w:val="003B453E"/>
    <w:rsid w:val="003B7A43"/>
    <w:rsid w:val="003C3EF7"/>
    <w:rsid w:val="003C7F6E"/>
    <w:rsid w:val="003E1EAB"/>
    <w:rsid w:val="003E63EA"/>
    <w:rsid w:val="003F35C0"/>
    <w:rsid w:val="003F5C84"/>
    <w:rsid w:val="003F5E08"/>
    <w:rsid w:val="004022EC"/>
    <w:rsid w:val="00404185"/>
    <w:rsid w:val="00412BE3"/>
    <w:rsid w:val="00420BED"/>
    <w:rsid w:val="00421E99"/>
    <w:rsid w:val="0043250C"/>
    <w:rsid w:val="00442E04"/>
    <w:rsid w:val="00445A85"/>
    <w:rsid w:val="0045255D"/>
    <w:rsid w:val="0046132B"/>
    <w:rsid w:val="004622A0"/>
    <w:rsid w:val="00463C03"/>
    <w:rsid w:val="0046704F"/>
    <w:rsid w:val="00470252"/>
    <w:rsid w:val="00474E92"/>
    <w:rsid w:val="00480AD8"/>
    <w:rsid w:val="00486579"/>
    <w:rsid w:val="00493494"/>
    <w:rsid w:val="00495AAF"/>
    <w:rsid w:val="004A28EA"/>
    <w:rsid w:val="004B2667"/>
    <w:rsid w:val="004C3579"/>
    <w:rsid w:val="004C573F"/>
    <w:rsid w:val="004D2446"/>
    <w:rsid w:val="004D4E86"/>
    <w:rsid w:val="004E0027"/>
    <w:rsid w:val="004E3055"/>
    <w:rsid w:val="004E7373"/>
    <w:rsid w:val="004F107B"/>
    <w:rsid w:val="004F7434"/>
    <w:rsid w:val="00501ED2"/>
    <w:rsid w:val="00503727"/>
    <w:rsid w:val="00507CFB"/>
    <w:rsid w:val="00516E5D"/>
    <w:rsid w:val="00527845"/>
    <w:rsid w:val="00534C34"/>
    <w:rsid w:val="005400DC"/>
    <w:rsid w:val="00541FBF"/>
    <w:rsid w:val="0054718B"/>
    <w:rsid w:val="005506BC"/>
    <w:rsid w:val="00572242"/>
    <w:rsid w:val="00574AA0"/>
    <w:rsid w:val="005966D3"/>
    <w:rsid w:val="005A3A43"/>
    <w:rsid w:val="005B037F"/>
    <w:rsid w:val="005B1956"/>
    <w:rsid w:val="005B729E"/>
    <w:rsid w:val="005E1949"/>
    <w:rsid w:val="005E7FF4"/>
    <w:rsid w:val="005F5A3B"/>
    <w:rsid w:val="00607A09"/>
    <w:rsid w:val="00610B9D"/>
    <w:rsid w:val="006115AD"/>
    <w:rsid w:val="00611CCC"/>
    <w:rsid w:val="00623DF9"/>
    <w:rsid w:val="00624E0D"/>
    <w:rsid w:val="006462A2"/>
    <w:rsid w:val="00653F80"/>
    <w:rsid w:val="00654036"/>
    <w:rsid w:val="0067073D"/>
    <w:rsid w:val="0067108B"/>
    <w:rsid w:val="006768F8"/>
    <w:rsid w:val="006817E6"/>
    <w:rsid w:val="00683A07"/>
    <w:rsid w:val="00693CAB"/>
    <w:rsid w:val="006A51EB"/>
    <w:rsid w:val="006A5F26"/>
    <w:rsid w:val="006B5B7C"/>
    <w:rsid w:val="006B6B7D"/>
    <w:rsid w:val="006C29EC"/>
    <w:rsid w:val="006D3DCB"/>
    <w:rsid w:val="00700619"/>
    <w:rsid w:val="007059B3"/>
    <w:rsid w:val="00710907"/>
    <w:rsid w:val="00710C9C"/>
    <w:rsid w:val="00713CF8"/>
    <w:rsid w:val="00726704"/>
    <w:rsid w:val="00754961"/>
    <w:rsid w:val="007679F0"/>
    <w:rsid w:val="00776401"/>
    <w:rsid w:val="007767D8"/>
    <w:rsid w:val="00780316"/>
    <w:rsid w:val="0078056D"/>
    <w:rsid w:val="00790C5A"/>
    <w:rsid w:val="00791BA9"/>
    <w:rsid w:val="007938EC"/>
    <w:rsid w:val="00795C0E"/>
    <w:rsid w:val="007A2BFC"/>
    <w:rsid w:val="007C4B9D"/>
    <w:rsid w:val="007C7925"/>
    <w:rsid w:val="007D0946"/>
    <w:rsid w:val="007D113C"/>
    <w:rsid w:val="007D318C"/>
    <w:rsid w:val="007E39F4"/>
    <w:rsid w:val="007F4FA0"/>
    <w:rsid w:val="007F701C"/>
    <w:rsid w:val="0080397E"/>
    <w:rsid w:val="00805277"/>
    <w:rsid w:val="00806AB5"/>
    <w:rsid w:val="00806C81"/>
    <w:rsid w:val="008072DE"/>
    <w:rsid w:val="008125CE"/>
    <w:rsid w:val="00814AA6"/>
    <w:rsid w:val="00815077"/>
    <w:rsid w:val="008279AF"/>
    <w:rsid w:val="008303B8"/>
    <w:rsid w:val="00836E81"/>
    <w:rsid w:val="008376B9"/>
    <w:rsid w:val="00841FC6"/>
    <w:rsid w:val="00842603"/>
    <w:rsid w:val="008461D7"/>
    <w:rsid w:val="0086106D"/>
    <w:rsid w:val="00865B8B"/>
    <w:rsid w:val="00880CFD"/>
    <w:rsid w:val="0088384F"/>
    <w:rsid w:val="00895FDD"/>
    <w:rsid w:val="008A06AE"/>
    <w:rsid w:val="008B0DE1"/>
    <w:rsid w:val="008B33AA"/>
    <w:rsid w:val="008D05AC"/>
    <w:rsid w:val="008E3E2E"/>
    <w:rsid w:val="008F7491"/>
    <w:rsid w:val="00902F1C"/>
    <w:rsid w:val="009034B2"/>
    <w:rsid w:val="00910B78"/>
    <w:rsid w:val="00912750"/>
    <w:rsid w:val="009176D7"/>
    <w:rsid w:val="009178FF"/>
    <w:rsid w:val="00921D67"/>
    <w:rsid w:val="00942FDB"/>
    <w:rsid w:val="00945283"/>
    <w:rsid w:val="009463EE"/>
    <w:rsid w:val="00947329"/>
    <w:rsid w:val="009537CC"/>
    <w:rsid w:val="00982C52"/>
    <w:rsid w:val="00983667"/>
    <w:rsid w:val="009845B4"/>
    <w:rsid w:val="00986570"/>
    <w:rsid w:val="0099345C"/>
    <w:rsid w:val="00995000"/>
    <w:rsid w:val="009A15DC"/>
    <w:rsid w:val="009B2198"/>
    <w:rsid w:val="009B2221"/>
    <w:rsid w:val="009D6F69"/>
    <w:rsid w:val="009F53D1"/>
    <w:rsid w:val="00A06702"/>
    <w:rsid w:val="00A15A3A"/>
    <w:rsid w:val="00A21605"/>
    <w:rsid w:val="00A2509F"/>
    <w:rsid w:val="00A41228"/>
    <w:rsid w:val="00A4502E"/>
    <w:rsid w:val="00A573A7"/>
    <w:rsid w:val="00A6510E"/>
    <w:rsid w:val="00A8549B"/>
    <w:rsid w:val="00A91727"/>
    <w:rsid w:val="00A918FF"/>
    <w:rsid w:val="00AA5794"/>
    <w:rsid w:val="00AC0574"/>
    <w:rsid w:val="00AC6537"/>
    <w:rsid w:val="00AD1CDB"/>
    <w:rsid w:val="00AE7815"/>
    <w:rsid w:val="00AF1D80"/>
    <w:rsid w:val="00B01CA1"/>
    <w:rsid w:val="00B02661"/>
    <w:rsid w:val="00B03B8E"/>
    <w:rsid w:val="00B0447D"/>
    <w:rsid w:val="00B068C8"/>
    <w:rsid w:val="00B20656"/>
    <w:rsid w:val="00B23541"/>
    <w:rsid w:val="00B33993"/>
    <w:rsid w:val="00B34198"/>
    <w:rsid w:val="00B351CD"/>
    <w:rsid w:val="00B35454"/>
    <w:rsid w:val="00B3671E"/>
    <w:rsid w:val="00B40E30"/>
    <w:rsid w:val="00B50DD2"/>
    <w:rsid w:val="00B66B09"/>
    <w:rsid w:val="00B74F2B"/>
    <w:rsid w:val="00B76F16"/>
    <w:rsid w:val="00B801DB"/>
    <w:rsid w:val="00B84769"/>
    <w:rsid w:val="00B85661"/>
    <w:rsid w:val="00B92534"/>
    <w:rsid w:val="00B95918"/>
    <w:rsid w:val="00B96269"/>
    <w:rsid w:val="00BA0035"/>
    <w:rsid w:val="00BC33A5"/>
    <w:rsid w:val="00BD5C3C"/>
    <w:rsid w:val="00BE59A8"/>
    <w:rsid w:val="00BF4ED8"/>
    <w:rsid w:val="00C04C52"/>
    <w:rsid w:val="00C134A3"/>
    <w:rsid w:val="00C21163"/>
    <w:rsid w:val="00C2448F"/>
    <w:rsid w:val="00C25C7C"/>
    <w:rsid w:val="00C3064D"/>
    <w:rsid w:val="00C30C3C"/>
    <w:rsid w:val="00C326A7"/>
    <w:rsid w:val="00C5320C"/>
    <w:rsid w:val="00C6434C"/>
    <w:rsid w:val="00C7628A"/>
    <w:rsid w:val="00C81976"/>
    <w:rsid w:val="00C94FB6"/>
    <w:rsid w:val="00CB1390"/>
    <w:rsid w:val="00CC13E3"/>
    <w:rsid w:val="00CE0296"/>
    <w:rsid w:val="00CF7994"/>
    <w:rsid w:val="00D007EC"/>
    <w:rsid w:val="00D045D8"/>
    <w:rsid w:val="00D04921"/>
    <w:rsid w:val="00D0545B"/>
    <w:rsid w:val="00D13377"/>
    <w:rsid w:val="00D1626D"/>
    <w:rsid w:val="00D2609B"/>
    <w:rsid w:val="00D2765B"/>
    <w:rsid w:val="00D3512F"/>
    <w:rsid w:val="00D41D46"/>
    <w:rsid w:val="00D45FC0"/>
    <w:rsid w:val="00D50AE0"/>
    <w:rsid w:val="00D515C9"/>
    <w:rsid w:val="00D52721"/>
    <w:rsid w:val="00D55A11"/>
    <w:rsid w:val="00D56063"/>
    <w:rsid w:val="00D56B19"/>
    <w:rsid w:val="00D57C5C"/>
    <w:rsid w:val="00D6546B"/>
    <w:rsid w:val="00D74CF2"/>
    <w:rsid w:val="00D764B1"/>
    <w:rsid w:val="00D8546F"/>
    <w:rsid w:val="00D85BF4"/>
    <w:rsid w:val="00D871BD"/>
    <w:rsid w:val="00DA0DDB"/>
    <w:rsid w:val="00DB5467"/>
    <w:rsid w:val="00DB55E5"/>
    <w:rsid w:val="00DB57EF"/>
    <w:rsid w:val="00E00AAC"/>
    <w:rsid w:val="00E0271D"/>
    <w:rsid w:val="00E056BB"/>
    <w:rsid w:val="00E06439"/>
    <w:rsid w:val="00E1318F"/>
    <w:rsid w:val="00E145E1"/>
    <w:rsid w:val="00E15A4F"/>
    <w:rsid w:val="00E2288B"/>
    <w:rsid w:val="00E35657"/>
    <w:rsid w:val="00E37B2F"/>
    <w:rsid w:val="00E521F2"/>
    <w:rsid w:val="00E762B3"/>
    <w:rsid w:val="00E80E1A"/>
    <w:rsid w:val="00E831C6"/>
    <w:rsid w:val="00E90C79"/>
    <w:rsid w:val="00E9352C"/>
    <w:rsid w:val="00EA540A"/>
    <w:rsid w:val="00EA742D"/>
    <w:rsid w:val="00EB02DC"/>
    <w:rsid w:val="00EC3AC1"/>
    <w:rsid w:val="00EC4B74"/>
    <w:rsid w:val="00EC6E21"/>
    <w:rsid w:val="00EE559C"/>
    <w:rsid w:val="00F0124F"/>
    <w:rsid w:val="00F0489F"/>
    <w:rsid w:val="00F10A34"/>
    <w:rsid w:val="00F1164F"/>
    <w:rsid w:val="00F25C60"/>
    <w:rsid w:val="00F310CB"/>
    <w:rsid w:val="00F32764"/>
    <w:rsid w:val="00F35914"/>
    <w:rsid w:val="00F513F7"/>
    <w:rsid w:val="00F567AF"/>
    <w:rsid w:val="00F65EB6"/>
    <w:rsid w:val="00F80788"/>
    <w:rsid w:val="00F80A7F"/>
    <w:rsid w:val="00FA3341"/>
    <w:rsid w:val="00FA4282"/>
    <w:rsid w:val="00FA7137"/>
    <w:rsid w:val="00FB0050"/>
    <w:rsid w:val="00FC2B99"/>
    <w:rsid w:val="00FC6331"/>
    <w:rsid w:val="00FD179E"/>
    <w:rsid w:val="00FD4756"/>
    <w:rsid w:val="00FE5ED4"/>
    <w:rsid w:val="00FE71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E7CF"/>
  <w15:chartTrackingRefBased/>
  <w15:docId w15:val="{38EAC240-E95E-44E0-AA39-812E398B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B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9EC"/>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549"/>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5549"/>
  </w:style>
  <w:style w:type="paragraph" w:styleId="Footer">
    <w:name w:val="footer"/>
    <w:basedOn w:val="Normal"/>
    <w:link w:val="FooterChar"/>
    <w:uiPriority w:val="99"/>
    <w:unhideWhenUsed/>
    <w:rsid w:val="000C5549"/>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5549"/>
  </w:style>
  <w:style w:type="paragraph" w:styleId="Title">
    <w:name w:val="Title"/>
    <w:basedOn w:val="Normal"/>
    <w:next w:val="Normal"/>
    <w:link w:val="TitleChar"/>
    <w:uiPriority w:val="10"/>
    <w:qFormat/>
    <w:rsid w:val="003103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3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0574"/>
    <w:pPr>
      <w:ind w:left="720"/>
      <w:contextualSpacing/>
    </w:pPr>
  </w:style>
  <w:style w:type="character" w:customStyle="1" w:styleId="Heading1Char">
    <w:name w:val="Heading 1 Char"/>
    <w:basedOn w:val="DefaultParagraphFont"/>
    <w:link w:val="Heading1"/>
    <w:uiPriority w:val="9"/>
    <w:rsid w:val="00D054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B9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54036"/>
    <w:rPr>
      <w:color w:val="666666"/>
    </w:rPr>
  </w:style>
  <w:style w:type="character" w:customStyle="1" w:styleId="Heading3Char">
    <w:name w:val="Heading 3 Char"/>
    <w:basedOn w:val="DefaultParagraphFont"/>
    <w:link w:val="Heading3"/>
    <w:uiPriority w:val="9"/>
    <w:rsid w:val="006C29E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E3055"/>
    <w:rPr>
      <w:color w:val="0563C1" w:themeColor="hyperlink"/>
      <w:u w:val="single"/>
    </w:rPr>
  </w:style>
  <w:style w:type="character" w:styleId="UnresolvedMention">
    <w:name w:val="Unresolved Mention"/>
    <w:basedOn w:val="DefaultParagraphFont"/>
    <w:uiPriority w:val="99"/>
    <w:semiHidden/>
    <w:unhideWhenUsed/>
    <w:rsid w:val="004E3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18" Type="http://schemas.openxmlformats.org/officeDocument/2006/relationships/hyperlink" Target="https://curia.europa.eu/juris/document/document.jsf?text=&amp;docid=280623&amp;pageIndex=0&amp;doclang=it&amp;mode=req&amp;dir=&amp;occ=first&amp;part=1&amp;cid=3127532" TargetMode="External"/><Relationship Id="rId26"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3" Type="http://schemas.openxmlformats.org/officeDocument/2006/relationships/settings" Target="settings.xml"/><Relationship Id="rId21"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17" Type="http://schemas.openxmlformats.org/officeDocument/2006/relationships/hyperlink" Target="https://curia.europa.eu/juris/document/document.jsf?text=&amp;docid=280623&amp;pageIndex=0&amp;doclang=it&amp;mode=req&amp;dir=&amp;occ=first&amp;part=1&amp;cid=3127532" TargetMode="External"/><Relationship Id="rId25"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ria.europa.eu/juris/document/document.jsf?text=&amp;docid=280623&amp;pageIndex=0&amp;doclang=it&amp;mode=req&amp;dir=&amp;occ=first&amp;part=1&amp;cid=3127532" TargetMode="External"/><Relationship Id="rId20" Type="http://schemas.openxmlformats.org/officeDocument/2006/relationships/hyperlink" Target="https://curia.europa.eu/juris/document/document.jsf?text=&amp;docid=280623&amp;pageIndex=0&amp;doclang=it&amp;mode=req&amp;dir=&amp;occ=first&amp;part=1&amp;cid=312753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24" Type="http://schemas.openxmlformats.org/officeDocument/2006/relationships/hyperlink" Target="https://curia.europa.eu/juris/document/document.jsf?text=&amp;docid=280623&amp;pageIndex=0&amp;doclang=it&amp;mode=req&amp;dir=&amp;occ=first&amp;part=1&amp;cid=3127532"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23" Type="http://schemas.openxmlformats.org/officeDocument/2006/relationships/hyperlink" Target="https://curia.europa.eu/juris/document/document.jsf?text=&amp;docid=280623&amp;pageIndex=0&amp;doclang=it&amp;mode=req&amp;dir=&amp;occ=first&amp;part=1&amp;cid=3127532"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14"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22" Type="http://schemas.openxmlformats.org/officeDocument/2006/relationships/hyperlink" Target="https://curia.europa.eu/juris/document/document.jsf;jsessionid=BE1C671E1971B2347791F70DDEA21686?text=&amp;docid=273284&amp;pageIndex=0&amp;doclang=IT&amp;mode=lst&amp;dir=&amp;occ=first&amp;part=1&amp;cid=2362949"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ario\Documents\Custom%20Office%20Templates\w_pagenumb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w_pagenumbers.dotx</Template>
  <TotalTime>542</TotalTime>
  <Pages>1</Pages>
  <Words>2616</Words>
  <Characters>14917</Characters>
  <Application>Microsoft Office Word</Application>
  <DocSecurity>4</DocSecurity>
  <Lines>124</Lines>
  <Paragraphs>34</Paragraphs>
  <ScaleCrop>false</ScaleCrop>
  <Company/>
  <LinksUpToDate>false</LinksUpToDate>
  <CharactersWithSpaces>17499</CharactersWithSpaces>
  <SharedDoc>false</SharedDoc>
  <HLinks>
    <vt:vector size="102" baseType="variant">
      <vt:variant>
        <vt:i4>327688</vt:i4>
      </vt:variant>
      <vt:variant>
        <vt:i4>48</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327688</vt:i4>
      </vt:variant>
      <vt:variant>
        <vt:i4>45</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2031624</vt:i4>
      </vt:variant>
      <vt:variant>
        <vt:i4>42</vt:i4>
      </vt:variant>
      <vt:variant>
        <vt:i4>0</vt:i4>
      </vt:variant>
      <vt:variant>
        <vt:i4>5</vt:i4>
      </vt:variant>
      <vt:variant>
        <vt:lpwstr>https://curia.europa.eu/juris/document/document.jsf?text=&amp;docid=280623&amp;pageIndex=0&amp;doclang=it&amp;mode=req&amp;dir=&amp;occ=first&amp;part=1&amp;cid=3127532</vt:lpwstr>
      </vt:variant>
      <vt:variant>
        <vt:lpwstr/>
      </vt:variant>
      <vt:variant>
        <vt:i4>2031624</vt:i4>
      </vt:variant>
      <vt:variant>
        <vt:i4>39</vt:i4>
      </vt:variant>
      <vt:variant>
        <vt:i4>0</vt:i4>
      </vt:variant>
      <vt:variant>
        <vt:i4>5</vt:i4>
      </vt:variant>
      <vt:variant>
        <vt:lpwstr>https://curia.europa.eu/juris/document/document.jsf?text=&amp;docid=280623&amp;pageIndex=0&amp;doclang=it&amp;mode=req&amp;dir=&amp;occ=first&amp;part=1&amp;cid=3127532</vt:lpwstr>
      </vt:variant>
      <vt:variant>
        <vt:lpwstr/>
      </vt:variant>
      <vt:variant>
        <vt:i4>327688</vt:i4>
      </vt:variant>
      <vt:variant>
        <vt:i4>36</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327688</vt:i4>
      </vt:variant>
      <vt:variant>
        <vt:i4>33</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2031624</vt:i4>
      </vt:variant>
      <vt:variant>
        <vt:i4>30</vt:i4>
      </vt:variant>
      <vt:variant>
        <vt:i4>0</vt:i4>
      </vt:variant>
      <vt:variant>
        <vt:i4>5</vt:i4>
      </vt:variant>
      <vt:variant>
        <vt:lpwstr>https://curia.europa.eu/juris/document/document.jsf?text=&amp;docid=280623&amp;pageIndex=0&amp;doclang=it&amp;mode=req&amp;dir=&amp;occ=first&amp;part=1&amp;cid=3127532</vt:lpwstr>
      </vt:variant>
      <vt:variant>
        <vt:lpwstr/>
      </vt:variant>
      <vt:variant>
        <vt:i4>327688</vt:i4>
      </vt:variant>
      <vt:variant>
        <vt:i4>27</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2031624</vt:i4>
      </vt:variant>
      <vt:variant>
        <vt:i4>24</vt:i4>
      </vt:variant>
      <vt:variant>
        <vt:i4>0</vt:i4>
      </vt:variant>
      <vt:variant>
        <vt:i4>5</vt:i4>
      </vt:variant>
      <vt:variant>
        <vt:lpwstr>https://curia.europa.eu/juris/document/document.jsf?text=&amp;docid=280623&amp;pageIndex=0&amp;doclang=it&amp;mode=req&amp;dir=&amp;occ=first&amp;part=1&amp;cid=3127532</vt:lpwstr>
      </vt:variant>
      <vt:variant>
        <vt:lpwstr/>
      </vt:variant>
      <vt:variant>
        <vt:i4>2031624</vt:i4>
      </vt:variant>
      <vt:variant>
        <vt:i4>21</vt:i4>
      </vt:variant>
      <vt:variant>
        <vt:i4>0</vt:i4>
      </vt:variant>
      <vt:variant>
        <vt:i4>5</vt:i4>
      </vt:variant>
      <vt:variant>
        <vt:lpwstr>https://curia.europa.eu/juris/document/document.jsf?text=&amp;docid=280623&amp;pageIndex=0&amp;doclang=it&amp;mode=req&amp;dir=&amp;occ=first&amp;part=1&amp;cid=3127532</vt:lpwstr>
      </vt:variant>
      <vt:variant>
        <vt:lpwstr/>
      </vt:variant>
      <vt:variant>
        <vt:i4>2031624</vt:i4>
      </vt:variant>
      <vt:variant>
        <vt:i4>18</vt:i4>
      </vt:variant>
      <vt:variant>
        <vt:i4>0</vt:i4>
      </vt:variant>
      <vt:variant>
        <vt:i4>5</vt:i4>
      </vt:variant>
      <vt:variant>
        <vt:lpwstr>https://curia.europa.eu/juris/document/document.jsf?text=&amp;docid=280623&amp;pageIndex=0&amp;doclang=it&amp;mode=req&amp;dir=&amp;occ=first&amp;part=1&amp;cid=3127532</vt:lpwstr>
      </vt:variant>
      <vt:variant>
        <vt:lpwstr/>
      </vt:variant>
      <vt:variant>
        <vt:i4>1507400</vt:i4>
      </vt:variant>
      <vt:variant>
        <vt:i4>15</vt:i4>
      </vt:variant>
      <vt:variant>
        <vt:i4>0</vt:i4>
      </vt:variant>
      <vt:variant>
        <vt:i4>5</vt:i4>
      </vt:variant>
      <vt:variant>
        <vt:lpwstr>https://www.garanteprivacy.it/home/docweb/-/docweb-display/docweb/9940988</vt:lpwstr>
      </vt:variant>
      <vt:variant>
        <vt:lpwstr/>
      </vt:variant>
      <vt:variant>
        <vt:i4>327688</vt:i4>
      </vt:variant>
      <vt:variant>
        <vt:i4>12</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327688</vt:i4>
      </vt:variant>
      <vt:variant>
        <vt:i4>9</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327688</vt:i4>
      </vt:variant>
      <vt:variant>
        <vt:i4>6</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327688</vt:i4>
      </vt:variant>
      <vt:variant>
        <vt:i4>3</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ariant>
        <vt:i4>327688</vt:i4>
      </vt:variant>
      <vt:variant>
        <vt:i4>0</vt:i4>
      </vt:variant>
      <vt:variant>
        <vt:i4>0</vt:i4>
      </vt:variant>
      <vt:variant>
        <vt:i4>5</vt:i4>
      </vt:variant>
      <vt:variant>
        <vt:lpwstr>https://curia.europa.eu/juris/document/document.jsf;jsessionid=BE1C671E1971B2347791F70DDEA21686?text=&amp;docid=273284&amp;pageIndex=0&amp;doclang=IT&amp;mode=lst&amp;dir=&amp;occ=first&amp;part=1&amp;cid=2362949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dataism</dc:creator>
  <cp:keywords/>
  <dc:description/>
  <cp:lastModifiedBy>Rosario Imperiali</cp:lastModifiedBy>
  <cp:revision>355</cp:revision>
  <dcterms:created xsi:type="dcterms:W3CDTF">2024-01-15T02:27:00Z</dcterms:created>
  <dcterms:modified xsi:type="dcterms:W3CDTF">2024-01-17T17:30:00Z</dcterms:modified>
</cp:coreProperties>
</file>