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75683" w14:textId="77777777" w:rsidR="00E41AA8" w:rsidRPr="00E41AA8" w:rsidRDefault="00E41AA8" w:rsidP="00E41AA8">
      <w:pPr>
        <w:keepNext/>
        <w:keepLines/>
        <w:spacing w:before="400" w:after="120" w:line="276" w:lineRule="auto"/>
        <w:jc w:val="both"/>
        <w:outlineLvl w:val="0"/>
        <w:rPr>
          <w:rFonts w:ascii="Arial" w:eastAsia="Arial" w:hAnsi="Arial" w:cs="Arial"/>
          <w:sz w:val="40"/>
          <w:szCs w:val="40"/>
          <w:lang w:val="it" w:eastAsia="it-IT"/>
        </w:rPr>
      </w:pPr>
      <w:bookmarkStart w:id="0" w:name="_Toc155698286"/>
      <w:r w:rsidRPr="00E41AA8">
        <w:rPr>
          <w:rFonts w:ascii="Arial" w:eastAsia="Arial" w:hAnsi="Arial" w:cs="Arial"/>
          <w:sz w:val="40"/>
          <w:szCs w:val="40"/>
          <w:lang w:val="it" w:eastAsia="it-IT"/>
        </w:rPr>
        <w:t>DATA ACT</w:t>
      </w:r>
      <w:bookmarkEnd w:id="0"/>
    </w:p>
    <w:p w14:paraId="0A7ED1B6" w14:textId="77777777" w:rsidR="00E41AA8" w:rsidRPr="00E41AA8" w:rsidRDefault="00E41AA8" w:rsidP="00E41AA8">
      <w:r w:rsidRPr="00E41AA8">
        <w:t xml:space="preserve">La Gazzetta ufficiale dell’Unione ha pubblicato l’atteso regolamento sui dati (“Data Act”). </w:t>
      </w:r>
    </w:p>
    <w:p w14:paraId="3E3FD8CE" w14:textId="77777777" w:rsidR="00E41AA8" w:rsidRPr="00E41AA8" w:rsidRDefault="00E41AA8" w:rsidP="00E41AA8">
      <w:r w:rsidRPr="00E41AA8">
        <w:t xml:space="preserve">Dopo il Data Governance Act, il Data Act è il secondo più rilevante intervento normativo di carattere orizzontale cioè, applicabile a qualsiasi settore, della </w:t>
      </w:r>
      <w:hyperlink r:id="rId7" w:history="1">
        <w:r w:rsidRPr="00E41AA8">
          <w:rPr>
            <w:color w:val="0563C1" w:themeColor="hyperlink"/>
            <w:u w:val="single"/>
          </w:rPr>
          <w:t>Strategia UE sui dati</w:t>
        </w:r>
      </w:hyperlink>
      <w:r w:rsidRPr="00E41AA8">
        <w:t xml:space="preserve"> promossa dalla Commissione per il triennio 2020/2023.</w:t>
      </w:r>
    </w:p>
    <w:p w14:paraId="326D3EB0" w14:textId="77777777" w:rsidR="00E41AA8" w:rsidRPr="00E41AA8" w:rsidRDefault="00E41AA8" w:rsidP="00E41AA8">
      <w:r w:rsidRPr="00E41AA8">
        <w:t xml:space="preserve">Il titolo del </w:t>
      </w:r>
      <w:r w:rsidRPr="00E41AA8">
        <w:rPr>
          <w:b/>
          <w:bCs/>
        </w:rPr>
        <w:t>Data Act</w:t>
      </w:r>
      <w:r w:rsidRPr="00E41AA8">
        <w:t xml:space="preserve"> è “</w:t>
      </w:r>
      <w:r w:rsidRPr="00E41AA8">
        <w:rPr>
          <w:i/>
          <w:iCs/>
        </w:rPr>
        <w:t>norme armonizzate sull’accesso equo ai dati e sul loro utilizzo</w:t>
      </w:r>
      <w:r w:rsidRPr="00E41AA8">
        <w:t xml:space="preserve">” e indica lo scopo e l’ambito applicativo del regolamento: quello di facilitare l’accesso e l’uso di dati (personali e non-personali) derivanti dall’interazione dell’utente con dispositivi e servizi del mondo IoT, nel rispetto delle leggi applicabili e dei valori dell’Unione. </w:t>
      </w:r>
    </w:p>
    <w:p w14:paraId="240AB656" w14:textId="6E0B6F9D" w:rsidR="00E41AA8" w:rsidRPr="00E41AA8" w:rsidRDefault="00E41AA8" w:rsidP="00E41AA8">
      <w:r w:rsidRPr="00E41AA8">
        <w:t xml:space="preserve">Il Data Act, quindi, riguarda i dati ottenuti, generati o raccolti da dispositivi, per mezzo dei loro componenti; dati relativi alle loro prestazioni, all’uso o all’ambiente di riferimento e che possono essere </w:t>
      </w:r>
      <w:r w:rsidR="00785609">
        <w:t>messi a disposizione</w:t>
      </w:r>
      <w:r w:rsidRPr="00E41AA8">
        <w:t>.</w:t>
      </w:r>
    </w:p>
    <w:p w14:paraId="4A01D742" w14:textId="77777777" w:rsidR="00E41AA8" w:rsidRPr="00E41AA8" w:rsidRDefault="00E41AA8" w:rsidP="00E41AA8">
      <w:r w:rsidRPr="00E41AA8">
        <w:t>Il regolamento stabilisce chi è legittimato ad accedere a questi dati generati da prodotti e relativi servizi, a quali condizioni e su quali basi.</w:t>
      </w:r>
    </w:p>
    <w:p w14:paraId="43ABECE5" w14:textId="77777777" w:rsidR="00E41AA8" w:rsidRPr="00E41AA8" w:rsidRDefault="00E41AA8" w:rsidP="007504F7">
      <w:pPr>
        <w:pStyle w:val="Heading1"/>
        <w:rPr>
          <w:rFonts w:eastAsia="Arial"/>
          <w:lang w:val="it" w:eastAsia="it-IT"/>
        </w:rPr>
      </w:pPr>
      <w:bookmarkStart w:id="1" w:name="_Toc155698287"/>
      <w:r w:rsidRPr="00E41AA8">
        <w:rPr>
          <w:rFonts w:eastAsia="Arial"/>
          <w:lang w:val="it" w:eastAsia="it-IT"/>
        </w:rPr>
        <w:t>Definizioni e terminologia</w:t>
      </w:r>
      <w:bookmarkEnd w:id="1"/>
    </w:p>
    <w:p w14:paraId="4AF37C4C" w14:textId="211F2476" w:rsidR="009775DB" w:rsidRDefault="00091EC3" w:rsidP="00E41AA8">
      <w:pPr>
        <w:rPr>
          <w:lang w:val="it" w:eastAsia="it-IT"/>
        </w:rPr>
      </w:pPr>
      <w:r>
        <w:rPr>
          <w:lang w:val="it" w:eastAsia="it-IT"/>
        </w:rPr>
        <w:t>I</w:t>
      </w:r>
      <w:r w:rsidR="00E41AA8" w:rsidRPr="00E41AA8">
        <w:rPr>
          <w:lang w:val="it" w:eastAsia="it-IT"/>
        </w:rPr>
        <w:t>l regolamento sui dati interagisce</w:t>
      </w:r>
      <w:r w:rsidR="003F0BCC">
        <w:rPr>
          <w:lang w:val="it" w:eastAsia="it-IT"/>
        </w:rPr>
        <w:t>, tra l’altro,</w:t>
      </w:r>
      <w:r w:rsidR="00E41AA8" w:rsidRPr="00E41AA8">
        <w:rPr>
          <w:lang w:val="it" w:eastAsia="it-IT"/>
        </w:rPr>
        <w:t xml:space="preserve"> col GDPR e il DGA</w:t>
      </w:r>
      <w:r>
        <w:rPr>
          <w:lang w:val="it" w:eastAsia="it-IT"/>
        </w:rPr>
        <w:t>.</w:t>
      </w:r>
      <w:r w:rsidR="00727FA1">
        <w:rPr>
          <w:lang w:val="it" w:eastAsia="it-IT"/>
        </w:rPr>
        <w:t xml:space="preserve"> </w:t>
      </w:r>
    </w:p>
    <w:p w14:paraId="7A3E830B" w14:textId="77432951" w:rsidR="00091EC3" w:rsidRDefault="00727FA1" w:rsidP="00E41AA8">
      <w:pPr>
        <w:rPr>
          <w:lang w:val="it" w:eastAsia="it-IT"/>
        </w:rPr>
      </w:pPr>
      <w:r>
        <w:rPr>
          <w:lang w:val="it" w:eastAsia="it-IT"/>
        </w:rPr>
        <w:t xml:space="preserve">Esso lascia impregiudicato il diritto dell’Unione in materia di protezione dei dati personali – cioè, GDPR, EUDPR </w:t>
      </w:r>
      <w:r w:rsidR="00B97CB2">
        <w:rPr>
          <w:lang w:val="it" w:eastAsia="it-IT"/>
        </w:rPr>
        <w:t>e la direttiva ePrivacy</w:t>
      </w:r>
      <w:r w:rsidR="009E23B4">
        <w:rPr>
          <w:lang w:val="it" w:eastAsia="it-IT"/>
        </w:rPr>
        <w:t>.</w:t>
      </w:r>
      <w:r w:rsidR="00B97CB2">
        <w:rPr>
          <w:lang w:val="it" w:eastAsia="it-IT"/>
        </w:rPr>
        <w:t xml:space="preserve"> </w:t>
      </w:r>
      <w:r w:rsidR="00D962FF">
        <w:rPr>
          <w:lang w:val="it" w:eastAsia="it-IT"/>
        </w:rPr>
        <w:t xml:space="preserve">A seguito di ciò, </w:t>
      </w:r>
      <w:r w:rsidR="0049028F">
        <w:rPr>
          <w:lang w:val="it" w:eastAsia="it-IT"/>
        </w:rPr>
        <w:t xml:space="preserve">nelle premesse del Data act si sottolinea l’importanza del rispetto del principio di minimizzazione dei dati personali </w:t>
      </w:r>
      <w:r w:rsidR="002700D5">
        <w:rPr>
          <w:lang w:val="it" w:eastAsia="it-IT"/>
        </w:rPr>
        <w:t>e del principio della protezione by design e by default anche in questo contesto</w:t>
      </w:r>
      <w:r w:rsidR="00077562">
        <w:rPr>
          <w:lang w:val="it" w:eastAsia="it-IT"/>
        </w:rPr>
        <w:t>,</w:t>
      </w:r>
      <w:r w:rsidR="002700D5">
        <w:rPr>
          <w:lang w:val="it" w:eastAsia="it-IT"/>
        </w:rPr>
        <w:t xml:space="preserve"> quando </w:t>
      </w:r>
      <w:r w:rsidR="0082071F">
        <w:rPr>
          <w:lang w:val="it" w:eastAsia="it-IT"/>
        </w:rPr>
        <w:t xml:space="preserve">i dati di riferimento sono dati personali. </w:t>
      </w:r>
      <w:r w:rsidR="00892F36">
        <w:rPr>
          <w:lang w:val="it" w:eastAsia="it-IT"/>
        </w:rPr>
        <w:t xml:space="preserve">A tale scopo, si raccomanda di ricorrere a </w:t>
      </w:r>
      <w:r w:rsidR="00EF7130">
        <w:rPr>
          <w:lang w:val="it" w:eastAsia="it-IT"/>
        </w:rPr>
        <w:t xml:space="preserve">tecnologie che </w:t>
      </w:r>
      <w:r w:rsidR="006D29A1">
        <w:rPr>
          <w:rFonts w:cstheme="minorHAnsi"/>
          <w:lang w:val="it" w:eastAsia="it-IT"/>
        </w:rPr>
        <w:t>«</w:t>
      </w:r>
      <w:r w:rsidR="006D29A1" w:rsidRPr="006D29A1">
        <w:rPr>
          <w:i/>
          <w:iCs/>
        </w:rPr>
        <w:t>consentono</w:t>
      </w:r>
      <w:r w:rsidR="006D29A1" w:rsidRPr="006D29A1">
        <w:rPr>
          <w:rFonts w:cstheme="minorHAnsi"/>
          <w:i/>
          <w:iCs/>
          <w:lang w:val="it" w:eastAsia="it-IT"/>
        </w:rPr>
        <w:t xml:space="preserve"> di applicare gli algoritmi ai dati e di ricavare informazioni preziose senza la trasmissione tra le parti o la copia non necessaria dei dati stessi</w:t>
      </w:r>
      <w:r w:rsidR="006D29A1">
        <w:rPr>
          <w:rFonts w:cstheme="minorHAnsi"/>
          <w:lang w:val="it" w:eastAsia="it-IT"/>
        </w:rPr>
        <w:t>».</w:t>
      </w:r>
    </w:p>
    <w:p w14:paraId="35ABF8F0" w14:textId="7B317FFF" w:rsidR="00E41AA8" w:rsidRPr="00E41AA8" w:rsidRDefault="0023319F" w:rsidP="00E41AA8">
      <w:pPr>
        <w:rPr>
          <w:lang w:val="it" w:eastAsia="it-IT"/>
        </w:rPr>
      </w:pPr>
      <w:r>
        <w:rPr>
          <w:lang w:val="it" w:eastAsia="it-IT"/>
        </w:rPr>
        <w:t xml:space="preserve">In considerazione di ciò, </w:t>
      </w:r>
      <w:r w:rsidR="00E41AA8" w:rsidRPr="00E41AA8">
        <w:rPr>
          <w:lang w:val="it" w:eastAsia="it-IT"/>
        </w:rPr>
        <w:t>per le espressioni “dati personali”, “interessato” e “profilazione” utilizzate nel Data Act, si rinvia a quelle del GDPR.</w:t>
      </w:r>
    </w:p>
    <w:p w14:paraId="2179F0AC" w14:textId="77777777" w:rsidR="00E41AA8" w:rsidRPr="00E41AA8" w:rsidRDefault="00E41AA8" w:rsidP="00E41AA8">
      <w:pPr>
        <w:rPr>
          <w:lang w:val="it" w:eastAsia="it-IT"/>
        </w:rPr>
      </w:pPr>
      <w:r w:rsidRPr="00E41AA8">
        <w:rPr>
          <w:lang w:val="it" w:eastAsia="it-IT"/>
        </w:rPr>
        <w:t>I “servizi di intermediazione dei dati” sono quelli definiti nel DGA.</w:t>
      </w:r>
    </w:p>
    <w:p w14:paraId="5E12B606" w14:textId="77777777" w:rsidR="00E41AA8" w:rsidRPr="00E41AA8" w:rsidRDefault="00E41AA8" w:rsidP="007504F7">
      <w:pPr>
        <w:pStyle w:val="Heading1"/>
        <w:rPr>
          <w:rFonts w:eastAsia="Arial"/>
          <w:lang w:val="it" w:eastAsia="it-IT"/>
        </w:rPr>
      </w:pPr>
      <w:r w:rsidRPr="00E41AA8">
        <w:rPr>
          <w:rFonts w:eastAsia="Arial"/>
          <w:lang w:val="it" w:eastAsia="it-IT"/>
        </w:rPr>
        <w:t>Ambito applicativo</w:t>
      </w:r>
    </w:p>
    <w:p w14:paraId="0EDDDF39" w14:textId="77777777" w:rsidR="00E41AA8" w:rsidRPr="00E41AA8" w:rsidRDefault="00E41AA8" w:rsidP="00E41AA8">
      <w:pPr>
        <w:rPr>
          <w:lang w:val="it" w:eastAsia="it-IT"/>
        </w:rPr>
      </w:pPr>
      <w:r w:rsidRPr="00E41AA8">
        <w:rPr>
          <w:lang w:val="it" w:eastAsia="it-IT"/>
        </w:rPr>
        <w:t xml:space="preserve">Diversamente da altri atti normativi sulla strategia UE sui dati in senso lato che riguardano dati detenuti dalla pubblica amministrazione – come il Regolamento sulla libera circolazione dei dati, la direttiva Open Data e il DGA – il Regolamento sui dati comprende anche i dati del settore privato. </w:t>
      </w:r>
    </w:p>
    <w:p w14:paraId="70C9356B" w14:textId="77777777" w:rsidR="00E41AA8" w:rsidRPr="00E41AA8" w:rsidRDefault="00E41AA8" w:rsidP="00E41AA8">
      <w:pPr>
        <w:rPr>
          <w:lang w:val="it" w:eastAsia="it-IT"/>
        </w:rPr>
      </w:pPr>
      <w:r w:rsidRPr="00E41AA8">
        <w:rPr>
          <w:lang w:val="it" w:eastAsia="it-IT"/>
        </w:rPr>
        <w:t>L’ambito applicativo del Data act racchiude nel proprio perimetro la condivisione dei dati e il relativo riutilizzo, in tutti i settori:</w:t>
      </w:r>
    </w:p>
    <w:p w14:paraId="72132E0C" w14:textId="77777777" w:rsidR="00E41AA8" w:rsidRPr="00E41AA8" w:rsidRDefault="00E41AA8" w:rsidP="00E41AA8">
      <w:pPr>
        <w:numPr>
          <w:ilvl w:val="0"/>
          <w:numId w:val="7"/>
        </w:numPr>
        <w:contextualSpacing/>
        <w:rPr>
          <w:lang w:val="it" w:eastAsia="it-IT"/>
        </w:rPr>
      </w:pPr>
      <w:r w:rsidRPr="00E41AA8">
        <w:rPr>
          <w:lang w:val="it" w:eastAsia="it-IT"/>
        </w:rPr>
        <w:t>da impresa a impresa, (</w:t>
      </w:r>
      <w:r w:rsidRPr="00E41AA8">
        <w:rPr>
          <w:b/>
          <w:bCs/>
          <w:lang w:val="it" w:eastAsia="it-IT"/>
        </w:rPr>
        <w:t>B2B</w:t>
      </w:r>
      <w:r w:rsidRPr="00E41AA8">
        <w:rPr>
          <w:lang w:val="it" w:eastAsia="it-IT"/>
        </w:rPr>
        <w:t>)</w:t>
      </w:r>
    </w:p>
    <w:p w14:paraId="64DA7D04" w14:textId="77777777" w:rsidR="00E41AA8" w:rsidRPr="00E41AA8" w:rsidRDefault="00E41AA8" w:rsidP="00E41AA8">
      <w:pPr>
        <w:numPr>
          <w:ilvl w:val="0"/>
          <w:numId w:val="7"/>
        </w:numPr>
        <w:contextualSpacing/>
        <w:rPr>
          <w:lang w:val="it" w:eastAsia="it-IT"/>
        </w:rPr>
      </w:pPr>
      <w:r w:rsidRPr="00E41AA8">
        <w:rPr>
          <w:lang w:val="it" w:eastAsia="it-IT"/>
        </w:rPr>
        <w:t>dall'impresa alla pubblica amministrazione, (</w:t>
      </w:r>
      <w:r w:rsidRPr="00E41AA8">
        <w:rPr>
          <w:b/>
          <w:bCs/>
          <w:lang w:val="it" w:eastAsia="it-IT"/>
        </w:rPr>
        <w:t>B2G</w:t>
      </w:r>
      <w:r w:rsidRPr="00E41AA8">
        <w:rPr>
          <w:lang w:val="it" w:eastAsia="it-IT"/>
        </w:rPr>
        <w:t>)</w:t>
      </w:r>
    </w:p>
    <w:p w14:paraId="2CFAE9A2" w14:textId="77777777" w:rsidR="00E41AA8" w:rsidRPr="00E41AA8" w:rsidRDefault="00E41AA8" w:rsidP="00E41AA8">
      <w:pPr>
        <w:numPr>
          <w:ilvl w:val="0"/>
          <w:numId w:val="7"/>
        </w:numPr>
        <w:contextualSpacing/>
        <w:rPr>
          <w:lang w:val="it" w:eastAsia="it-IT"/>
        </w:rPr>
      </w:pPr>
      <w:r w:rsidRPr="00E41AA8">
        <w:rPr>
          <w:lang w:val="it" w:eastAsia="it-IT"/>
        </w:rPr>
        <w:t>dalla pubblica amministrazione all'impresa, (</w:t>
      </w:r>
      <w:r w:rsidRPr="00E41AA8">
        <w:rPr>
          <w:b/>
          <w:bCs/>
          <w:lang w:val="it" w:eastAsia="it-IT"/>
        </w:rPr>
        <w:t>G2B</w:t>
      </w:r>
      <w:r w:rsidRPr="00E41AA8">
        <w:rPr>
          <w:lang w:val="it" w:eastAsia="it-IT"/>
        </w:rPr>
        <w:t>)</w:t>
      </w:r>
    </w:p>
    <w:p w14:paraId="30E1A3E6" w14:textId="77777777" w:rsidR="00E41AA8" w:rsidRPr="00E41AA8" w:rsidRDefault="00E41AA8" w:rsidP="00E41AA8">
      <w:pPr>
        <w:numPr>
          <w:ilvl w:val="0"/>
          <w:numId w:val="7"/>
        </w:numPr>
        <w:contextualSpacing/>
        <w:rPr>
          <w:lang w:val="it" w:eastAsia="it-IT"/>
        </w:rPr>
      </w:pPr>
      <w:r w:rsidRPr="00E41AA8">
        <w:rPr>
          <w:lang w:val="it" w:eastAsia="it-IT"/>
        </w:rPr>
        <w:t>da pubblica amministrazione a pubblica amministrazione, (</w:t>
      </w:r>
      <w:r w:rsidRPr="00E41AA8">
        <w:rPr>
          <w:b/>
          <w:bCs/>
          <w:lang w:val="it" w:eastAsia="it-IT"/>
        </w:rPr>
        <w:t>G2G</w:t>
      </w:r>
      <w:r w:rsidRPr="00E41AA8">
        <w:rPr>
          <w:lang w:val="it" w:eastAsia="it-IT"/>
        </w:rPr>
        <w:t>)</w:t>
      </w:r>
    </w:p>
    <w:p w14:paraId="5B59834C" w14:textId="77777777" w:rsidR="00E41AA8" w:rsidRPr="00E41AA8" w:rsidRDefault="00E41AA8" w:rsidP="00E41AA8">
      <w:pPr>
        <w:numPr>
          <w:ilvl w:val="0"/>
          <w:numId w:val="7"/>
        </w:numPr>
        <w:contextualSpacing/>
        <w:rPr>
          <w:lang w:val="it" w:eastAsia="it-IT"/>
        </w:rPr>
      </w:pPr>
      <w:r w:rsidRPr="00E41AA8">
        <w:rPr>
          <w:lang w:val="it" w:eastAsia="it-IT"/>
        </w:rPr>
        <w:t>ma anche dalla pubblica amministrazione o dall’impresa al singolo consumatore, (</w:t>
      </w:r>
      <w:r w:rsidRPr="00E41AA8">
        <w:rPr>
          <w:b/>
          <w:bCs/>
          <w:lang w:val="it" w:eastAsia="it-IT"/>
        </w:rPr>
        <w:t>G2C</w:t>
      </w:r>
      <w:r w:rsidRPr="00E41AA8">
        <w:rPr>
          <w:lang w:val="it" w:eastAsia="it-IT"/>
        </w:rPr>
        <w:t>) o (</w:t>
      </w:r>
      <w:r w:rsidRPr="00E41AA8">
        <w:rPr>
          <w:b/>
          <w:bCs/>
          <w:lang w:val="it" w:eastAsia="it-IT"/>
        </w:rPr>
        <w:t>B2C</w:t>
      </w:r>
      <w:r w:rsidRPr="00E41AA8">
        <w:rPr>
          <w:lang w:val="it" w:eastAsia="it-IT"/>
        </w:rPr>
        <w:t>).</w:t>
      </w:r>
    </w:p>
    <w:p w14:paraId="0D85A8C0" w14:textId="3E6E16D1" w:rsidR="00D44637" w:rsidRDefault="00301CAC" w:rsidP="00E41AA8">
      <w:pPr>
        <w:rPr>
          <w:lang w:val="it" w:eastAsia="it-IT"/>
        </w:rPr>
      </w:pPr>
      <w:r>
        <w:rPr>
          <w:lang w:val="it" w:eastAsia="it-IT"/>
        </w:rPr>
        <w:t xml:space="preserve">Infatti, </w:t>
      </w:r>
      <w:r>
        <w:rPr>
          <w:rFonts w:cstheme="minorHAnsi"/>
          <w:lang w:val="it" w:eastAsia="it-IT"/>
        </w:rPr>
        <w:t>«</w:t>
      </w:r>
      <w:r w:rsidRPr="00301CAC">
        <w:rPr>
          <w:i/>
          <w:iCs/>
        </w:rPr>
        <w:t>[s]</w:t>
      </w:r>
      <w:r w:rsidRPr="00301CAC">
        <w:rPr>
          <w:rFonts w:cstheme="minorHAnsi"/>
          <w:i/>
          <w:iCs/>
          <w:lang w:val="it" w:eastAsia="it-IT"/>
        </w:rPr>
        <w:t>ebbene la nozione di «titolare dei dati» non comprenda generalmente gli enti pubblici, può includere le imprese pubbliche</w:t>
      </w:r>
      <w:r>
        <w:rPr>
          <w:rFonts w:cstheme="minorHAnsi"/>
          <w:lang w:val="it" w:eastAsia="it-IT"/>
        </w:rPr>
        <w:t>» (Considerando (25)</w:t>
      </w:r>
      <w:r w:rsidR="00446B04">
        <w:rPr>
          <w:rFonts w:cstheme="minorHAnsi"/>
          <w:lang w:val="it" w:eastAsia="it-IT"/>
        </w:rPr>
        <w:t>.</w:t>
      </w:r>
    </w:p>
    <w:p w14:paraId="140EE529" w14:textId="7B0BC4B1" w:rsidR="00E41AA8" w:rsidRPr="00E41AA8" w:rsidRDefault="00E41AA8" w:rsidP="00E41AA8">
      <w:pPr>
        <w:rPr>
          <w:lang w:val="it" w:eastAsia="it-IT"/>
        </w:rPr>
      </w:pPr>
      <w:r w:rsidRPr="00E41AA8">
        <w:rPr>
          <w:lang w:val="it" w:eastAsia="it-IT"/>
        </w:rPr>
        <w:lastRenderedPageBreak/>
        <w:t>Il regolamento sui dati riguarda i dati generati da prodotti connessi a Internet e generati mediante l’interazione, diretta o indiretta, con l’utente.</w:t>
      </w:r>
    </w:p>
    <w:p w14:paraId="1A7A149D" w14:textId="77777777" w:rsidR="00E41AA8" w:rsidRDefault="00E41AA8" w:rsidP="00E41AA8">
      <w:pPr>
        <w:pBdr>
          <w:bottom w:val="single" w:sz="6" w:space="1" w:color="auto"/>
        </w:pBdr>
        <w:rPr>
          <w:lang w:val="it" w:eastAsia="it-IT"/>
        </w:rPr>
      </w:pPr>
      <w:r w:rsidRPr="00E41AA8">
        <w:rPr>
          <w:noProof/>
        </w:rPr>
        <w:drawing>
          <wp:inline distT="0" distB="0" distL="0" distR="0" wp14:anchorId="76458EC8" wp14:editId="4B3629DE">
            <wp:extent cx="6119706" cy="3442335"/>
            <wp:effectExtent l="0" t="0" r="0" b="5715"/>
            <wp:docPr id="508070370" name="Graphic 1" descr="A blue and whit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70370" name="Graphic 1" descr="A blue and white 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706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AE0E" w14:textId="77777777" w:rsidR="00BD0A78" w:rsidRPr="00E41AA8" w:rsidRDefault="00BD0A78" w:rsidP="00E41AA8">
      <w:pPr>
        <w:rPr>
          <w:lang w:val="it" w:eastAsia="it-IT"/>
        </w:rPr>
      </w:pPr>
    </w:p>
    <w:p w14:paraId="58757FC9" w14:textId="77777777" w:rsidR="00E41AA8" w:rsidRPr="00E41AA8" w:rsidRDefault="00E41AA8" w:rsidP="007504F7">
      <w:pPr>
        <w:pStyle w:val="Heading1"/>
        <w:rPr>
          <w:rFonts w:eastAsia="Arial"/>
          <w:lang w:val="it" w:eastAsia="it-IT"/>
        </w:rPr>
      </w:pPr>
      <w:r w:rsidRPr="00E41AA8">
        <w:rPr>
          <w:rFonts w:eastAsia="Arial"/>
          <w:lang w:val="it" w:eastAsia="it-IT"/>
        </w:rPr>
        <w:t>Dati di interazione dell’utente</w:t>
      </w:r>
    </w:p>
    <w:p w14:paraId="2EB41711" w14:textId="3EFDB7EF" w:rsidR="00E41AA8" w:rsidRPr="00E41AA8" w:rsidRDefault="00E41AA8" w:rsidP="00E41AA8">
      <w:pPr>
        <w:rPr>
          <w:lang w:val="it" w:eastAsia="it-IT"/>
        </w:rPr>
      </w:pPr>
      <w:r w:rsidRPr="00E41AA8">
        <w:rPr>
          <w:lang w:val="it" w:eastAsia="it-IT"/>
        </w:rPr>
        <w:t>Fermi restando i dati originati dall’</w:t>
      </w:r>
      <w:r w:rsidRPr="00E41AA8">
        <w:rPr>
          <w:b/>
          <w:bCs/>
          <w:lang w:val="it" w:eastAsia="it-IT"/>
        </w:rPr>
        <w:t>interazione diretta</w:t>
      </w:r>
      <w:r w:rsidRPr="00E41AA8">
        <w:rPr>
          <w:lang w:val="it" w:eastAsia="it-IT"/>
        </w:rPr>
        <w:t xml:space="preserve"> </w:t>
      </w:r>
      <w:r w:rsidR="00A43BDE">
        <w:rPr>
          <w:lang w:val="it" w:eastAsia="it-IT"/>
        </w:rPr>
        <w:t xml:space="preserve">– intenzionale o meno </w:t>
      </w:r>
      <w:r w:rsidR="00EC51F8">
        <w:rPr>
          <w:lang w:val="it" w:eastAsia="it-IT"/>
        </w:rPr>
        <w:t>–</w:t>
      </w:r>
      <w:r w:rsidR="00A43BDE">
        <w:rPr>
          <w:lang w:val="it" w:eastAsia="it-IT"/>
        </w:rPr>
        <w:t xml:space="preserve"> </w:t>
      </w:r>
      <w:r w:rsidRPr="00E41AA8">
        <w:rPr>
          <w:lang w:val="it" w:eastAsia="it-IT"/>
        </w:rPr>
        <w:t xml:space="preserve">dell’utente con il dispositivo, come la digitalizzazione delle azioni e degli eventi dell’utente, sono compresi nell’ambito applicativo anche altri dati scaturenti dal funzionamento attivato dall’utente. </w:t>
      </w:r>
    </w:p>
    <w:p w14:paraId="4DE5A0DF" w14:textId="77777777" w:rsidR="00E41AA8" w:rsidRPr="00E41AA8" w:rsidRDefault="00E41AA8" w:rsidP="00E41AA8">
      <w:pPr>
        <w:rPr>
          <w:lang w:val="it" w:eastAsia="it-IT"/>
        </w:rPr>
      </w:pPr>
      <w:r w:rsidRPr="00E41AA8">
        <w:rPr>
          <w:lang w:val="it" w:eastAsia="it-IT"/>
        </w:rPr>
        <w:t xml:space="preserve">Il concetto di </w:t>
      </w:r>
      <w:r w:rsidRPr="00E41AA8">
        <w:rPr>
          <w:b/>
          <w:bCs/>
          <w:lang w:val="it" w:eastAsia="it-IT"/>
        </w:rPr>
        <w:t>interazione indiretta</w:t>
      </w:r>
      <w:r w:rsidRPr="00E41AA8">
        <w:rPr>
          <w:lang w:val="it" w:eastAsia="it-IT"/>
        </w:rPr>
        <w:t xml:space="preserve"> è molto ampio. </w:t>
      </w:r>
    </w:p>
    <w:p w14:paraId="7D595F9A" w14:textId="52E7AB3E" w:rsidR="00E41AA8" w:rsidRPr="00E41AA8" w:rsidRDefault="00E41AA8" w:rsidP="00E41AA8">
      <w:pPr>
        <w:rPr>
          <w:lang w:val="it" w:eastAsia="it-IT"/>
        </w:rPr>
      </w:pPr>
      <w:r w:rsidRPr="00E41AA8">
        <w:rPr>
          <w:lang w:val="it" w:eastAsia="it-IT"/>
        </w:rPr>
        <w:t xml:space="preserve">Il Considerando (15) notevolmente ampliato e maggiormente dettagliato rispetto alla originaria formulazione del corrispondente (17) della proposta della Commissione, chiarisce il significato della interazione indiretta, ampliando </w:t>
      </w:r>
      <w:r w:rsidR="005A3EBF">
        <w:rPr>
          <w:lang w:val="it" w:eastAsia="it-IT"/>
        </w:rPr>
        <w:t>considerevol</w:t>
      </w:r>
      <w:r w:rsidRPr="00E41AA8">
        <w:rPr>
          <w:lang w:val="it" w:eastAsia="it-IT"/>
        </w:rPr>
        <w:t>mente l’ambito applicativo del regolamento.</w:t>
      </w:r>
    </w:p>
    <w:p w14:paraId="68B599EB" w14:textId="1AE8E86B" w:rsidR="00E41AA8" w:rsidRPr="00E41AA8" w:rsidRDefault="00E41AA8" w:rsidP="00E41AA8">
      <w:pPr>
        <w:rPr>
          <w:lang w:val="it" w:eastAsia="it-IT"/>
        </w:rPr>
      </w:pPr>
      <w:r w:rsidRPr="00E41AA8">
        <w:rPr>
          <w:lang w:val="it" w:eastAsia="it-IT"/>
        </w:rPr>
        <w:t xml:space="preserve">Il richiamato Considerando (15) riporta come esempi di interazione indiretta, </w:t>
      </w:r>
      <w:r w:rsidRPr="00E41AA8">
        <w:rPr>
          <w:rFonts w:cstheme="minorHAnsi"/>
          <w:lang w:val="it" w:eastAsia="it-IT"/>
        </w:rPr>
        <w:t>«</w:t>
      </w:r>
      <w:r w:rsidRPr="00E41AA8">
        <w:rPr>
          <w:i/>
          <w:iCs/>
          <w:lang w:val="it" w:eastAsia="it-IT"/>
        </w:rPr>
        <w:t>i dati relativi all’ambiente o alle interazioni del prodotto connesso</w:t>
      </w:r>
      <w:r w:rsidR="005271A2">
        <w:rPr>
          <w:i/>
          <w:iCs/>
          <w:lang w:val="it" w:eastAsia="it-IT"/>
        </w:rPr>
        <w:t xml:space="preserve"> (…)</w:t>
      </w:r>
      <w:r w:rsidRPr="00E41AA8">
        <w:rPr>
          <w:i/>
          <w:iCs/>
          <w:lang w:val="it" w:eastAsia="it-IT"/>
        </w:rPr>
        <w:t xml:space="preserve"> dati generati automaticamente da sensori e i dati registrati da applicazioni incorporate, incluse le applicazioni indicanti lo stato dell’hardware e i malfunzionamenti</w:t>
      </w:r>
      <w:r w:rsidR="005527DA">
        <w:rPr>
          <w:i/>
          <w:iCs/>
          <w:lang w:val="it" w:eastAsia="it-IT"/>
        </w:rPr>
        <w:t xml:space="preserve"> (…)</w:t>
      </w:r>
      <w:r w:rsidRPr="00E41AA8">
        <w:rPr>
          <w:i/>
          <w:iCs/>
          <w:lang w:val="it" w:eastAsia="it-IT"/>
        </w:rPr>
        <w:t xml:space="preserve"> dati generati dal prodotto connesso o dal servizio correlato durante i periodi di inattività dell’utente</w:t>
      </w:r>
      <w:r w:rsidR="00915A0D">
        <w:rPr>
          <w:i/>
          <w:iCs/>
          <w:lang w:val="it" w:eastAsia="it-IT"/>
        </w:rPr>
        <w:t xml:space="preserve"> (…)</w:t>
      </w:r>
      <w:r w:rsidRPr="00E41AA8">
        <w:rPr>
          <w:i/>
          <w:iCs/>
          <w:lang w:val="it" w:eastAsia="it-IT"/>
        </w:rPr>
        <w:t>; i metadati e quelli pretrattati al fine di renderli comprensibili e utilizzabili</w:t>
      </w:r>
      <w:r w:rsidRPr="00E41AA8">
        <w:rPr>
          <w:rFonts w:cstheme="minorHAnsi"/>
          <w:lang w:val="it" w:eastAsia="it-IT"/>
        </w:rPr>
        <w:t>»</w:t>
      </w:r>
      <w:r w:rsidRPr="00E41AA8">
        <w:rPr>
          <w:lang w:val="it" w:eastAsia="it-IT"/>
        </w:rPr>
        <w:t xml:space="preserve"> escludendo, però, le informazioni dedotte o ricavate da tali dati.</w:t>
      </w:r>
    </w:p>
    <w:p w14:paraId="19DEB9B2" w14:textId="77777777" w:rsidR="00E41AA8" w:rsidRPr="00E41AA8" w:rsidRDefault="00E41AA8" w:rsidP="007504F7">
      <w:pPr>
        <w:pStyle w:val="Heading2"/>
        <w:rPr>
          <w:rFonts w:eastAsia="Arial"/>
          <w:lang w:val="it" w:eastAsia="it-IT"/>
        </w:rPr>
      </w:pPr>
      <w:r w:rsidRPr="00E41AA8">
        <w:rPr>
          <w:rFonts w:eastAsia="Arial"/>
          <w:lang w:val="it" w:eastAsia="it-IT"/>
        </w:rPr>
        <w:t>Prodotti connessi</w:t>
      </w:r>
    </w:p>
    <w:p w14:paraId="108695AB" w14:textId="77777777" w:rsidR="00E41AA8" w:rsidRPr="00E41AA8" w:rsidRDefault="00E41AA8" w:rsidP="00E41AA8">
      <w:pPr>
        <w:rPr>
          <w:lang w:val="it" w:eastAsia="it-IT"/>
        </w:rPr>
      </w:pPr>
      <w:r w:rsidRPr="004C31F5">
        <w:rPr>
          <w:highlight w:val="yellow"/>
          <w:lang w:val="it" w:eastAsia="it-IT"/>
        </w:rPr>
        <w:t xml:space="preserve">Per il Data act è da intendersi come “prodotto connesso” </w:t>
      </w:r>
      <w:r w:rsidRPr="004C31F5">
        <w:rPr>
          <w:rFonts w:cstheme="minorHAnsi"/>
          <w:highlight w:val="yellow"/>
          <w:lang w:val="it" w:eastAsia="it-IT"/>
        </w:rPr>
        <w:t>«</w:t>
      </w:r>
      <w:r w:rsidRPr="004C31F5">
        <w:rPr>
          <w:rFonts w:cstheme="minorHAnsi"/>
          <w:i/>
          <w:iCs/>
          <w:highlight w:val="yellow"/>
          <w:lang w:val="it" w:eastAsia="it-IT"/>
        </w:rPr>
        <w:t>un bene che ottiene, genera o raccoglie dati relativi al suo utilizzo o al suo ambiente e che è in grado di comunicare dati del prodotto</w:t>
      </w:r>
      <w:r w:rsidRPr="004C31F5">
        <w:rPr>
          <w:rFonts w:cstheme="minorHAnsi"/>
          <w:highlight w:val="yellow"/>
          <w:lang w:val="it" w:eastAsia="it-IT"/>
        </w:rPr>
        <w:t>» (art. 2, 5)).</w:t>
      </w:r>
    </w:p>
    <w:p w14:paraId="162876D9" w14:textId="77777777" w:rsidR="00E41AA8" w:rsidRPr="00E41AA8" w:rsidRDefault="00E41AA8" w:rsidP="007504F7">
      <w:pPr>
        <w:pStyle w:val="Heading2"/>
        <w:rPr>
          <w:rFonts w:eastAsia="Arial"/>
          <w:lang w:val="it" w:eastAsia="it-IT"/>
        </w:rPr>
      </w:pPr>
      <w:r w:rsidRPr="00E41AA8">
        <w:rPr>
          <w:rFonts w:eastAsia="Arial"/>
          <w:lang w:val="it" w:eastAsia="it-IT"/>
        </w:rPr>
        <w:t>Servizio correlato</w:t>
      </w:r>
    </w:p>
    <w:p w14:paraId="29641F60" w14:textId="266F2732" w:rsidR="00E41AA8" w:rsidRPr="00E41AA8" w:rsidRDefault="004C31F5" w:rsidP="00E41AA8">
      <w:pPr>
        <w:rPr>
          <w:lang w:val="it" w:eastAsia="it-IT"/>
        </w:rPr>
      </w:pPr>
      <w:r>
        <w:rPr>
          <w:lang w:val="it" w:eastAsia="it-IT"/>
        </w:rPr>
        <w:t>I dati del Data act</w:t>
      </w:r>
      <w:r w:rsidR="00E41AA8" w:rsidRPr="00E41AA8">
        <w:rPr>
          <w:lang w:val="it" w:eastAsia="it-IT"/>
        </w:rPr>
        <w:t xml:space="preserve"> riguardano sia quelli del prodotto che quelli del “servizio correlato” che, in base alla progettazione del prodotto o servizio possano essere </w:t>
      </w:r>
      <w:r w:rsidR="00881078">
        <w:rPr>
          <w:lang w:val="it" w:eastAsia="it-IT"/>
        </w:rPr>
        <w:t>messi a disposizione</w:t>
      </w:r>
      <w:r w:rsidR="00E41AA8" w:rsidRPr="00E41AA8">
        <w:rPr>
          <w:lang w:val="it" w:eastAsia="it-IT"/>
        </w:rPr>
        <w:t xml:space="preserve">. </w:t>
      </w:r>
    </w:p>
    <w:p w14:paraId="011476BA" w14:textId="77777777" w:rsidR="00E41AA8" w:rsidRPr="00E41AA8" w:rsidRDefault="00E41AA8" w:rsidP="00E41AA8">
      <w:pPr>
        <w:rPr>
          <w:lang w:val="it" w:eastAsia="it-IT"/>
        </w:rPr>
      </w:pPr>
      <w:r w:rsidRPr="00E41AA8">
        <w:rPr>
          <w:lang w:val="it" w:eastAsia="it-IT"/>
        </w:rPr>
        <w:lastRenderedPageBreak/>
        <w:t>Per “</w:t>
      </w:r>
      <w:r w:rsidRPr="00E41AA8">
        <w:rPr>
          <w:b/>
          <w:bCs/>
          <w:lang w:val="it" w:eastAsia="it-IT"/>
        </w:rPr>
        <w:t>servizio correlato</w:t>
      </w:r>
      <w:r w:rsidRPr="00E41AA8">
        <w:rPr>
          <w:lang w:val="it" w:eastAsia="it-IT"/>
        </w:rPr>
        <w:t xml:space="preserve">” – secondo la definizione dell’art. 2, 6) – si intende </w:t>
      </w:r>
      <w:r w:rsidRPr="00E41AA8">
        <w:rPr>
          <w:rFonts w:cstheme="minorHAnsi"/>
          <w:lang w:val="it" w:eastAsia="it-IT"/>
        </w:rPr>
        <w:t>«</w:t>
      </w:r>
      <w:r w:rsidRPr="00881078">
        <w:rPr>
          <w:rFonts w:cstheme="minorHAnsi"/>
          <w:i/>
          <w:iCs/>
          <w:lang w:val="it" w:eastAsia="it-IT"/>
        </w:rPr>
        <w:t>un servizio digitale diverso da un servizio di comunicazione elettronica, anche software, connesso con il prodotto al momento</w:t>
      </w:r>
      <w:r w:rsidRPr="00E41AA8">
        <w:rPr>
          <w:rFonts w:cstheme="minorHAnsi"/>
          <w:lang w:val="it" w:eastAsia="it-IT"/>
        </w:rPr>
        <w:t>» della fornitura o successivamente e che serve per il suo funzionamento o al fine di «</w:t>
      </w:r>
      <w:r w:rsidRPr="00881078">
        <w:rPr>
          <w:rFonts w:cstheme="minorHAnsi"/>
          <w:i/>
          <w:iCs/>
          <w:lang w:val="it" w:eastAsia="it-IT"/>
        </w:rPr>
        <w:t>ampliare, aggiornare o adattare le funzioni del prodotto</w:t>
      </w:r>
      <w:r w:rsidRPr="00E41AA8">
        <w:rPr>
          <w:rFonts w:cstheme="minorHAnsi"/>
          <w:lang w:val="it" w:eastAsia="it-IT"/>
        </w:rPr>
        <w:t>».</w:t>
      </w:r>
    </w:p>
    <w:p w14:paraId="091B70AD" w14:textId="77777777" w:rsidR="00E41AA8" w:rsidRPr="00E41AA8" w:rsidRDefault="00E41AA8" w:rsidP="00E41AA8">
      <w:r w:rsidRPr="00E41AA8">
        <w:t xml:space="preserve">Il legislatore parte dalla considerazione che attualmente i dati generati dall’interazione dell’utente con i prodotti o servizi correlati del contesto IoT sollevano un problema di correttezza ed equità: difatti, allo stato, sono i produttori di prodotti connessi o i fornitori dei relativi servizi a decidere unilateralmente sul destino dei dati generati dagli stessi. </w:t>
      </w:r>
    </w:p>
    <w:p w14:paraId="7CBE4BAD" w14:textId="063C47FE" w:rsidR="00E41AA8" w:rsidRPr="00E41AA8" w:rsidRDefault="00E41AA8" w:rsidP="00E41AA8">
      <w:r w:rsidRPr="00E41AA8">
        <w:t>A tal proposito, il Data Act sostiene che analoga prerogativa deve essere riconosciuta all’utente di tali prodotti o servizi in quanto originatore dei dati, sia esso persona fisica</w:t>
      </w:r>
      <w:r w:rsidR="00362A89">
        <w:t>,</w:t>
      </w:r>
      <w:r w:rsidRPr="00E41AA8">
        <w:t xml:space="preserve"> impresa</w:t>
      </w:r>
      <w:r w:rsidR="00362A89">
        <w:t xml:space="preserve"> o </w:t>
      </w:r>
      <w:r w:rsidR="00881078">
        <w:t>soggetto</w:t>
      </w:r>
      <w:r w:rsidR="00362A89">
        <w:t xml:space="preserve"> pubblico</w:t>
      </w:r>
      <w:r w:rsidRPr="00E41AA8">
        <w:t>.</w:t>
      </w:r>
    </w:p>
    <w:p w14:paraId="2B6A2558" w14:textId="77777777" w:rsidR="00E41AA8" w:rsidRPr="00E41AA8" w:rsidRDefault="00E41AA8" w:rsidP="006F4D88">
      <w:pPr>
        <w:pStyle w:val="Heading1"/>
        <w:rPr>
          <w:rFonts w:eastAsia="Arial"/>
          <w:lang w:val="it" w:eastAsia="it-IT"/>
        </w:rPr>
      </w:pPr>
      <w:bookmarkStart w:id="2" w:name="_Toc155698289"/>
      <w:r w:rsidRPr="00E41AA8">
        <w:rPr>
          <w:rFonts w:eastAsia="Arial"/>
          <w:lang w:val="it" w:eastAsia="it-IT"/>
        </w:rPr>
        <w:t>Diritto dell’utente all’uso dei dati IoT</w:t>
      </w:r>
      <w:bookmarkEnd w:id="2"/>
    </w:p>
    <w:p w14:paraId="22277C02" w14:textId="66AF68CD" w:rsidR="00E41AA8" w:rsidRPr="00E41AA8" w:rsidRDefault="00E41AA8" w:rsidP="00E41AA8">
      <w:r w:rsidRPr="00E41AA8">
        <w:t>Il Data act riconosce il diritto dell’utente - persona fisica o giuridica che possiede o ha diritto di utilizzare il prodotto connesso o che riceve un servizio correlato - di avvalersi liberamente dei dati generati da prodotti connessi o servizi correlati che esso utilizza.</w:t>
      </w:r>
      <w:r w:rsidR="007C3FC0">
        <w:t xml:space="preserve"> Questo diritto dell’utente n</w:t>
      </w:r>
      <w:r w:rsidR="00CF5BE3">
        <w:t>on modifica né pregiudica i diritti GDPR degli interessati</w:t>
      </w:r>
      <w:r w:rsidR="009220F7">
        <w:t xml:space="preserve"> che eventualmente interagissero con il prodotto connesso o il servizio correlato, riguardo ai propri dati personali</w:t>
      </w:r>
      <w:r w:rsidR="00D72778">
        <w:t>, generati dal prodotto o durante la fornitura del servizio</w:t>
      </w:r>
      <w:r w:rsidR="009220F7">
        <w:t>.</w:t>
      </w:r>
    </w:p>
    <w:p w14:paraId="253EDAFD" w14:textId="77777777" w:rsidR="000F74F6" w:rsidRPr="00E41AA8" w:rsidRDefault="000F74F6" w:rsidP="000F74F6">
      <w:r w:rsidRPr="00E41AA8">
        <w:t>Per rendere effettivo il diritto dell’utente, il Data Act impone al fornitore del prodotto connesso o del servizio correlato l’obbligo</w:t>
      </w:r>
      <w:r>
        <w:t xml:space="preserve"> di</w:t>
      </w:r>
      <w:r w:rsidRPr="00E41AA8">
        <w:t xml:space="preserve">: </w:t>
      </w:r>
    </w:p>
    <w:p w14:paraId="7763D9DF" w14:textId="3C9DC59C" w:rsidR="000F74F6" w:rsidRPr="00E41AA8" w:rsidRDefault="000F74F6" w:rsidP="000F74F6">
      <w:pPr>
        <w:numPr>
          <w:ilvl w:val="0"/>
          <w:numId w:val="6"/>
        </w:numPr>
        <w:contextualSpacing/>
      </w:pPr>
      <w:r w:rsidRPr="00AE1130">
        <w:rPr>
          <w:b/>
          <w:bCs/>
        </w:rPr>
        <w:t>Progettare</w:t>
      </w:r>
      <w:r w:rsidRPr="00E41AA8">
        <w:t xml:space="preserve"> i prodotti connessi e i servizi correlati in modo tale che i dati e i relativi metadati </w:t>
      </w:r>
      <w:r w:rsidRPr="00E41AA8">
        <w:rPr>
          <w:rFonts w:cstheme="minorHAnsi"/>
        </w:rPr>
        <w:t>«</w:t>
      </w:r>
      <w:r w:rsidRPr="00E41AA8">
        <w:rPr>
          <w:rFonts w:cstheme="minorHAnsi"/>
          <w:i/>
          <w:iCs/>
        </w:rPr>
        <w:t xml:space="preserve">siano, per impostazione predefinita, </w:t>
      </w:r>
      <w:r w:rsidRPr="00E41AA8">
        <w:rPr>
          <w:rFonts w:cstheme="minorHAnsi"/>
          <w:b/>
          <w:bCs/>
          <w:i/>
          <w:iCs/>
        </w:rPr>
        <w:t>accessibili all’utente</w:t>
      </w:r>
      <w:r w:rsidRPr="00E41AA8">
        <w:rPr>
          <w:rFonts w:cstheme="minorHAnsi"/>
          <w:i/>
          <w:iCs/>
        </w:rPr>
        <w:t xml:space="preserve"> in modo facile, sicuro, gratuito, in un formato completo, strutturato, di uso comune e leggibile da dispositivo automatico e, ove pertinente e tecnicamente possibile, in modo diretto</w:t>
      </w:r>
      <w:r w:rsidRPr="00E41AA8">
        <w:rPr>
          <w:rFonts w:cstheme="minorHAnsi"/>
        </w:rPr>
        <w:t>» (art. 3.1, Data act, enfasi aggiunta)</w:t>
      </w:r>
      <w:r w:rsidR="008F3262">
        <w:rPr>
          <w:rFonts w:cstheme="minorHAnsi"/>
        </w:rPr>
        <w:t xml:space="preserve">; ad esempio, tramite </w:t>
      </w:r>
      <w:r w:rsidR="00896A88">
        <w:rPr>
          <w:rFonts w:cstheme="minorHAnsi"/>
        </w:rPr>
        <w:t>un account utente o un’applicazione mobile complementare fornita con il pro</w:t>
      </w:r>
      <w:r w:rsidR="00576305">
        <w:rPr>
          <w:rFonts w:cstheme="minorHAnsi"/>
        </w:rPr>
        <w:t>dotto o servizio</w:t>
      </w:r>
    </w:p>
    <w:p w14:paraId="4CAA4888" w14:textId="3A9A3A92" w:rsidR="000F74F6" w:rsidRPr="00E41AA8" w:rsidRDefault="000F74F6" w:rsidP="000F74F6">
      <w:pPr>
        <w:numPr>
          <w:ilvl w:val="0"/>
          <w:numId w:val="6"/>
        </w:numPr>
        <w:contextualSpacing/>
      </w:pPr>
      <w:r w:rsidRPr="001236D3">
        <w:rPr>
          <w:b/>
          <w:bCs/>
        </w:rPr>
        <w:t>Rilasciare</w:t>
      </w:r>
      <w:r w:rsidRPr="00E41AA8">
        <w:t xml:space="preserve"> specifiche </w:t>
      </w:r>
      <w:r w:rsidRPr="00E41AA8">
        <w:rPr>
          <w:b/>
          <w:bCs/>
        </w:rPr>
        <w:t>informazioni all’utente</w:t>
      </w:r>
      <w:r w:rsidRPr="00E41AA8">
        <w:t xml:space="preserve"> prima della conclusione del contratto (art. 3.2 e 3, Data act)</w:t>
      </w:r>
      <w:r w:rsidR="00132202">
        <w:t xml:space="preserve"> </w:t>
      </w:r>
      <w:r w:rsidR="00CB3758">
        <w:t>le quali, eventualmente, si aggiungono agli obblighi informativi previsti dal GDPR in caso di dati personali</w:t>
      </w:r>
    </w:p>
    <w:p w14:paraId="3BAD6173" w14:textId="0B5D04FF" w:rsidR="000F74F6" w:rsidRPr="00E41AA8" w:rsidRDefault="000F74F6" w:rsidP="000F74F6">
      <w:pPr>
        <w:numPr>
          <w:ilvl w:val="0"/>
          <w:numId w:val="6"/>
        </w:numPr>
        <w:contextualSpacing/>
      </w:pPr>
      <w:r>
        <w:rPr>
          <w:b/>
          <w:bCs/>
        </w:rPr>
        <w:t>M</w:t>
      </w:r>
      <w:r w:rsidRPr="00E41AA8">
        <w:rPr>
          <w:b/>
          <w:bCs/>
        </w:rPr>
        <w:t>ettere a disposizione</w:t>
      </w:r>
      <w:r w:rsidRPr="00E41AA8">
        <w:t xml:space="preserve"> i pertinenti dati in favore degli utenti nonché di terzi su richiesta degli utenti (art. 4, Data act)</w:t>
      </w:r>
      <w:r w:rsidR="003701D3">
        <w:t xml:space="preserve"> nel rispetto della legislazione applicabile</w:t>
      </w:r>
      <w:r w:rsidRPr="00E41AA8">
        <w:t>.</w:t>
      </w:r>
    </w:p>
    <w:p w14:paraId="5FCD26CD" w14:textId="77777777" w:rsidR="00E41AA8" w:rsidRPr="00E41AA8" w:rsidRDefault="00E41AA8" w:rsidP="00E41AA8">
      <w:r w:rsidRPr="00E41AA8">
        <w:t>A tal fine, il regolamento interviene su due fronti convergenti:</w:t>
      </w:r>
    </w:p>
    <w:p w14:paraId="5C566AA6" w14:textId="25B9EFCF" w:rsidR="00E41AA8" w:rsidRPr="00E41AA8" w:rsidRDefault="00E41AA8" w:rsidP="00E41AA8">
      <w:pPr>
        <w:numPr>
          <w:ilvl w:val="0"/>
          <w:numId w:val="3"/>
        </w:numPr>
        <w:contextualSpacing/>
      </w:pPr>
      <w:r w:rsidRPr="00E41AA8">
        <w:t xml:space="preserve">Impone a produttori dei beni e fornitori dei servizi interessati di </w:t>
      </w:r>
      <w:r w:rsidRPr="00E41AA8">
        <w:rPr>
          <w:b/>
          <w:bCs/>
        </w:rPr>
        <w:t>rilasciare tali dati all’utente che ne faccia richiesta</w:t>
      </w:r>
      <w:r w:rsidR="00A23552" w:rsidRPr="00B44314">
        <w:t xml:space="preserve">, o a terzi </w:t>
      </w:r>
      <w:r w:rsidR="00B44314" w:rsidRPr="00B44314">
        <w:t>scelti dall’utente</w:t>
      </w:r>
      <w:r w:rsidR="00490F0A">
        <w:t xml:space="preserve">, </w:t>
      </w:r>
      <w:r w:rsidR="005942F9">
        <w:t xml:space="preserve">utilizzabili </w:t>
      </w:r>
      <w:r w:rsidR="003F4E8E">
        <w:t>per qualsiasi finalità legittima</w:t>
      </w:r>
      <w:r w:rsidR="00B71AF2">
        <w:t xml:space="preserve">; nel caso di dati personali, </w:t>
      </w:r>
      <w:r w:rsidR="0063373A">
        <w:t xml:space="preserve">la messa a disposizione può avvenire solo </w:t>
      </w:r>
      <w:r w:rsidR="00652885">
        <w:t xml:space="preserve">previa anonimizzazione dei dati oppure </w:t>
      </w:r>
      <w:r w:rsidR="0063373A">
        <w:t xml:space="preserve">se sussiste una delle basi giuridiche previste dal </w:t>
      </w:r>
      <w:r w:rsidR="0042288A">
        <w:t>GDPR (</w:t>
      </w:r>
      <w:r w:rsidR="0042288A">
        <w:t>art. 6)</w:t>
      </w:r>
      <w:r w:rsidR="00EB359C">
        <w:t xml:space="preserve">, lo stesso vale </w:t>
      </w:r>
      <w:r w:rsidR="0042288A">
        <w:t xml:space="preserve">per il trattamento da parte dell’utente, </w:t>
      </w:r>
      <w:r w:rsidR="00EB359C">
        <w:t xml:space="preserve">nel caso in cui </w:t>
      </w:r>
      <w:r w:rsidR="0042288A">
        <w:t>quest’ultimo</w:t>
      </w:r>
      <w:r w:rsidR="00EB359C">
        <w:t xml:space="preserve"> non sia l’interessato</w:t>
      </w:r>
      <w:r w:rsidR="0063373A">
        <w:t xml:space="preserve"> </w:t>
      </w:r>
    </w:p>
    <w:p w14:paraId="7A465CE2" w14:textId="77777777" w:rsidR="00E41AA8" w:rsidRPr="00E41AA8" w:rsidRDefault="00E41AA8" w:rsidP="00E41AA8">
      <w:pPr>
        <w:numPr>
          <w:ilvl w:val="0"/>
          <w:numId w:val="3"/>
        </w:numPr>
        <w:contextualSpacing/>
      </w:pPr>
      <w:r w:rsidRPr="00E41AA8">
        <w:rPr>
          <w:b/>
          <w:bCs/>
        </w:rPr>
        <w:t>Sottrae la raccolta</w:t>
      </w:r>
      <w:r w:rsidRPr="00E41AA8">
        <w:t xml:space="preserve"> strutturata di tali dati (cioè, i database che li contengono) </w:t>
      </w:r>
      <w:r w:rsidRPr="00E41AA8">
        <w:rPr>
          <w:b/>
          <w:bCs/>
        </w:rPr>
        <w:t xml:space="preserve">al diritto </w:t>
      </w:r>
      <w:r w:rsidRPr="00E41AA8">
        <w:rPr>
          <w:b/>
          <w:bCs/>
          <w:i/>
          <w:iCs/>
        </w:rPr>
        <w:t>sui generis</w:t>
      </w:r>
      <w:r w:rsidRPr="00E41AA8">
        <w:t xml:space="preserve"> previsto dalla direttiva sulla tutela delle banche dati; in tal modo, il titolare della banca dati che li contiene non può vantare alcuna privativa (diritto sui generis) su tali dati.</w:t>
      </w:r>
    </w:p>
    <w:p w14:paraId="78665098" w14:textId="62ECE9E4" w:rsidR="00E41AA8" w:rsidRPr="00E41AA8" w:rsidRDefault="00E41AA8" w:rsidP="00E41AA8">
      <w:r w:rsidRPr="00E41AA8">
        <w:rPr>
          <w:b/>
          <w:bCs/>
        </w:rPr>
        <w:t>Analogamente al GDPR</w:t>
      </w:r>
      <w:r w:rsidRPr="00E41AA8">
        <w:t xml:space="preserve">, quindi, il Data act conferisce specifici diritti ma, </w:t>
      </w:r>
      <w:r w:rsidRPr="00E41AA8">
        <w:rPr>
          <w:b/>
          <w:bCs/>
        </w:rPr>
        <w:t>diversamente</w:t>
      </w:r>
      <w:r w:rsidRPr="00E41AA8">
        <w:t xml:space="preserve"> dal regolamento generale, </w:t>
      </w:r>
      <w:r w:rsidR="00266FA5">
        <w:t>il</w:t>
      </w:r>
      <w:r w:rsidRPr="00E41AA8">
        <w:t xml:space="preserve"> conferimento e riutilizzo dei dati è attribuito dal regolamento sui dati sia a persone fisiche che giuridiche (utente).</w:t>
      </w:r>
    </w:p>
    <w:p w14:paraId="0D1F22EF" w14:textId="4C5715DB" w:rsidR="00E41AA8" w:rsidRPr="00E41AA8" w:rsidRDefault="00E41AA8" w:rsidP="006F4D88">
      <w:pPr>
        <w:pStyle w:val="Heading1"/>
        <w:rPr>
          <w:rFonts w:eastAsia="Arial"/>
          <w:lang w:val="it" w:eastAsia="it-IT"/>
        </w:rPr>
      </w:pPr>
      <w:bookmarkStart w:id="3" w:name="_Toc155698290"/>
      <w:r w:rsidRPr="00E41AA8">
        <w:rPr>
          <w:rFonts w:eastAsia="Arial"/>
          <w:lang w:val="it" w:eastAsia="it-IT"/>
        </w:rPr>
        <w:t>Utilizzo dei dati da parte del titolare</w:t>
      </w:r>
      <w:bookmarkEnd w:id="3"/>
      <w:r w:rsidR="001236D3">
        <w:rPr>
          <w:rFonts w:eastAsia="Arial"/>
          <w:lang w:val="it" w:eastAsia="it-IT"/>
        </w:rPr>
        <w:t xml:space="preserve"> dei dati</w:t>
      </w:r>
    </w:p>
    <w:p w14:paraId="7E8BD11C" w14:textId="77777777" w:rsidR="00E41AA8" w:rsidRPr="00E41AA8" w:rsidRDefault="00E41AA8" w:rsidP="00E41AA8">
      <w:pPr>
        <w:rPr>
          <w:rFonts w:cstheme="minorHAnsi"/>
        </w:rPr>
      </w:pPr>
      <w:r w:rsidRPr="00E41AA8">
        <w:t>Il Data Act non conferisce alcun diritto al detentore dei dati (denominato “</w:t>
      </w:r>
      <w:r w:rsidRPr="00E41AA8">
        <w:rPr>
          <w:i/>
          <w:iCs/>
        </w:rPr>
        <w:t>titolare dei dati</w:t>
      </w:r>
      <w:r w:rsidRPr="00E41AA8">
        <w:t xml:space="preserve">”) di utilizzare i dati generati in ambito IoT, in particolare quando questi è il produttore o fornitore del servizio. Il Data act, </w:t>
      </w:r>
      <w:r w:rsidRPr="00E41AA8">
        <w:lastRenderedPageBreak/>
        <w:t xml:space="preserve">infatti, si limita a prendere atto del diritto di utilizzo dei dati riconosciuto al titolare dei dati dal </w:t>
      </w:r>
      <w:r w:rsidRPr="00E41AA8">
        <w:rPr>
          <w:rFonts w:cstheme="minorHAnsi"/>
        </w:rPr>
        <w:t>«</w:t>
      </w:r>
      <w:r w:rsidRPr="00E41AA8">
        <w:rPr>
          <w:rFonts w:cstheme="minorHAnsi"/>
          <w:i/>
          <w:iCs/>
        </w:rPr>
        <w:t>diritto applicabile dell’Unione o (d)alla legislazione nazionale adottata conformemente al diritto dell’Unione</w:t>
      </w:r>
      <w:r w:rsidRPr="00E41AA8">
        <w:rPr>
          <w:rFonts w:cstheme="minorHAnsi"/>
        </w:rPr>
        <w:t>»; cioè, da ulteriori e distinti atti normativi.</w:t>
      </w:r>
    </w:p>
    <w:p w14:paraId="54E21868" w14:textId="6B61ABE9" w:rsidR="00E41AA8" w:rsidRPr="00E41AA8" w:rsidRDefault="00E41AA8" w:rsidP="00E41AA8">
      <w:pPr>
        <w:rPr>
          <w:rFonts w:cstheme="minorHAnsi"/>
        </w:rPr>
      </w:pPr>
      <w:r w:rsidRPr="00E41AA8">
        <w:rPr>
          <w:rFonts w:cstheme="minorHAnsi"/>
        </w:rPr>
        <w:t>Il “titolare dei dati”, anch’esso persona fisica o giuridica, non va confuso con il “titolare del trattamento dei dati”, di fonte GDPR, che è la figura principalmente responsabile del</w:t>
      </w:r>
      <w:r w:rsidR="00351D69">
        <w:rPr>
          <w:rFonts w:cstheme="minorHAnsi"/>
        </w:rPr>
        <w:t>l’adempimento delle</w:t>
      </w:r>
      <w:r w:rsidRPr="00E41AA8">
        <w:rPr>
          <w:rFonts w:cstheme="minorHAnsi"/>
        </w:rPr>
        <w:t xml:space="preserve"> prescrizioni di quel regolamento.</w:t>
      </w:r>
    </w:p>
    <w:p w14:paraId="5900ACD6" w14:textId="10EF3459" w:rsidR="007504F7" w:rsidRDefault="007504F7" w:rsidP="006F4D88">
      <w:pPr>
        <w:pStyle w:val="Heading2"/>
      </w:pPr>
      <w:r>
        <w:t>Basi giuridiche per l’utilizzo dei dati</w:t>
      </w:r>
    </w:p>
    <w:p w14:paraId="00CF23BA" w14:textId="1FECC2FA" w:rsidR="00E41AA8" w:rsidRPr="00E41AA8" w:rsidRDefault="00E41AA8" w:rsidP="00E41AA8">
      <w:r w:rsidRPr="00E41AA8">
        <w:rPr>
          <w:rFonts w:cstheme="minorHAnsi"/>
        </w:rPr>
        <w:t>La legittimazione all’utilizzo dei dati oggetto del Data act differisce in base alla natura “personale” o meno degli stessi.</w:t>
      </w:r>
    </w:p>
    <w:p w14:paraId="259A5729" w14:textId="77777777" w:rsidR="00E41AA8" w:rsidRPr="00E41AA8" w:rsidRDefault="00E41AA8" w:rsidP="00E41AA8">
      <w:pPr>
        <w:numPr>
          <w:ilvl w:val="0"/>
          <w:numId w:val="8"/>
        </w:numPr>
        <w:contextualSpacing/>
      </w:pPr>
      <w:r w:rsidRPr="00E41AA8">
        <w:rPr>
          <w:b/>
          <w:bCs/>
        </w:rPr>
        <w:t>Nel caso di dati non-personali</w:t>
      </w:r>
      <w:r w:rsidRPr="00E41AA8">
        <w:t>, la base giuridica per l’uso dei dati sarà data:</w:t>
      </w:r>
    </w:p>
    <w:p w14:paraId="2D0E8967" w14:textId="4064DB8D" w:rsidR="00E41AA8" w:rsidRPr="00E41AA8" w:rsidRDefault="00E41AA8" w:rsidP="00E41AA8">
      <w:pPr>
        <w:numPr>
          <w:ilvl w:val="1"/>
          <w:numId w:val="8"/>
        </w:numPr>
        <w:contextualSpacing/>
      </w:pPr>
      <w:r w:rsidRPr="00E41AA8">
        <w:rPr>
          <w:b/>
          <w:bCs/>
        </w:rPr>
        <w:t>Per il titolare dei dati</w:t>
      </w:r>
      <w:r w:rsidRPr="00E41AA8">
        <w:t>, dal diritto che gli viene riconosciuto dal diritto UE o nazionale applicabile</w:t>
      </w:r>
      <w:r w:rsidR="00386851">
        <w:t>; se il titolare dei dati è il fabbricante</w:t>
      </w:r>
      <w:r w:rsidR="000732D9">
        <w:t xml:space="preserve">, la base giuridica </w:t>
      </w:r>
      <w:r w:rsidR="006049AB">
        <w:t xml:space="preserve">per il trattamento di dati non personali da parte del fabbricante, </w:t>
      </w:r>
      <w:r w:rsidR="000732D9">
        <w:t xml:space="preserve">sarà probabilmente il contratto stipulato tra fabbricante e </w:t>
      </w:r>
      <w:r w:rsidR="00232CCC">
        <w:t>utente</w:t>
      </w:r>
    </w:p>
    <w:p w14:paraId="21B9FAAA" w14:textId="77777777" w:rsidR="00E41AA8" w:rsidRPr="00E41AA8" w:rsidRDefault="00E41AA8" w:rsidP="00E41AA8">
      <w:pPr>
        <w:numPr>
          <w:ilvl w:val="1"/>
          <w:numId w:val="8"/>
        </w:numPr>
        <w:contextualSpacing/>
      </w:pPr>
      <w:r w:rsidRPr="00E41AA8">
        <w:rPr>
          <w:b/>
          <w:bCs/>
        </w:rPr>
        <w:t>Per l’utente</w:t>
      </w:r>
      <w:r w:rsidRPr="00E41AA8">
        <w:t>, da un eventuale contratto tra titolare dei dati e utente che, in modo trasparente, specifichi le condizioni e le finalità di tale utilizzo.</w:t>
      </w:r>
    </w:p>
    <w:p w14:paraId="76D21D77" w14:textId="44C1D4E4" w:rsidR="00E41AA8" w:rsidRPr="00E41AA8" w:rsidRDefault="00E41AA8" w:rsidP="00E41AA8">
      <w:pPr>
        <w:numPr>
          <w:ilvl w:val="0"/>
          <w:numId w:val="8"/>
        </w:numPr>
        <w:contextualSpacing/>
      </w:pPr>
      <w:r w:rsidRPr="00E41AA8">
        <w:rPr>
          <w:b/>
          <w:bCs/>
        </w:rPr>
        <w:t>Nell’ipotesi di dati personali</w:t>
      </w:r>
      <w:r w:rsidRPr="00E41AA8">
        <w:t xml:space="preserve">, invece, </w:t>
      </w:r>
      <w:r w:rsidR="003523D9">
        <w:t>l’utilizzo degli stessi non può prescindere</w:t>
      </w:r>
      <w:r w:rsidR="00987D06">
        <w:t xml:space="preserve"> dal </w:t>
      </w:r>
      <w:r w:rsidR="00987D06">
        <w:rPr>
          <w:rFonts w:cstheme="minorHAnsi"/>
        </w:rPr>
        <w:t>«</w:t>
      </w:r>
      <w:r w:rsidR="00987D06" w:rsidRPr="00B32C36">
        <w:rPr>
          <w:i/>
          <w:iCs/>
        </w:rPr>
        <w:t xml:space="preserve">requisito </w:t>
      </w:r>
      <w:r w:rsidR="004A7E31" w:rsidRPr="00B32C36">
        <w:rPr>
          <w:i/>
          <w:iCs/>
        </w:rPr>
        <w:t>di una valida</w:t>
      </w:r>
      <w:r w:rsidR="003523D9" w:rsidRPr="00B32C36">
        <w:rPr>
          <w:i/>
          <w:iCs/>
        </w:rPr>
        <w:t xml:space="preserve"> base giuridica </w:t>
      </w:r>
      <w:r w:rsidR="00BA4C1D" w:rsidRPr="00B32C36">
        <w:rPr>
          <w:i/>
          <w:iCs/>
        </w:rPr>
        <w:t>del trattamento</w:t>
      </w:r>
      <w:r w:rsidR="00BA4C1D">
        <w:rPr>
          <w:rFonts w:cstheme="minorHAnsi"/>
        </w:rPr>
        <w:t>»</w:t>
      </w:r>
      <w:r w:rsidR="00BA4C1D">
        <w:t xml:space="preserve"> ai sensi degli articoli 6 e, se del caso, </w:t>
      </w:r>
      <w:r w:rsidR="008F7789">
        <w:t>delle condizioni dell’articolo 9 del GDPR; pertanto, se</w:t>
      </w:r>
      <w:r w:rsidR="00D313E4">
        <w:t xml:space="preserve"> titolare del trattamento è:</w:t>
      </w:r>
    </w:p>
    <w:p w14:paraId="75C14E48" w14:textId="38709F4B" w:rsidR="00E41AA8" w:rsidRPr="00E41AA8" w:rsidRDefault="00E41AA8" w:rsidP="00E41AA8">
      <w:pPr>
        <w:numPr>
          <w:ilvl w:val="1"/>
          <w:numId w:val="8"/>
        </w:numPr>
        <w:contextualSpacing/>
      </w:pPr>
      <w:r w:rsidRPr="00E41AA8">
        <w:rPr>
          <w:b/>
          <w:bCs/>
        </w:rPr>
        <w:t>il titolare dei dati</w:t>
      </w:r>
      <w:r w:rsidR="00D313E4">
        <w:rPr>
          <w:b/>
          <w:bCs/>
        </w:rPr>
        <w:t>,</w:t>
      </w:r>
      <w:r w:rsidRPr="00E41AA8">
        <w:rPr>
          <w:b/>
          <w:bCs/>
        </w:rPr>
        <w:t xml:space="preserve"> </w:t>
      </w:r>
      <w:r w:rsidRPr="00E41AA8">
        <w:t xml:space="preserve">la base giuridica </w:t>
      </w:r>
      <w:r w:rsidR="00887E99">
        <w:t>sarà,</w:t>
      </w:r>
      <w:r w:rsidRPr="00E41AA8">
        <w:t xml:space="preserve"> generalmente, il consenso o la necessità di eseguire un contratto di cui è parte l’interessato. </w:t>
      </w:r>
    </w:p>
    <w:p w14:paraId="45DEA6CD" w14:textId="07148DF3" w:rsidR="00CA3081" w:rsidRDefault="00F15507" w:rsidP="00E41AA8">
      <w:pPr>
        <w:numPr>
          <w:ilvl w:val="1"/>
          <w:numId w:val="8"/>
        </w:numPr>
        <w:contextualSpacing/>
      </w:pPr>
      <w:r w:rsidRPr="00E41AA8">
        <w:rPr>
          <w:b/>
          <w:bCs/>
        </w:rPr>
        <w:t>l’utente</w:t>
      </w:r>
      <w:r w:rsidR="00B32C36">
        <w:rPr>
          <w:b/>
          <w:bCs/>
        </w:rPr>
        <w:t>,</w:t>
      </w:r>
      <w:r w:rsidR="00E41AA8" w:rsidRPr="00E41AA8">
        <w:t xml:space="preserve"> </w:t>
      </w:r>
      <w:r w:rsidR="00CA3081">
        <w:t xml:space="preserve">dovrà essere individuata una delle basi giuridiche dell’art. 6 </w:t>
      </w:r>
      <w:r w:rsidR="00331B88">
        <w:t>o</w:t>
      </w:r>
      <w:r w:rsidR="00FD75B4">
        <w:t>, se pertinente,</w:t>
      </w:r>
      <w:r w:rsidR="00331B88">
        <w:t xml:space="preserve"> delle condizioni dell’art. 9</w:t>
      </w:r>
      <w:r w:rsidR="00FD75B4">
        <w:t xml:space="preserve">, </w:t>
      </w:r>
      <w:r w:rsidR="00CA3081">
        <w:t>del GDPR</w:t>
      </w:r>
      <w:r w:rsidR="00FD75B4">
        <w:t xml:space="preserve"> e </w:t>
      </w:r>
      <w:r w:rsidR="00131BB4">
        <w:t>de</w:t>
      </w:r>
      <w:r w:rsidR="00FD75B4">
        <w:t>ll’articolo 5.3 della direttiva ePrivacy</w:t>
      </w:r>
      <w:r w:rsidR="00CA3081">
        <w:t>.</w:t>
      </w:r>
      <w:r w:rsidR="00E41AA8" w:rsidRPr="00E41AA8">
        <w:t xml:space="preserve"> </w:t>
      </w:r>
    </w:p>
    <w:p w14:paraId="13E525E8" w14:textId="4E1F3DBA" w:rsidR="00E41AA8" w:rsidRDefault="00CA3081" w:rsidP="00CA3081">
      <w:pPr>
        <w:contextualSpacing/>
      </w:pPr>
      <w:r>
        <w:t>I</w:t>
      </w:r>
      <w:r w:rsidR="00E41AA8" w:rsidRPr="00E41AA8">
        <w:t xml:space="preserve">noltre, </w:t>
      </w:r>
      <w:r w:rsidR="00E41AA8" w:rsidRPr="00E41AA8">
        <w:rPr>
          <w:b/>
          <w:bCs/>
        </w:rPr>
        <w:t>titolare dei dati e utente possono essere contitolari</w:t>
      </w:r>
      <w:r w:rsidR="00E41AA8" w:rsidRPr="00E41AA8">
        <w:t xml:space="preserve">, </w:t>
      </w:r>
      <w:r w:rsidR="00FD75B4">
        <w:t xml:space="preserve">in tale evenienza, </w:t>
      </w:r>
      <w:r w:rsidR="00E41AA8" w:rsidRPr="00E41AA8">
        <w:t>entrambi dovranno rispettare le prescrizioni previste dal GDPR e regolare contrattualmente le rispettive responsabilità al riguardo (art. 26, GDPR).</w:t>
      </w:r>
    </w:p>
    <w:p w14:paraId="185FD2A2" w14:textId="12F2E8FB" w:rsidR="00F74772" w:rsidRPr="00E41AA8" w:rsidRDefault="00F62D2E" w:rsidP="00CA3081">
      <w:pPr>
        <w:contextualSpacing/>
      </w:pPr>
      <w:r>
        <w:t xml:space="preserve">Il Data act precisa </w:t>
      </w:r>
      <w:r w:rsidR="007D7A94">
        <w:t xml:space="preserve">che esso </w:t>
      </w:r>
      <w:r w:rsidR="00A7369A">
        <w:rPr>
          <w:rFonts w:cstheme="minorHAnsi"/>
        </w:rPr>
        <w:t>«</w:t>
      </w:r>
      <w:r w:rsidR="00A7369A" w:rsidRPr="009D3621">
        <w:rPr>
          <w:rFonts w:cstheme="minorHAnsi"/>
          <w:i/>
          <w:iCs/>
        </w:rPr>
        <w:t>non costituisce una base giuridica per la raccolta o la generazione di dati personali da parte del titolare dei dati</w:t>
      </w:r>
      <w:r w:rsidR="00A7369A">
        <w:rPr>
          <w:rFonts w:cstheme="minorHAnsi"/>
        </w:rPr>
        <w:t xml:space="preserve">», nel senso che il titolare dei dati, in qualità di titolare del trattamento, non può </w:t>
      </w:r>
      <w:r w:rsidR="00861F7C">
        <w:rPr>
          <w:rFonts w:cstheme="minorHAnsi"/>
        </w:rPr>
        <w:t>fondare</w:t>
      </w:r>
      <w:r w:rsidR="00A7369A">
        <w:rPr>
          <w:rFonts w:cstheme="minorHAnsi"/>
        </w:rPr>
        <w:t xml:space="preserve"> </w:t>
      </w:r>
      <w:r w:rsidR="00AE7562">
        <w:rPr>
          <w:rFonts w:cstheme="minorHAnsi"/>
        </w:rPr>
        <w:t xml:space="preserve">giuridicamente </w:t>
      </w:r>
      <w:r w:rsidR="00861F7C">
        <w:rPr>
          <w:rFonts w:cstheme="minorHAnsi"/>
        </w:rPr>
        <w:t>la liceità de</w:t>
      </w:r>
      <w:r w:rsidR="00AE7562">
        <w:rPr>
          <w:rFonts w:cstheme="minorHAnsi"/>
        </w:rPr>
        <w:t xml:space="preserve">l trattamento che intende effettuare </w:t>
      </w:r>
      <w:r w:rsidR="00861F7C">
        <w:rPr>
          <w:rFonts w:cstheme="minorHAnsi"/>
        </w:rPr>
        <w:t xml:space="preserve">sulla base del fatto che </w:t>
      </w:r>
      <w:r w:rsidR="009D3621">
        <w:rPr>
          <w:rFonts w:cstheme="minorHAnsi"/>
        </w:rPr>
        <w:t>tale attività</w:t>
      </w:r>
      <w:r w:rsidR="00861F7C">
        <w:rPr>
          <w:rFonts w:cstheme="minorHAnsi"/>
        </w:rPr>
        <w:t xml:space="preserve"> sia previst</w:t>
      </w:r>
      <w:r w:rsidR="009D3621">
        <w:rPr>
          <w:rFonts w:cstheme="minorHAnsi"/>
        </w:rPr>
        <w:t>a</w:t>
      </w:r>
      <w:r w:rsidR="00861F7C">
        <w:rPr>
          <w:rFonts w:cstheme="minorHAnsi"/>
        </w:rPr>
        <w:t xml:space="preserve"> </w:t>
      </w:r>
      <w:r w:rsidR="009D3621">
        <w:rPr>
          <w:rFonts w:cstheme="minorHAnsi"/>
        </w:rPr>
        <w:t>dal Data act.</w:t>
      </w:r>
    </w:p>
    <w:p w14:paraId="58EBF199" w14:textId="77777777" w:rsidR="00E41AA8" w:rsidRPr="00E41AA8" w:rsidRDefault="00E41AA8" w:rsidP="006F4D88">
      <w:pPr>
        <w:pStyle w:val="Heading1"/>
        <w:rPr>
          <w:rFonts w:eastAsia="Arial"/>
          <w:lang w:val="it" w:eastAsia="it-IT"/>
        </w:rPr>
      </w:pPr>
      <w:bookmarkStart w:id="4" w:name="_Toc155698291"/>
      <w:r w:rsidRPr="00E41AA8">
        <w:rPr>
          <w:rFonts w:eastAsia="Arial"/>
          <w:lang w:val="it" w:eastAsia="it-IT"/>
        </w:rPr>
        <w:t>Obiettivi del Data Act</w:t>
      </w:r>
      <w:bookmarkEnd w:id="4"/>
    </w:p>
    <w:p w14:paraId="6EA05CE3" w14:textId="77777777" w:rsidR="00E41AA8" w:rsidRPr="00E41AA8" w:rsidRDefault="00E41AA8" w:rsidP="00E41AA8">
      <w:r w:rsidRPr="00E41AA8">
        <w:t>Il Data Act persegue i seguenti obiettivi:</w:t>
      </w:r>
    </w:p>
    <w:p w14:paraId="1918564C" w14:textId="77777777" w:rsidR="00E41AA8" w:rsidRPr="00E41AA8" w:rsidRDefault="00E41AA8" w:rsidP="00E41AA8">
      <w:pPr>
        <w:numPr>
          <w:ilvl w:val="0"/>
          <w:numId w:val="2"/>
        </w:numPr>
        <w:contextualSpacing/>
      </w:pPr>
      <w:r w:rsidRPr="00E41AA8">
        <w:t xml:space="preserve">Riconoscere il </w:t>
      </w:r>
      <w:r w:rsidRPr="00E41AA8">
        <w:rPr>
          <w:b/>
          <w:bCs/>
        </w:rPr>
        <w:t>diritto dell’utente all’accesso e all’uso dei dati generati</w:t>
      </w:r>
      <w:r w:rsidRPr="00E41AA8">
        <w:t xml:space="preserve"> dall’interazione con prodotti connessi e servizi correlati (capo II)</w:t>
      </w:r>
    </w:p>
    <w:p w14:paraId="55B34F64" w14:textId="77777777" w:rsidR="00E41AA8" w:rsidRPr="00E41AA8" w:rsidRDefault="00E41AA8" w:rsidP="00E41AA8">
      <w:pPr>
        <w:numPr>
          <w:ilvl w:val="0"/>
          <w:numId w:val="2"/>
        </w:numPr>
        <w:contextualSpacing/>
      </w:pPr>
      <w:r w:rsidRPr="00E41AA8">
        <w:t xml:space="preserve">Riconoscere il </w:t>
      </w:r>
      <w:r w:rsidRPr="00E41AA8">
        <w:rPr>
          <w:b/>
          <w:bCs/>
        </w:rPr>
        <w:t>diritto degli enti pubblici di richiedere e utilizzare dati detenuti da privati in alcune situazioni eccezionali</w:t>
      </w:r>
      <w:r w:rsidRPr="00E41AA8">
        <w:t xml:space="preserve"> (capo V)</w:t>
      </w:r>
    </w:p>
    <w:p w14:paraId="5AF9887E" w14:textId="77777777" w:rsidR="00E41AA8" w:rsidRPr="00E41AA8" w:rsidRDefault="00E41AA8" w:rsidP="00E41AA8">
      <w:pPr>
        <w:numPr>
          <w:ilvl w:val="0"/>
          <w:numId w:val="2"/>
        </w:numPr>
        <w:contextualSpacing/>
      </w:pPr>
      <w:r w:rsidRPr="00E41AA8">
        <w:t xml:space="preserve">Facilitare la </w:t>
      </w:r>
      <w:r w:rsidRPr="00E41AA8">
        <w:rPr>
          <w:b/>
          <w:bCs/>
        </w:rPr>
        <w:t>sostituzione di fornitori di servizi cloud e perimetrali</w:t>
      </w:r>
      <w:r w:rsidRPr="00E41AA8">
        <w:t xml:space="preserve"> (capo VI)</w:t>
      </w:r>
    </w:p>
    <w:p w14:paraId="31F62975" w14:textId="77777777" w:rsidR="00E41AA8" w:rsidRPr="00E41AA8" w:rsidRDefault="00E41AA8" w:rsidP="00E41AA8">
      <w:pPr>
        <w:numPr>
          <w:ilvl w:val="0"/>
          <w:numId w:val="2"/>
        </w:numPr>
        <w:contextualSpacing/>
      </w:pPr>
      <w:r w:rsidRPr="00E41AA8">
        <w:t xml:space="preserve">Prevedere </w:t>
      </w:r>
      <w:r w:rsidRPr="00E41AA8">
        <w:rPr>
          <w:b/>
          <w:bCs/>
        </w:rPr>
        <w:t>garanzie riguardo all’eventuale trasferimento di dati non personali oltre l’UE/SEE</w:t>
      </w:r>
      <w:r w:rsidRPr="00E41AA8">
        <w:t xml:space="preserve"> (capo VII)</w:t>
      </w:r>
    </w:p>
    <w:p w14:paraId="4BA1459F" w14:textId="77777777" w:rsidR="00E41AA8" w:rsidRPr="00E41AA8" w:rsidRDefault="00E41AA8" w:rsidP="00E41AA8">
      <w:pPr>
        <w:numPr>
          <w:ilvl w:val="0"/>
          <w:numId w:val="2"/>
        </w:numPr>
        <w:contextualSpacing/>
      </w:pPr>
      <w:r w:rsidRPr="00E41AA8">
        <w:t xml:space="preserve">Incentivare lo </w:t>
      </w:r>
      <w:r w:rsidRPr="00E41AA8">
        <w:rPr>
          <w:b/>
          <w:bCs/>
        </w:rPr>
        <w:t>sviluppo di standard di interoperabilità</w:t>
      </w:r>
      <w:r w:rsidRPr="00E41AA8">
        <w:t xml:space="preserve"> per facilitare il riuso di dati tra diversi settori (capo VIII).</w:t>
      </w:r>
    </w:p>
    <w:p w14:paraId="49D0E05C" w14:textId="77777777" w:rsidR="00E41AA8" w:rsidRDefault="00E41AA8" w:rsidP="00E41AA8"/>
    <w:p w14:paraId="04F8AF9E" w14:textId="2DCDC37A" w:rsidR="00E41AA8" w:rsidRPr="00E41AA8" w:rsidRDefault="00E41AA8" w:rsidP="00E41AA8">
      <w:r w:rsidRPr="00E41AA8">
        <w:t>L’analisi del Data act proseguirà in una prossima puntata dell’Editoriale.</w:t>
      </w:r>
    </w:p>
    <w:p w14:paraId="5376057B" w14:textId="77777777" w:rsidR="00E41AA8" w:rsidRPr="00E41AA8" w:rsidRDefault="00E41AA8" w:rsidP="00E41AA8">
      <w:r w:rsidRPr="00E41AA8">
        <w:lastRenderedPageBreak/>
        <w:t>Rosario Imperiali d’Afflitto</w:t>
      </w:r>
    </w:p>
    <w:sectPr w:rsidR="00E41AA8" w:rsidRPr="00E41AA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286AB" w14:textId="77777777" w:rsidR="00C848C1" w:rsidRDefault="00C848C1" w:rsidP="000C5549">
      <w:pPr>
        <w:spacing w:after="0" w:line="240" w:lineRule="auto"/>
      </w:pPr>
      <w:r>
        <w:separator/>
      </w:r>
    </w:p>
  </w:endnote>
  <w:endnote w:type="continuationSeparator" w:id="0">
    <w:p w14:paraId="3E6560C4" w14:textId="77777777" w:rsidR="00C848C1" w:rsidRDefault="00C848C1" w:rsidP="000C5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789F2" w14:textId="77777777" w:rsidR="000C5549" w:rsidRDefault="000C55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89203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E3389F7" w14:textId="77777777" w:rsidR="000C5549" w:rsidRDefault="000C554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A4095D5" w14:textId="77777777" w:rsidR="000C5549" w:rsidRDefault="000C55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2C12B" w14:textId="77777777" w:rsidR="000C5549" w:rsidRDefault="000C55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887BE" w14:textId="77777777" w:rsidR="00C848C1" w:rsidRDefault="00C848C1" w:rsidP="000C5549">
      <w:pPr>
        <w:spacing w:after="0" w:line="240" w:lineRule="auto"/>
      </w:pPr>
      <w:r>
        <w:separator/>
      </w:r>
    </w:p>
  </w:footnote>
  <w:footnote w:type="continuationSeparator" w:id="0">
    <w:p w14:paraId="41D70499" w14:textId="77777777" w:rsidR="00C848C1" w:rsidRDefault="00C848C1" w:rsidP="000C5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DB7E7" w14:textId="77777777" w:rsidR="000C5549" w:rsidRDefault="000C55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0F67F" w14:textId="77777777" w:rsidR="000C5549" w:rsidRDefault="000C55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5AA19" w14:textId="77777777" w:rsidR="000C5549" w:rsidRDefault="000C55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0A9A"/>
    <w:multiLevelType w:val="hybridMultilevel"/>
    <w:tmpl w:val="E6D2C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47AD0"/>
    <w:multiLevelType w:val="hybridMultilevel"/>
    <w:tmpl w:val="A2EA6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95217"/>
    <w:multiLevelType w:val="hybridMultilevel"/>
    <w:tmpl w:val="FBA6C3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9226D"/>
    <w:multiLevelType w:val="hybridMultilevel"/>
    <w:tmpl w:val="C0CE5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35128"/>
    <w:multiLevelType w:val="hybridMultilevel"/>
    <w:tmpl w:val="473C53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10B7D"/>
    <w:multiLevelType w:val="hybridMultilevel"/>
    <w:tmpl w:val="C60E7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A5177"/>
    <w:multiLevelType w:val="hybridMultilevel"/>
    <w:tmpl w:val="27A0AF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5346D"/>
    <w:multiLevelType w:val="hybridMultilevel"/>
    <w:tmpl w:val="12F6EC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938669">
    <w:abstractNumId w:val="7"/>
  </w:num>
  <w:num w:numId="2" w16cid:durableId="420179368">
    <w:abstractNumId w:val="1"/>
  </w:num>
  <w:num w:numId="3" w16cid:durableId="211113058">
    <w:abstractNumId w:val="6"/>
  </w:num>
  <w:num w:numId="4" w16cid:durableId="227806908">
    <w:abstractNumId w:val="3"/>
  </w:num>
  <w:num w:numId="5" w16cid:durableId="1756168724">
    <w:abstractNumId w:val="2"/>
  </w:num>
  <w:num w:numId="6" w16cid:durableId="1333297084">
    <w:abstractNumId w:val="4"/>
  </w:num>
  <w:num w:numId="7" w16cid:durableId="720060205">
    <w:abstractNumId w:val="5"/>
  </w:num>
  <w:num w:numId="8" w16cid:durableId="579338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A8"/>
    <w:rsid w:val="000732D9"/>
    <w:rsid w:val="00077562"/>
    <w:rsid w:val="00091EC3"/>
    <w:rsid w:val="000C5549"/>
    <w:rsid w:val="000F74F6"/>
    <w:rsid w:val="001236D3"/>
    <w:rsid w:val="00131BB4"/>
    <w:rsid w:val="00132202"/>
    <w:rsid w:val="00154C1E"/>
    <w:rsid w:val="001A16A8"/>
    <w:rsid w:val="00232CCC"/>
    <w:rsid w:val="0023319F"/>
    <w:rsid w:val="00266FA5"/>
    <w:rsid w:val="002700D5"/>
    <w:rsid w:val="00301CAC"/>
    <w:rsid w:val="00331B88"/>
    <w:rsid w:val="00351D69"/>
    <w:rsid w:val="003523D9"/>
    <w:rsid w:val="00362A89"/>
    <w:rsid w:val="003701D3"/>
    <w:rsid w:val="00386851"/>
    <w:rsid w:val="003F0BCC"/>
    <w:rsid w:val="003F4E8E"/>
    <w:rsid w:val="0042288A"/>
    <w:rsid w:val="00446B04"/>
    <w:rsid w:val="0049028F"/>
    <w:rsid w:val="00490F0A"/>
    <w:rsid w:val="004A7E31"/>
    <w:rsid w:val="004C31F5"/>
    <w:rsid w:val="005271A2"/>
    <w:rsid w:val="005527DA"/>
    <w:rsid w:val="00576305"/>
    <w:rsid w:val="005942F9"/>
    <w:rsid w:val="005A3EBF"/>
    <w:rsid w:val="005B729E"/>
    <w:rsid w:val="005D4D1E"/>
    <w:rsid w:val="006049AB"/>
    <w:rsid w:val="0063373A"/>
    <w:rsid w:val="00652885"/>
    <w:rsid w:val="006D29A1"/>
    <w:rsid w:val="006F4D88"/>
    <w:rsid w:val="00727FA1"/>
    <w:rsid w:val="007504F7"/>
    <w:rsid w:val="00785609"/>
    <w:rsid w:val="007C3FC0"/>
    <w:rsid w:val="007D7A94"/>
    <w:rsid w:val="0082071F"/>
    <w:rsid w:val="00861F7C"/>
    <w:rsid w:val="00881078"/>
    <w:rsid w:val="00887E99"/>
    <w:rsid w:val="00892F36"/>
    <w:rsid w:val="00896A88"/>
    <w:rsid w:val="008F3262"/>
    <w:rsid w:val="008F7789"/>
    <w:rsid w:val="00915A0D"/>
    <w:rsid w:val="009220F7"/>
    <w:rsid w:val="009775DB"/>
    <w:rsid w:val="00987D06"/>
    <w:rsid w:val="0099345C"/>
    <w:rsid w:val="009D3621"/>
    <w:rsid w:val="009E23B4"/>
    <w:rsid w:val="00A23552"/>
    <w:rsid w:val="00A43BDE"/>
    <w:rsid w:val="00A7369A"/>
    <w:rsid w:val="00AE1130"/>
    <w:rsid w:val="00AE7562"/>
    <w:rsid w:val="00B32C36"/>
    <w:rsid w:val="00B44314"/>
    <w:rsid w:val="00B71AF2"/>
    <w:rsid w:val="00B97CB2"/>
    <w:rsid w:val="00BA4C1D"/>
    <w:rsid w:val="00BD0A78"/>
    <w:rsid w:val="00C848C1"/>
    <w:rsid w:val="00CA3081"/>
    <w:rsid w:val="00CB3758"/>
    <w:rsid w:val="00CF5BE3"/>
    <w:rsid w:val="00D007EC"/>
    <w:rsid w:val="00D12341"/>
    <w:rsid w:val="00D313E4"/>
    <w:rsid w:val="00D44637"/>
    <w:rsid w:val="00D72778"/>
    <w:rsid w:val="00D962FF"/>
    <w:rsid w:val="00E41AA8"/>
    <w:rsid w:val="00EB359C"/>
    <w:rsid w:val="00EC51F8"/>
    <w:rsid w:val="00EF7130"/>
    <w:rsid w:val="00F15507"/>
    <w:rsid w:val="00F62D2E"/>
    <w:rsid w:val="00F74772"/>
    <w:rsid w:val="00FD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0787D"/>
  <w15:chartTrackingRefBased/>
  <w15:docId w15:val="{B519AC1F-661A-426E-AA2A-253F8F96F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4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4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54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549"/>
  </w:style>
  <w:style w:type="paragraph" w:styleId="Footer">
    <w:name w:val="footer"/>
    <w:basedOn w:val="Normal"/>
    <w:link w:val="FooterChar"/>
    <w:uiPriority w:val="99"/>
    <w:unhideWhenUsed/>
    <w:rsid w:val="000C554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549"/>
  </w:style>
  <w:style w:type="character" w:customStyle="1" w:styleId="Heading1Char">
    <w:name w:val="Heading 1 Char"/>
    <w:basedOn w:val="DefaultParagraphFont"/>
    <w:link w:val="Heading1"/>
    <w:uiPriority w:val="9"/>
    <w:rsid w:val="007504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04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eur-lex.europa.eu/legal-content/EN/TXT/?qid=1593073685620&amp;uri=CELEX%3A52020DC0066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rio\Documents\Custom%20Office%20Templates\w_pagenumbe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w_pagenumbers</Template>
  <TotalTime>108</TotalTime>
  <Pages>5</Pages>
  <Words>1775</Words>
  <Characters>10118</Characters>
  <Application>Microsoft Office Word</Application>
  <DocSecurity>0</DocSecurity>
  <Lines>84</Lines>
  <Paragraphs>23</Paragraphs>
  <ScaleCrop>false</ScaleCrop>
  <Company/>
  <LinksUpToDate>false</LinksUpToDate>
  <CharactersWithSpaces>11870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dataism</dc:creator>
  <cp:keywords/>
  <dc:description/>
  <cp:lastModifiedBy>dataism</cp:lastModifiedBy>
  <cp:revision>83</cp:revision>
  <dcterms:created xsi:type="dcterms:W3CDTF">2024-01-10T12:51:00Z</dcterms:created>
  <dcterms:modified xsi:type="dcterms:W3CDTF">2024-01-10T16:22:00Z</dcterms:modified>
</cp:coreProperties>
</file>