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body>
    <w:p w:rsidR="00D007EC" w:rsidP="003103CD" w:rsidRDefault="00D75381" w14:paraId="342E1DEC" w14:textId="663639DC">
      <w:pPr>
        <w:pStyle w:val="Title"/>
      </w:pPr>
      <w:r>
        <w:t>Adeguatezza nel GDPR</w:t>
      </w:r>
    </w:p>
    <w:p w:rsidR="00C1508C" w:rsidRDefault="00E76BFA" w14:paraId="1F4AE5B9" w14:textId="248B4C2F">
      <w:r>
        <w:t xml:space="preserve">Il termine “adeguatezza” </w:t>
      </w:r>
      <w:r w:rsidR="00EA64A0">
        <w:t>e gli altri vocaboli con la medesima radice sono presenti 1</w:t>
      </w:r>
      <w:r w:rsidR="000C3D21">
        <w:t>13</w:t>
      </w:r>
      <w:r w:rsidR="00EA64A0">
        <w:t xml:space="preserve"> volte nel testo italiano del GDPR.</w:t>
      </w:r>
      <w:r w:rsidR="00675E98">
        <w:t xml:space="preserve"> </w:t>
      </w:r>
    </w:p>
    <w:p w:rsidR="00BD4661" w:rsidRDefault="00675E98" w14:paraId="2553E028" w14:textId="77777777">
      <w:r>
        <w:t xml:space="preserve">L’adeguatezza </w:t>
      </w:r>
      <w:r w:rsidR="00C1508C">
        <w:t>è sinonimo di</w:t>
      </w:r>
      <w:r>
        <w:t xml:space="preserve"> </w:t>
      </w:r>
      <w:r w:rsidR="00C1508C">
        <w:t>“proporzionalità”</w:t>
      </w:r>
      <w:r w:rsidR="00DF7580">
        <w:t xml:space="preserve"> cioè</w:t>
      </w:r>
      <w:r>
        <w:t xml:space="preserve">, </w:t>
      </w:r>
      <w:r w:rsidR="00DF7580">
        <w:t xml:space="preserve">essere </w:t>
      </w:r>
      <w:r>
        <w:t xml:space="preserve">in giusta relazione </w:t>
      </w:r>
      <w:r w:rsidR="008213A0">
        <w:t xml:space="preserve">con l’elemento di raffronto. </w:t>
      </w:r>
    </w:p>
    <w:p w:rsidR="00E76BFA" w:rsidRDefault="00B6122D" w14:paraId="43C25757" w14:textId="6A6DFE40">
      <w:r>
        <w:t>L</w:t>
      </w:r>
      <w:r w:rsidR="0011640A">
        <w:t xml:space="preserve">’adeguatezza </w:t>
      </w:r>
      <w:r w:rsidR="00BD4661">
        <w:t xml:space="preserve">del GDPR </w:t>
      </w:r>
      <w:r w:rsidR="00F61A9B">
        <w:t xml:space="preserve">non è una </w:t>
      </w:r>
      <w:r w:rsidR="00546264">
        <w:t xml:space="preserve">caratteristica </w:t>
      </w:r>
      <w:r w:rsidR="009A78D9">
        <w:t>presente nel mondo materiale</w:t>
      </w:r>
      <w:r w:rsidR="00546264">
        <w:t xml:space="preserve"> ma </w:t>
      </w:r>
      <w:r w:rsidR="00936BDA">
        <w:t xml:space="preserve">è </w:t>
      </w:r>
      <w:r w:rsidR="00F1660E">
        <w:t>un</w:t>
      </w:r>
      <w:r w:rsidR="009B5B89">
        <w:t>a</w:t>
      </w:r>
      <w:r w:rsidR="00F1660E">
        <w:t xml:space="preserve"> </w:t>
      </w:r>
      <w:r w:rsidR="009B5B89">
        <w:t>circostanza</w:t>
      </w:r>
      <w:r w:rsidR="00F1660E">
        <w:t xml:space="preserve"> desumibile da </w:t>
      </w:r>
      <w:r w:rsidR="00691CDF">
        <w:t xml:space="preserve">una valutazione </w:t>
      </w:r>
      <w:r w:rsidR="00501EFA">
        <w:t xml:space="preserve">obiettiva </w:t>
      </w:r>
      <w:r w:rsidR="00546264">
        <w:t>di proporzionalità</w:t>
      </w:r>
      <w:r w:rsidR="00691CDF">
        <w:t xml:space="preserve"> calata nel</w:t>
      </w:r>
      <w:r w:rsidR="00546264">
        <w:t>lo specifico</w:t>
      </w:r>
      <w:r w:rsidR="00691CDF">
        <w:t xml:space="preserve"> contesto</w:t>
      </w:r>
      <w:r w:rsidR="000330DF">
        <w:t>, tenendo in considerazione determinati criteri</w:t>
      </w:r>
      <w:r w:rsidR="003102F0">
        <w:t xml:space="preserve"> [v. considerando (76)]</w:t>
      </w:r>
      <w:r w:rsidR="000330DF">
        <w:t xml:space="preserve">. </w:t>
      </w:r>
      <w:r w:rsidR="000B143C">
        <w:t xml:space="preserve">Questa valutazione </w:t>
      </w:r>
      <w:r w:rsidR="002911EE">
        <w:t xml:space="preserve">va rivisitata periodicamente e ogni volta che mutano gli elementi </w:t>
      </w:r>
      <w:r w:rsidR="00DC71A9">
        <w:t xml:space="preserve">che sono </w:t>
      </w:r>
      <w:r w:rsidR="00F37B68">
        <w:t xml:space="preserve">stati </w:t>
      </w:r>
      <w:r w:rsidR="00DC71A9">
        <w:t>a fondamento del giudizio</w:t>
      </w:r>
      <w:r w:rsidR="004710B5">
        <w:t xml:space="preserve"> (art. 24, </w:t>
      </w:r>
      <w:proofErr w:type="spellStart"/>
      <w:r w:rsidR="004710B5">
        <w:t>ult</w:t>
      </w:r>
      <w:proofErr w:type="spellEnd"/>
      <w:r w:rsidR="004710B5">
        <w:t>. frase, GDPR)</w:t>
      </w:r>
      <w:r w:rsidR="002911EE">
        <w:t>.</w:t>
      </w:r>
      <w:r w:rsidR="00691CDF">
        <w:t xml:space="preserve"> </w:t>
      </w:r>
    </w:p>
    <w:p w:rsidR="0089573C" w:rsidRDefault="00DB1E25" w14:paraId="016A6E01" w14:textId="5642F906">
      <w:r>
        <w:t xml:space="preserve">Il principio di adeguatezza, nel GDPR, è prevalentemente riferito </w:t>
      </w:r>
      <w:r w:rsidR="00CA2D3E">
        <w:t>a:</w:t>
      </w:r>
    </w:p>
    <w:p w:rsidR="00CA2D3E" w:rsidP="00CA2D3E" w:rsidRDefault="00CA2D3E" w14:paraId="6F5DF6CF" w14:textId="709E66FE">
      <w:pPr>
        <w:pStyle w:val="ListParagraph"/>
        <w:numPr>
          <w:ilvl w:val="0"/>
          <w:numId w:val="2"/>
        </w:numPr>
      </w:pPr>
      <w:r>
        <w:t xml:space="preserve">Le </w:t>
      </w:r>
      <w:r w:rsidRPr="007F3DBB">
        <w:rPr>
          <w:b/>
          <w:bCs/>
        </w:rPr>
        <w:t>misure</w:t>
      </w:r>
      <w:r>
        <w:t xml:space="preserve"> di sicurezza tecnico-organizzative</w:t>
      </w:r>
    </w:p>
    <w:p w:rsidR="00CA2D3E" w:rsidP="00CA2D3E" w:rsidRDefault="00CA2D3E" w14:paraId="04A48EF1" w14:textId="0A2271F9">
      <w:pPr>
        <w:pStyle w:val="ListParagraph"/>
        <w:numPr>
          <w:ilvl w:val="0"/>
          <w:numId w:val="2"/>
        </w:numPr>
      </w:pPr>
      <w:r>
        <w:t xml:space="preserve">Le </w:t>
      </w:r>
      <w:r w:rsidRPr="007F3DBB">
        <w:rPr>
          <w:b/>
          <w:bCs/>
        </w:rPr>
        <w:t>garanzie</w:t>
      </w:r>
      <w:r>
        <w:t xml:space="preserve"> </w:t>
      </w:r>
      <w:r w:rsidR="005D3278">
        <w:t xml:space="preserve">per la difesa dei diritti e delle libertà fondamentali </w:t>
      </w:r>
      <w:r w:rsidR="007F3DBB">
        <w:t>degli interessati.</w:t>
      </w:r>
    </w:p>
    <w:p w:rsidR="003F21A9" w:rsidP="003F21A9" w:rsidRDefault="003F21A9" w14:paraId="7CBC402F" w14:textId="49677792">
      <w:r>
        <w:rPr>
          <w:noProof/>
        </w:rPr>
        <w:drawing>
          <wp:inline distT="0" distB="0" distL="0" distR="0" wp14:anchorId="2162F6C8" wp14:editId="6B860E23">
            <wp:extent cx="6120130" cy="3442335"/>
            <wp:effectExtent l="0" t="0" r="0" b="5715"/>
            <wp:docPr id="20454969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96931" name=""/>
                    <pic:cNvPicPr/>
                  </pic:nvPicPr>
                  <pic:blipFill>
                    <a:blip r:embed="rId7">
                      <a:extLst>
                        <a:ext uri="{96DAC541-7B7A-43D3-8B79-37D633B846F1}">
                          <asvg:svgBlip xmlns:asvg="http://schemas.microsoft.com/office/drawing/2016/SVG/main" r:embed="rId8"/>
                        </a:ext>
                      </a:extLst>
                    </a:blip>
                    <a:stretch>
                      <a:fillRect/>
                    </a:stretch>
                  </pic:blipFill>
                  <pic:spPr>
                    <a:xfrm>
                      <a:off x="0" y="0"/>
                      <a:ext cx="6120130" cy="3442335"/>
                    </a:xfrm>
                    <a:prstGeom prst="rect">
                      <a:avLst/>
                    </a:prstGeom>
                  </pic:spPr>
                </pic:pic>
              </a:graphicData>
            </a:graphic>
          </wp:inline>
        </w:drawing>
      </w:r>
    </w:p>
    <w:p w:rsidR="000A219C" w:rsidP="009817E2" w:rsidRDefault="000A219C" w14:paraId="61602ADC" w14:textId="345603AA">
      <w:pPr>
        <w:pStyle w:val="Heading1"/>
      </w:pPr>
      <w:r>
        <w:t>Adeguatezza delle misure</w:t>
      </w:r>
    </w:p>
    <w:p w:rsidR="00052D85" w:rsidRDefault="00A0668D" w14:paraId="3DCF9971" w14:textId="6C330E40">
      <w:pPr>
        <w:rPr>
          <w:rFonts w:cstheme="minorHAnsi"/>
        </w:rPr>
      </w:pPr>
      <w:r>
        <w:t xml:space="preserve">In linea di principio l’adeguatezza </w:t>
      </w:r>
      <w:r w:rsidR="00DB5584">
        <w:t xml:space="preserve">incorpora un obiettivo che </w:t>
      </w:r>
      <w:r w:rsidR="008B05A2">
        <w:t>il legislatore</w:t>
      </w:r>
      <w:r w:rsidR="00DB5584">
        <w:t xml:space="preserve"> intende raggiungere</w:t>
      </w:r>
      <w:r w:rsidR="00B2782F">
        <w:t>: ad esempio, le misure di sicurezza tecnico-organizzative sono adeguate (proporzionate) al rischio</w:t>
      </w:r>
      <w:r w:rsidR="0013017F">
        <w:t>,</w:t>
      </w:r>
      <w:r w:rsidR="00B2782F">
        <w:t xml:space="preserve"> </w:t>
      </w:r>
      <w:r w:rsidR="00667B6F">
        <w:t xml:space="preserve">per conseguire una sicurezza adeguata (idonea). Il legislatore del GDPR esprime questo concetto </w:t>
      </w:r>
      <w:r w:rsidR="00D06752">
        <w:t>nella formulazione</w:t>
      </w:r>
      <w:r w:rsidR="006D1699">
        <w:t xml:space="preserve"> dell’articolo 32 quando </w:t>
      </w:r>
      <w:r w:rsidR="007453B3">
        <w:t>prescrive</w:t>
      </w:r>
      <w:r w:rsidR="00D06752">
        <w:t xml:space="preserve">: </w:t>
      </w:r>
      <w:r w:rsidR="00D06752">
        <w:rPr>
          <w:rFonts w:cstheme="minorHAnsi"/>
        </w:rPr>
        <w:t>«</w:t>
      </w:r>
      <w:r w:rsidRPr="00B41E09" w:rsidR="007453B3">
        <w:rPr>
          <w:rFonts w:cstheme="minorHAnsi"/>
          <w:i/>
          <w:iCs/>
        </w:rPr>
        <w:t xml:space="preserve">(…) </w:t>
      </w:r>
      <w:r w:rsidRPr="00B41E09" w:rsidR="005E038C">
        <w:rPr>
          <w:rFonts w:cstheme="minorHAnsi"/>
          <w:i/>
          <w:iCs/>
        </w:rPr>
        <w:t xml:space="preserve">il titolare del trattamento e il responsabile del trattamento mettono in atto misure tecniche e organizzative adeguate </w:t>
      </w:r>
      <w:proofErr w:type="gramStart"/>
      <w:r w:rsidRPr="00B41E09" w:rsidR="005E038C">
        <w:rPr>
          <w:rFonts w:cstheme="minorHAnsi"/>
          <w:i/>
          <w:iCs/>
        </w:rPr>
        <w:t>per</w:t>
      </w:r>
      <w:proofErr w:type="gramEnd"/>
      <w:r w:rsidRPr="00B41E09" w:rsidR="005E038C">
        <w:rPr>
          <w:rFonts w:cstheme="minorHAnsi"/>
          <w:i/>
          <w:iCs/>
        </w:rPr>
        <w:t xml:space="preserve"> garantire un livello di sicurezza adeguato al rischio (…)</w:t>
      </w:r>
      <w:r w:rsidR="00D06752">
        <w:rPr>
          <w:rFonts w:cstheme="minorHAnsi"/>
        </w:rPr>
        <w:t>»</w:t>
      </w:r>
      <w:r w:rsidR="005E038C">
        <w:rPr>
          <w:rFonts w:cstheme="minorHAnsi"/>
        </w:rPr>
        <w:t xml:space="preserve">. </w:t>
      </w:r>
    </w:p>
    <w:p w:rsidR="006A1CBE" w:rsidRDefault="00796D0A" w14:paraId="20E934B8" w14:textId="1E7A0C93">
      <w:pPr>
        <w:rPr>
          <w:rFonts w:cstheme="minorHAnsi"/>
        </w:rPr>
      </w:pPr>
      <w:r>
        <w:rPr>
          <w:rFonts w:cstheme="minorHAnsi"/>
        </w:rPr>
        <w:t xml:space="preserve">A prima vista, la formulazione sembrerebbe </w:t>
      </w:r>
      <w:r w:rsidR="00BC72BC">
        <w:rPr>
          <w:rFonts w:cstheme="minorHAnsi"/>
        </w:rPr>
        <w:t>ripetitiva</w:t>
      </w:r>
      <w:r w:rsidR="00140EB8">
        <w:rPr>
          <w:rFonts w:cstheme="minorHAnsi"/>
        </w:rPr>
        <w:t xml:space="preserve"> (i.e. “misure adeguate </w:t>
      </w:r>
      <w:proofErr w:type="gramStart"/>
      <w:r w:rsidR="00140EB8">
        <w:rPr>
          <w:rFonts w:cstheme="minorHAnsi"/>
        </w:rPr>
        <w:t>per</w:t>
      </w:r>
      <w:proofErr w:type="gramEnd"/>
      <w:r w:rsidR="00140EB8">
        <w:rPr>
          <w:rFonts w:cstheme="minorHAnsi"/>
        </w:rPr>
        <w:t xml:space="preserve"> una sicurezza adeguata”)</w:t>
      </w:r>
      <w:r w:rsidR="002B1115">
        <w:rPr>
          <w:rFonts w:cstheme="minorHAnsi"/>
        </w:rPr>
        <w:t>;</w:t>
      </w:r>
      <w:r w:rsidR="00BC72BC">
        <w:rPr>
          <w:rFonts w:cstheme="minorHAnsi"/>
        </w:rPr>
        <w:t xml:space="preserve"> al contrario</w:t>
      </w:r>
      <w:r w:rsidR="005D36FA">
        <w:rPr>
          <w:rFonts w:cstheme="minorHAnsi"/>
        </w:rPr>
        <w:t>, essa</w:t>
      </w:r>
      <w:r w:rsidR="00BC72BC">
        <w:rPr>
          <w:rFonts w:cstheme="minorHAnsi"/>
        </w:rPr>
        <w:t xml:space="preserve"> intende esprimere un </w:t>
      </w:r>
      <w:r w:rsidR="005D36FA">
        <w:rPr>
          <w:rFonts w:cstheme="minorHAnsi"/>
        </w:rPr>
        <w:t>preciso</w:t>
      </w:r>
      <w:r w:rsidR="00BC72BC">
        <w:rPr>
          <w:rFonts w:cstheme="minorHAnsi"/>
        </w:rPr>
        <w:t xml:space="preserve"> concetto: le misure di sicurezza </w:t>
      </w:r>
      <w:r w:rsidR="007E56FE">
        <w:rPr>
          <w:rFonts w:cstheme="minorHAnsi"/>
        </w:rPr>
        <w:t xml:space="preserve">devono essere adeguate di per sé, </w:t>
      </w:r>
      <w:r w:rsidR="003B2F14">
        <w:rPr>
          <w:rFonts w:cstheme="minorHAnsi"/>
        </w:rPr>
        <w:t>cioè,</w:t>
      </w:r>
      <w:r w:rsidR="007E56FE">
        <w:rPr>
          <w:rFonts w:cstheme="minorHAnsi"/>
        </w:rPr>
        <w:t xml:space="preserve"> essere </w:t>
      </w:r>
      <w:r w:rsidR="00B10619">
        <w:rPr>
          <w:rFonts w:cstheme="minorHAnsi"/>
        </w:rPr>
        <w:t xml:space="preserve">intrinsecamente </w:t>
      </w:r>
      <w:r w:rsidR="007E56FE">
        <w:rPr>
          <w:rFonts w:cstheme="minorHAnsi"/>
        </w:rPr>
        <w:t>idonee a soddisfare determinate esigenze tecnico</w:t>
      </w:r>
      <w:r w:rsidR="004469FF">
        <w:rPr>
          <w:rFonts w:cstheme="minorHAnsi"/>
        </w:rPr>
        <w:t xml:space="preserve">-organizzative </w:t>
      </w:r>
      <w:r w:rsidRPr="00CD3A14" w:rsidR="00DC7553">
        <w:rPr>
          <w:rFonts w:cstheme="minorHAnsi"/>
          <w:b/>
          <w:bCs/>
        </w:rPr>
        <w:t>e, inoltre,</w:t>
      </w:r>
      <w:r w:rsidR="004469FF">
        <w:rPr>
          <w:rFonts w:cstheme="minorHAnsi"/>
        </w:rPr>
        <w:t xml:space="preserve"> devono anche assicurare, nel contesto di riferimento, un livello di sicurezza proporzionato al rischio.</w:t>
      </w:r>
    </w:p>
    <w:p w:rsidR="00EB1265" w:rsidRDefault="001E2171" w14:paraId="5E80AA2F" w14:textId="4E423A5F">
      <w:pPr>
        <w:rPr>
          <w:rFonts w:cstheme="minorHAnsi"/>
        </w:rPr>
      </w:pPr>
      <w:r>
        <w:rPr>
          <w:rFonts w:cstheme="minorHAnsi"/>
        </w:rPr>
        <w:lastRenderedPageBreak/>
        <w:t>Ad esempio</w:t>
      </w:r>
      <w:r w:rsidR="002160AC">
        <w:rPr>
          <w:rFonts w:cstheme="minorHAnsi"/>
        </w:rPr>
        <w:t xml:space="preserve">, </w:t>
      </w:r>
      <w:r>
        <w:rPr>
          <w:rFonts w:cstheme="minorHAnsi"/>
        </w:rPr>
        <w:t>l’adozione di un sistema di autenticazione</w:t>
      </w:r>
      <w:r w:rsidR="002160AC">
        <w:rPr>
          <w:rFonts w:cstheme="minorHAnsi"/>
        </w:rPr>
        <w:t xml:space="preserve"> </w:t>
      </w:r>
      <w:proofErr w:type="gramStart"/>
      <w:r w:rsidR="002160AC">
        <w:rPr>
          <w:rFonts w:cstheme="minorHAnsi"/>
        </w:rPr>
        <w:t>dev</w:t>
      </w:r>
      <w:r>
        <w:rPr>
          <w:rFonts w:cstheme="minorHAnsi"/>
        </w:rPr>
        <w:t>e</w:t>
      </w:r>
      <w:r w:rsidR="002160AC">
        <w:rPr>
          <w:rFonts w:cstheme="minorHAnsi"/>
        </w:rPr>
        <w:t xml:space="preserve"> essere adeguat</w:t>
      </w:r>
      <w:r>
        <w:rPr>
          <w:rFonts w:cstheme="minorHAnsi"/>
        </w:rPr>
        <w:t>o</w:t>
      </w:r>
      <w:proofErr w:type="gramEnd"/>
      <w:r w:rsidR="002160AC">
        <w:rPr>
          <w:rFonts w:cstheme="minorHAnsi"/>
        </w:rPr>
        <w:t xml:space="preserve"> </w:t>
      </w:r>
      <w:r w:rsidR="00850B4D">
        <w:rPr>
          <w:rFonts w:cstheme="minorHAnsi"/>
        </w:rPr>
        <w:t>(idone</w:t>
      </w:r>
      <w:r w:rsidR="00732391">
        <w:rPr>
          <w:rFonts w:cstheme="minorHAnsi"/>
        </w:rPr>
        <w:t>o</w:t>
      </w:r>
      <w:r w:rsidR="00850B4D">
        <w:rPr>
          <w:rFonts w:cstheme="minorHAnsi"/>
        </w:rPr>
        <w:t>)</w:t>
      </w:r>
      <w:r w:rsidR="00732391">
        <w:rPr>
          <w:rFonts w:cstheme="minorHAnsi"/>
        </w:rPr>
        <w:t>,</w:t>
      </w:r>
      <w:r w:rsidR="00850B4D">
        <w:rPr>
          <w:rFonts w:cstheme="minorHAnsi"/>
        </w:rPr>
        <w:t xml:space="preserve"> </w:t>
      </w:r>
      <w:r w:rsidR="002160AC">
        <w:rPr>
          <w:rFonts w:cstheme="minorHAnsi"/>
        </w:rPr>
        <w:t xml:space="preserve">di per </w:t>
      </w:r>
      <w:r w:rsidR="00EB01AA">
        <w:rPr>
          <w:rFonts w:cstheme="minorHAnsi"/>
        </w:rPr>
        <w:t>sé,</w:t>
      </w:r>
      <w:r w:rsidR="0064211A">
        <w:rPr>
          <w:rFonts w:cstheme="minorHAnsi"/>
        </w:rPr>
        <w:t xml:space="preserve"> </w:t>
      </w:r>
      <w:r w:rsidR="00732391">
        <w:rPr>
          <w:rFonts w:cstheme="minorHAnsi"/>
        </w:rPr>
        <w:t xml:space="preserve">ad accertare l’identità dell’utente </w:t>
      </w:r>
      <w:r w:rsidRPr="008D3632" w:rsidR="008D3632">
        <w:rPr>
          <w:rFonts w:cstheme="minorHAnsi"/>
        </w:rPr>
        <w:t xml:space="preserve">che richiede l’accesso a un sistema informatico oppure a una piattaforma </w:t>
      </w:r>
      <w:r w:rsidRPr="008D3632" w:rsidR="002C7848">
        <w:rPr>
          <w:rFonts w:cstheme="minorHAnsi"/>
        </w:rPr>
        <w:t>software</w:t>
      </w:r>
      <w:r w:rsidR="002C7848">
        <w:rPr>
          <w:rFonts w:cstheme="minorHAnsi"/>
        </w:rPr>
        <w:t xml:space="preserve"> ma</w:t>
      </w:r>
      <w:r w:rsidR="00850B4D">
        <w:rPr>
          <w:rFonts w:cstheme="minorHAnsi"/>
        </w:rPr>
        <w:t xml:space="preserve"> </w:t>
      </w:r>
      <w:r w:rsidR="00EB01AA">
        <w:rPr>
          <w:rFonts w:cstheme="minorHAnsi"/>
        </w:rPr>
        <w:t>ess</w:t>
      </w:r>
      <w:r w:rsidR="00DE2BE4">
        <w:rPr>
          <w:rFonts w:cstheme="minorHAnsi"/>
        </w:rPr>
        <w:t>o</w:t>
      </w:r>
      <w:r w:rsidR="00EB01AA">
        <w:rPr>
          <w:rFonts w:cstheme="minorHAnsi"/>
        </w:rPr>
        <w:t xml:space="preserve"> </w:t>
      </w:r>
      <w:r w:rsidR="00850B4D">
        <w:rPr>
          <w:rFonts w:cstheme="minorHAnsi"/>
        </w:rPr>
        <w:t>dev</w:t>
      </w:r>
      <w:r w:rsidR="00DE2BE4">
        <w:rPr>
          <w:rFonts w:cstheme="minorHAnsi"/>
        </w:rPr>
        <w:t>e</w:t>
      </w:r>
      <w:r w:rsidR="00850B4D">
        <w:rPr>
          <w:rFonts w:cstheme="minorHAnsi"/>
        </w:rPr>
        <w:t xml:space="preserve"> anche essere in grado di assicurare (obiettivo) un livello di sicurezza adeguato </w:t>
      </w:r>
      <w:r w:rsidR="00EB01AA">
        <w:rPr>
          <w:rFonts w:cstheme="minorHAnsi"/>
        </w:rPr>
        <w:t>(proporzionato) al rischio</w:t>
      </w:r>
      <w:r w:rsidR="00FA6E98">
        <w:rPr>
          <w:rFonts w:cstheme="minorHAnsi"/>
        </w:rPr>
        <w:t xml:space="preserve"> presente nelle </w:t>
      </w:r>
      <w:r w:rsidR="00AA1DAD">
        <w:rPr>
          <w:rFonts w:cstheme="minorHAnsi"/>
        </w:rPr>
        <w:t xml:space="preserve">specifiche </w:t>
      </w:r>
      <w:r w:rsidR="00FA6E98">
        <w:rPr>
          <w:rFonts w:cstheme="minorHAnsi"/>
        </w:rPr>
        <w:t xml:space="preserve">circostanze </w:t>
      </w:r>
      <w:r w:rsidR="00532C87">
        <w:rPr>
          <w:rFonts w:cstheme="minorHAnsi"/>
        </w:rPr>
        <w:t>del caso</w:t>
      </w:r>
      <w:r w:rsidR="00EB01AA">
        <w:rPr>
          <w:rFonts w:cstheme="minorHAnsi"/>
        </w:rPr>
        <w:t>.</w:t>
      </w:r>
      <w:r w:rsidR="0000007A">
        <w:rPr>
          <w:rFonts w:cstheme="minorHAnsi"/>
        </w:rPr>
        <w:t xml:space="preserve"> </w:t>
      </w:r>
      <w:r w:rsidR="00E73872">
        <w:rPr>
          <w:rFonts w:cstheme="minorHAnsi"/>
        </w:rPr>
        <w:t>Questo secondo profilo</w:t>
      </w:r>
      <w:r w:rsidR="00587F66">
        <w:rPr>
          <w:rFonts w:cstheme="minorHAnsi"/>
        </w:rPr>
        <w:t xml:space="preserve">, </w:t>
      </w:r>
      <w:r w:rsidR="00E73872">
        <w:rPr>
          <w:rFonts w:cstheme="minorHAnsi"/>
        </w:rPr>
        <w:t xml:space="preserve">obbliga titolare </w:t>
      </w:r>
      <w:r w:rsidR="00C67F47">
        <w:rPr>
          <w:rFonts w:cstheme="minorHAnsi"/>
        </w:rPr>
        <w:t>e responsabil</w:t>
      </w:r>
      <w:r w:rsidR="00B2554B">
        <w:rPr>
          <w:rFonts w:cstheme="minorHAnsi"/>
        </w:rPr>
        <w:t>e</w:t>
      </w:r>
      <w:r w:rsidR="00C67F47">
        <w:rPr>
          <w:rFonts w:cstheme="minorHAnsi"/>
        </w:rPr>
        <w:t xml:space="preserve"> </w:t>
      </w:r>
      <w:r w:rsidR="00E73872">
        <w:rPr>
          <w:rFonts w:cstheme="minorHAnsi"/>
        </w:rPr>
        <w:t xml:space="preserve">a </w:t>
      </w:r>
      <w:r w:rsidR="00DB6B1F">
        <w:rPr>
          <w:rFonts w:cstheme="minorHAnsi"/>
        </w:rPr>
        <w:t xml:space="preserve">individuare </w:t>
      </w:r>
      <w:r w:rsidR="008E0629">
        <w:rPr>
          <w:rFonts w:cstheme="minorHAnsi"/>
        </w:rPr>
        <w:t>il livello di robustezza dell</w:t>
      </w:r>
      <w:r w:rsidR="00DB6B1F">
        <w:rPr>
          <w:rFonts w:cstheme="minorHAnsi"/>
        </w:rPr>
        <w:t>a misura tecnico-organizzativa</w:t>
      </w:r>
      <w:r w:rsidR="00B2554B">
        <w:rPr>
          <w:rFonts w:cstheme="minorHAnsi"/>
        </w:rPr>
        <w:t>,</w:t>
      </w:r>
      <w:r w:rsidR="00DB6B1F">
        <w:rPr>
          <w:rFonts w:cstheme="minorHAnsi"/>
        </w:rPr>
        <w:t xml:space="preserve"> </w:t>
      </w:r>
      <w:r w:rsidR="008E0629">
        <w:rPr>
          <w:rFonts w:cstheme="minorHAnsi"/>
        </w:rPr>
        <w:t xml:space="preserve">che sia </w:t>
      </w:r>
      <w:r w:rsidR="00EB1265">
        <w:rPr>
          <w:rFonts w:cstheme="minorHAnsi"/>
        </w:rPr>
        <w:t>confacente con lo scopo di</w:t>
      </w:r>
      <w:r w:rsidR="00F47F34">
        <w:rPr>
          <w:rFonts w:cstheme="minorHAnsi"/>
        </w:rPr>
        <w:t xml:space="preserve"> ottenere un livello di sicurezza proporzionato al rischio.</w:t>
      </w:r>
      <w:r w:rsidR="0067414B">
        <w:rPr>
          <w:rFonts w:cstheme="minorHAnsi"/>
        </w:rPr>
        <w:t xml:space="preserve"> La stretta correlazione tra </w:t>
      </w:r>
    </w:p>
    <w:p w:rsidR="00EB1265" w:rsidP="00EB1265" w:rsidRDefault="0067414B" w14:paraId="1162EF67" w14:textId="77777777">
      <w:pPr>
        <w:pStyle w:val="ListParagraph"/>
        <w:numPr>
          <w:ilvl w:val="0"/>
          <w:numId w:val="1"/>
        </w:numPr>
        <w:rPr>
          <w:rFonts w:cstheme="minorHAnsi"/>
        </w:rPr>
      </w:pPr>
      <w:r w:rsidRPr="00EB1265">
        <w:rPr>
          <w:rFonts w:cstheme="minorHAnsi"/>
        </w:rPr>
        <w:t xml:space="preserve">le misure di sicurezza idonee e </w:t>
      </w:r>
    </w:p>
    <w:p w:rsidR="00EB1265" w:rsidP="00EB1265" w:rsidRDefault="0067414B" w14:paraId="2321290A" w14:textId="698EC81F">
      <w:pPr>
        <w:pStyle w:val="ListParagraph"/>
        <w:numPr>
          <w:ilvl w:val="0"/>
          <w:numId w:val="1"/>
        </w:numPr>
        <w:rPr>
          <w:rFonts w:cstheme="minorHAnsi"/>
        </w:rPr>
      </w:pPr>
      <w:r w:rsidRPr="00EB1265">
        <w:rPr>
          <w:rFonts w:cstheme="minorHAnsi"/>
        </w:rPr>
        <w:t xml:space="preserve">il livello di rischio </w:t>
      </w:r>
      <w:r w:rsidR="00EB1265">
        <w:rPr>
          <w:rFonts w:cstheme="minorHAnsi"/>
        </w:rPr>
        <w:t>individuato</w:t>
      </w:r>
    </w:p>
    <w:p w:rsidR="00A0668D" w:rsidP="000130D4" w:rsidRDefault="0067414B" w14:paraId="2BEA753F" w14:textId="29440C03">
      <w:pPr>
        <w:pBdr>
          <w:bottom w:val="single" w:color="auto" w:sz="6" w:space="1"/>
        </w:pBdr>
        <w:rPr>
          <w:rFonts w:cstheme="minorHAnsi"/>
        </w:rPr>
      </w:pPr>
      <w:r w:rsidRPr="000130D4">
        <w:rPr>
          <w:rFonts w:cstheme="minorHAnsi"/>
        </w:rPr>
        <w:t>comporta che</w:t>
      </w:r>
      <w:r w:rsidR="002E5E9E">
        <w:rPr>
          <w:rFonts w:cstheme="minorHAnsi"/>
        </w:rPr>
        <w:t>,</w:t>
      </w:r>
      <w:r w:rsidRPr="000130D4">
        <w:rPr>
          <w:rFonts w:cstheme="minorHAnsi"/>
        </w:rPr>
        <w:t xml:space="preserve"> </w:t>
      </w:r>
      <w:r w:rsidRPr="000130D4" w:rsidR="001D3932">
        <w:rPr>
          <w:rFonts w:cstheme="minorHAnsi"/>
        </w:rPr>
        <w:t xml:space="preserve">aumentando il rischio, </w:t>
      </w:r>
      <w:r w:rsidRPr="000130D4" w:rsidR="001C36A8">
        <w:rPr>
          <w:rFonts w:cstheme="minorHAnsi"/>
        </w:rPr>
        <w:t xml:space="preserve">automaticamente </w:t>
      </w:r>
      <w:r w:rsidRPr="000130D4" w:rsidR="005F045C">
        <w:rPr>
          <w:rFonts w:cstheme="minorHAnsi"/>
        </w:rPr>
        <w:t xml:space="preserve">deve </w:t>
      </w:r>
      <w:r w:rsidR="00574481">
        <w:rPr>
          <w:rFonts w:cstheme="minorHAnsi"/>
        </w:rPr>
        <w:t>corrispondere l’</w:t>
      </w:r>
      <w:r w:rsidRPr="000130D4" w:rsidR="005F045C">
        <w:rPr>
          <w:rFonts w:cstheme="minorHAnsi"/>
        </w:rPr>
        <w:t>innalza</w:t>
      </w:r>
      <w:r w:rsidR="00574481">
        <w:rPr>
          <w:rFonts w:cstheme="minorHAnsi"/>
        </w:rPr>
        <w:t>mento de</w:t>
      </w:r>
      <w:r w:rsidRPr="000130D4" w:rsidR="005F045C">
        <w:rPr>
          <w:rFonts w:cstheme="minorHAnsi"/>
        </w:rPr>
        <w:t>l tasso di robustezza del</w:t>
      </w:r>
      <w:r w:rsidRPr="000130D4" w:rsidR="001D3932">
        <w:rPr>
          <w:rFonts w:cstheme="minorHAnsi"/>
        </w:rPr>
        <w:t>le misure di sicurezza</w:t>
      </w:r>
      <w:r w:rsidR="004722DF">
        <w:rPr>
          <w:rFonts w:cstheme="minorHAnsi"/>
        </w:rPr>
        <w:t xml:space="preserve"> che si intende adottare</w:t>
      </w:r>
      <w:r w:rsidRPr="000130D4" w:rsidR="001D3932">
        <w:rPr>
          <w:rFonts w:cstheme="minorHAnsi"/>
        </w:rPr>
        <w:t>.</w:t>
      </w:r>
      <w:r w:rsidRPr="000130D4" w:rsidR="00302554">
        <w:rPr>
          <w:rFonts w:cstheme="minorHAnsi"/>
        </w:rPr>
        <w:t xml:space="preserve"> Misure astrattamente idonee </w:t>
      </w:r>
      <w:r w:rsidRPr="000130D4" w:rsidR="00D2305A">
        <w:rPr>
          <w:rFonts w:cstheme="minorHAnsi"/>
        </w:rPr>
        <w:t xml:space="preserve">ma non proporzionate all’effettivo rischio non </w:t>
      </w:r>
      <w:r w:rsidR="000E13C3">
        <w:rPr>
          <w:rFonts w:cstheme="minorHAnsi"/>
        </w:rPr>
        <w:t>sono</w:t>
      </w:r>
      <w:r w:rsidRPr="000130D4" w:rsidR="00D2305A">
        <w:rPr>
          <w:rFonts w:cstheme="minorHAnsi"/>
        </w:rPr>
        <w:t xml:space="preserve"> co</w:t>
      </w:r>
      <w:r w:rsidRPr="000130D4" w:rsidR="003C42F8">
        <w:rPr>
          <w:rFonts w:cstheme="minorHAnsi"/>
        </w:rPr>
        <w:t>nformi al principio di adeguatezza.</w:t>
      </w:r>
    </w:p>
    <w:p w:rsidR="00172595" w:rsidP="000130D4" w:rsidRDefault="00172595" w14:paraId="5EC550FA" w14:textId="77777777">
      <w:pPr>
        <w:rPr>
          <w:rFonts w:cstheme="minorHAnsi"/>
        </w:rPr>
      </w:pPr>
    </w:p>
    <w:p w:rsidR="00D57168" w:rsidP="009817E2" w:rsidRDefault="00D57168" w14:paraId="1843D388" w14:textId="2D3EC63A">
      <w:pPr>
        <w:pStyle w:val="Heading1"/>
      </w:pPr>
      <w:r>
        <w:t>Adeguatezza delle garanzie</w:t>
      </w:r>
    </w:p>
    <w:p w:rsidR="00B10F0D" w:rsidP="00B10F0D" w:rsidRDefault="00B10F0D" w14:paraId="2C75D441" w14:textId="490945E8">
      <w:r>
        <w:t>Il GDPR non definisce cosa debba intendersi per “garanzia”</w:t>
      </w:r>
      <w:r w:rsidR="00666E6E">
        <w:t xml:space="preserve"> ma applica il principio di adeguatezza, oltre che alle misure di sicurezza anche alle “garanzie”.</w:t>
      </w:r>
    </w:p>
    <w:p w:rsidR="00A338AF" w:rsidP="00B10F0D" w:rsidRDefault="00B1078D" w14:paraId="2E62E684" w14:textId="5D8CCB69">
      <w:pPr>
        <w:rPr>
          <w:rFonts w:cstheme="minorHAnsi"/>
        </w:rPr>
      </w:pPr>
      <w:r>
        <w:t>Dall’analisi complessiva del testo del regolamento</w:t>
      </w:r>
      <w:r w:rsidR="003E52F6">
        <w:t xml:space="preserve"> </w:t>
      </w:r>
      <w:r w:rsidR="005F56E2">
        <w:t>emerge</w:t>
      </w:r>
      <w:r w:rsidR="003E52F6">
        <w:t xml:space="preserve"> che il termine “garanzia” è utilizzato dal legislatore </w:t>
      </w:r>
      <w:r w:rsidR="00D30675">
        <w:t xml:space="preserve">secondo un’accezione elastica. Talvolta, esso </w:t>
      </w:r>
      <w:r w:rsidR="00F95115">
        <w:t>si riferisce</w:t>
      </w:r>
      <w:r w:rsidR="00D30675">
        <w:t xml:space="preserve"> </w:t>
      </w:r>
      <w:r w:rsidR="00456609">
        <w:t>genericamente</w:t>
      </w:r>
      <w:r w:rsidR="00971386">
        <w:t xml:space="preserve"> </w:t>
      </w:r>
      <w:r w:rsidR="00D30675">
        <w:t xml:space="preserve">a qualsiasi forma di tutela </w:t>
      </w:r>
      <w:r w:rsidR="00971386">
        <w:t>per l’interessato comprensiv</w:t>
      </w:r>
      <w:r w:rsidR="002D7599">
        <w:t>a</w:t>
      </w:r>
      <w:r w:rsidR="00971386">
        <w:t xml:space="preserve">, pertanto, </w:t>
      </w:r>
      <w:r w:rsidR="00A148CF">
        <w:t xml:space="preserve">delle misure di sicurezza tecnico-organizzative.  </w:t>
      </w:r>
      <w:r w:rsidR="002D7599">
        <w:t>È</w:t>
      </w:r>
      <w:r w:rsidR="00A148CF">
        <w:t xml:space="preserve"> questo il caso della formulazione del Considerando (39) </w:t>
      </w:r>
      <w:r w:rsidR="00E6597F">
        <w:t xml:space="preserve">secondo cui </w:t>
      </w:r>
      <w:r w:rsidR="00E6597F">
        <w:rPr>
          <w:rFonts w:cstheme="minorHAnsi"/>
        </w:rPr>
        <w:t>«</w:t>
      </w:r>
      <w:r w:rsidRPr="00DD4C1C" w:rsidR="00A15CF4">
        <w:rPr>
          <w:rFonts w:cstheme="minorHAnsi"/>
          <w:i/>
          <w:iCs/>
        </w:rPr>
        <w:t>[è] opportuno che le persone fisiche siano sensibilizzate ai rischi, alle norme, alle garanzie e ai diritti relativi al trattamento dei dati personali, nonché alle modalità di esercizio dei loro diritti relativi a tale trattamento.</w:t>
      </w:r>
      <w:r w:rsidR="00E6597F">
        <w:rPr>
          <w:rFonts w:cstheme="minorHAnsi"/>
        </w:rPr>
        <w:t>»</w:t>
      </w:r>
      <w:r w:rsidR="00F71CD2">
        <w:rPr>
          <w:rFonts w:cstheme="minorHAnsi"/>
        </w:rPr>
        <w:t xml:space="preserve">. </w:t>
      </w:r>
      <w:r w:rsidR="0087598C">
        <w:rPr>
          <w:rFonts w:cstheme="minorHAnsi"/>
        </w:rPr>
        <w:t xml:space="preserve">Analogamente, il Considerando (42) riporta che </w:t>
      </w:r>
      <w:r w:rsidR="00B00FDA">
        <w:rPr>
          <w:rFonts w:cstheme="minorHAnsi"/>
        </w:rPr>
        <w:t>«</w:t>
      </w:r>
      <w:r w:rsidRPr="00B00FDA" w:rsidR="00B00FDA">
        <w:rPr>
          <w:rFonts w:cstheme="minorHAnsi"/>
          <w:i/>
          <w:iCs/>
        </w:rPr>
        <w:t>nel contesto di una dichiarazione scritta relativa a un'altra questione dovrebbero esistere garanzie che assicurino che l'interessato sia consapevole del fatto di esprimere un consenso e della misura in cui ciò avviene</w:t>
      </w:r>
      <w:r w:rsidR="00B00FDA">
        <w:rPr>
          <w:rFonts w:cstheme="minorHAnsi"/>
        </w:rPr>
        <w:t xml:space="preserve">», laddove per “garanzia” si </w:t>
      </w:r>
      <w:r w:rsidR="008F4848">
        <w:rPr>
          <w:rFonts w:cstheme="minorHAnsi"/>
        </w:rPr>
        <w:t xml:space="preserve">intende la modalità atta a raccogliere </w:t>
      </w:r>
      <w:r w:rsidR="00B2280B">
        <w:rPr>
          <w:rFonts w:cstheme="minorHAnsi"/>
        </w:rPr>
        <w:t>un consenso consapevole suscettibile di dimostrazione.</w:t>
      </w:r>
      <w:r w:rsidR="009F4D58">
        <w:rPr>
          <w:rFonts w:cstheme="minorHAnsi"/>
        </w:rPr>
        <w:t xml:space="preserve"> Oppure, ancora, </w:t>
      </w:r>
      <w:r w:rsidR="00042426">
        <w:rPr>
          <w:rFonts w:cstheme="minorHAnsi"/>
        </w:rPr>
        <w:t xml:space="preserve">nel Considerando (50) quando, trattando della </w:t>
      </w:r>
      <w:r w:rsidR="00512517">
        <w:rPr>
          <w:rFonts w:cstheme="minorHAnsi"/>
        </w:rPr>
        <w:t xml:space="preserve">compatibilità della </w:t>
      </w:r>
      <w:r w:rsidR="00042426">
        <w:rPr>
          <w:rFonts w:cstheme="minorHAnsi"/>
        </w:rPr>
        <w:t xml:space="preserve">finalità ulteriore, </w:t>
      </w:r>
      <w:r w:rsidR="00512517">
        <w:rPr>
          <w:rFonts w:cstheme="minorHAnsi"/>
        </w:rPr>
        <w:t xml:space="preserve">si chiede al titolare di </w:t>
      </w:r>
      <w:r w:rsidR="00DA23C6">
        <w:rPr>
          <w:rFonts w:cstheme="minorHAnsi"/>
        </w:rPr>
        <w:t>tener conto, tra l’altro, «</w:t>
      </w:r>
      <w:r w:rsidRPr="004A1084" w:rsidR="00272D66">
        <w:rPr>
          <w:rFonts w:cstheme="minorHAnsi"/>
          <w:i/>
          <w:iCs/>
        </w:rPr>
        <w:t>dell'esistenza di garanzie adeguate sia nel trattamento originario sia nell'ulteriore trattamento previsto</w:t>
      </w:r>
      <w:r w:rsidR="00272D66">
        <w:rPr>
          <w:rFonts w:cstheme="minorHAnsi"/>
        </w:rPr>
        <w:t xml:space="preserve">». </w:t>
      </w:r>
    </w:p>
    <w:p w:rsidR="00B1078D" w:rsidP="00B10F0D" w:rsidRDefault="00BC255F" w14:paraId="7B639C88" w14:textId="1C1F98CC">
      <w:pPr>
        <w:rPr>
          <w:rFonts w:cstheme="minorHAnsi"/>
        </w:rPr>
      </w:pPr>
      <w:r>
        <w:rPr>
          <w:rFonts w:cstheme="minorHAnsi"/>
        </w:rPr>
        <w:t>Il significato ampio di “garanzia”</w:t>
      </w:r>
      <w:r w:rsidR="000429A7">
        <w:rPr>
          <w:rFonts w:cstheme="minorHAnsi"/>
        </w:rPr>
        <w:t>,</w:t>
      </w:r>
      <w:r>
        <w:rPr>
          <w:rFonts w:cstheme="minorHAnsi"/>
        </w:rPr>
        <w:t xml:space="preserve"> di cui ai richiamati esempi</w:t>
      </w:r>
      <w:r w:rsidR="000429A7">
        <w:rPr>
          <w:rFonts w:cstheme="minorHAnsi"/>
        </w:rPr>
        <w:t>,</w:t>
      </w:r>
      <w:r>
        <w:rPr>
          <w:rFonts w:cstheme="minorHAnsi"/>
        </w:rPr>
        <w:t xml:space="preserve"> </w:t>
      </w:r>
      <w:r w:rsidR="00B945AE">
        <w:rPr>
          <w:rFonts w:cstheme="minorHAnsi"/>
        </w:rPr>
        <w:t xml:space="preserve">si consolida in quei casi in cui il legislatore ha come riferimento una legge o </w:t>
      </w:r>
      <w:r w:rsidR="00775EAB">
        <w:rPr>
          <w:rFonts w:cstheme="minorHAnsi"/>
        </w:rPr>
        <w:t>un regime di protezione presente in un ordinamento extra UE-SEE.</w:t>
      </w:r>
      <w:r w:rsidR="00A338AF">
        <w:rPr>
          <w:rFonts w:cstheme="minorHAnsi"/>
        </w:rPr>
        <w:t xml:space="preserve"> </w:t>
      </w:r>
      <w:r w:rsidR="00CF5CFE">
        <w:rPr>
          <w:rFonts w:cstheme="minorHAnsi"/>
        </w:rPr>
        <w:t xml:space="preserve">Come nel caso della flessibilità riconosciuta agli Stati membri di ammettere nuove ipotesi di deroghe al divieto di trattamento di </w:t>
      </w:r>
      <w:r w:rsidR="00EB25F0">
        <w:rPr>
          <w:rFonts w:cstheme="minorHAnsi"/>
        </w:rPr>
        <w:t>particolari categorie di dati («</w:t>
      </w:r>
      <w:r w:rsidRPr="000429A7" w:rsidR="00EB25F0">
        <w:rPr>
          <w:rFonts w:cstheme="minorHAnsi"/>
          <w:i/>
          <w:iCs/>
        </w:rPr>
        <w:t>fatte salve adeguate garanzie</w:t>
      </w:r>
      <w:r w:rsidR="00EB25F0">
        <w:rPr>
          <w:rFonts w:cstheme="minorHAnsi"/>
        </w:rPr>
        <w:t>»)</w:t>
      </w:r>
      <w:r w:rsidR="00F71A94">
        <w:rPr>
          <w:rFonts w:cstheme="minorHAnsi"/>
        </w:rPr>
        <w:t xml:space="preserve"> e soprattutto </w:t>
      </w:r>
      <w:r w:rsidR="00D76B68">
        <w:rPr>
          <w:rFonts w:cstheme="minorHAnsi"/>
        </w:rPr>
        <w:t xml:space="preserve">riguardo alla condizione per il riconoscimento dell’equivalenza </w:t>
      </w:r>
      <w:r w:rsidR="00D51312">
        <w:rPr>
          <w:rFonts w:cstheme="minorHAnsi"/>
        </w:rPr>
        <w:t>del livello di protezione del paese terzo</w:t>
      </w:r>
      <w:r w:rsidR="008C16EB">
        <w:rPr>
          <w:rFonts w:cstheme="minorHAnsi"/>
        </w:rPr>
        <w:t xml:space="preserve"> oppure con riferimento agli strumenti </w:t>
      </w:r>
      <w:r w:rsidR="00974DF4">
        <w:rPr>
          <w:rFonts w:cstheme="minorHAnsi"/>
        </w:rPr>
        <w:t>a garanzia adeguata per i trasferimenti esteri di dati</w:t>
      </w:r>
      <w:r w:rsidR="00BF47EA">
        <w:rPr>
          <w:rFonts w:cstheme="minorHAnsi"/>
        </w:rPr>
        <w:t>.</w:t>
      </w:r>
    </w:p>
    <w:p w:rsidR="00E00CEC" w:rsidP="00B10F0D" w:rsidRDefault="004E75D9" w14:paraId="696EB989" w14:textId="48341F12">
      <w:pPr>
        <w:rPr>
          <w:rFonts w:cstheme="minorHAnsi"/>
        </w:rPr>
      </w:pPr>
      <w:r>
        <w:rPr>
          <w:rFonts w:cstheme="minorHAnsi"/>
        </w:rPr>
        <w:t xml:space="preserve">L’ampia portata della nozione viene precisata dal Considerando (108) </w:t>
      </w:r>
      <w:r w:rsidR="0048017E">
        <w:rPr>
          <w:rFonts w:cstheme="minorHAnsi"/>
        </w:rPr>
        <w:t xml:space="preserve">che, con riferimento alle adeguate garanzie che gli strumenti per il trasferimento estero dei dati </w:t>
      </w:r>
      <w:r w:rsidR="00BE2DAF">
        <w:rPr>
          <w:rFonts w:cstheme="minorHAnsi"/>
        </w:rPr>
        <w:t>devono contenere, precisa: «</w:t>
      </w:r>
      <w:r w:rsidRPr="00C3296C" w:rsidR="00C3296C">
        <w:rPr>
          <w:rFonts w:cstheme="minorHAnsi"/>
          <w:i/>
          <w:iCs/>
        </w:rPr>
        <w:t>[t]</w:t>
      </w:r>
      <w:r w:rsidRPr="00C3296C" w:rsidR="00BE2DAF">
        <w:rPr>
          <w:rFonts w:cstheme="minorHAnsi"/>
          <w:i/>
          <w:iCs/>
        </w:rPr>
        <w:t>ali garanzie dovrebbero assicurare un rispetto dei requisiti in materia di protezione dei dati e dei diritti degli interessati adeguato ai trattamenti all'interno dell'Unione, compresa la disponibilità di diritti azionabili degli interessati e di mezzi di ricorso effettivi, fra cui il ricorso effettivo in sede amministrativa o giudiziale e la richiesta di risarcimento, nell'Unione o in un paese terzo. Esse dovrebbero riguardare, in particolare, la conformità rispetto ai principi generali in materia di trattamento dei dati personali e ai principi di protezione dei dati fin dalla progettazione e di protezione dei dati di default.</w:t>
      </w:r>
      <w:r w:rsidR="00BE2DAF">
        <w:rPr>
          <w:rFonts w:cstheme="minorHAnsi"/>
        </w:rPr>
        <w:t>».</w:t>
      </w:r>
    </w:p>
    <w:p w:rsidR="00B145C9" w:rsidP="00B10F0D" w:rsidRDefault="006A7064" w14:paraId="0EDA086F" w14:textId="18698430">
      <w:pPr>
        <w:rPr>
          <w:rFonts w:cstheme="minorHAnsi"/>
        </w:rPr>
      </w:pPr>
      <w:r>
        <w:rPr>
          <w:rFonts w:cstheme="minorHAnsi"/>
        </w:rPr>
        <w:lastRenderedPageBreak/>
        <w:t xml:space="preserve">Altre volte, il legislatore </w:t>
      </w:r>
      <w:r w:rsidR="00CB04E4">
        <w:rPr>
          <w:rFonts w:cstheme="minorHAnsi"/>
        </w:rPr>
        <w:t xml:space="preserve">pur preservando </w:t>
      </w:r>
      <w:r w:rsidR="00AE7945">
        <w:rPr>
          <w:rFonts w:cstheme="minorHAnsi"/>
        </w:rPr>
        <w:t xml:space="preserve">il senso ampio del termine “garanzia”, lo </w:t>
      </w:r>
      <w:r>
        <w:rPr>
          <w:rFonts w:cstheme="minorHAnsi"/>
        </w:rPr>
        <w:t xml:space="preserve">utilizza </w:t>
      </w:r>
      <w:r w:rsidR="00AE7945">
        <w:rPr>
          <w:rFonts w:cstheme="minorHAnsi"/>
        </w:rPr>
        <w:t>riferendosi</w:t>
      </w:r>
      <w:r w:rsidR="007314F2">
        <w:rPr>
          <w:rFonts w:cstheme="minorHAnsi"/>
        </w:rPr>
        <w:t xml:space="preserve"> </w:t>
      </w:r>
      <w:r w:rsidR="00583CB1">
        <w:rPr>
          <w:rFonts w:cstheme="minorHAnsi"/>
        </w:rPr>
        <w:t>alternativamente a</w:t>
      </w:r>
      <w:r w:rsidR="00B145C9">
        <w:rPr>
          <w:rFonts w:cstheme="minorHAnsi"/>
        </w:rPr>
        <w:t>:</w:t>
      </w:r>
    </w:p>
    <w:p w:rsidRPr="00B145C9" w:rsidR="00B145C9" w:rsidP="00B145C9" w:rsidRDefault="00583CB1" w14:paraId="4E600093" w14:textId="0DFEEBA8">
      <w:pPr>
        <w:pStyle w:val="ListParagraph"/>
        <w:numPr>
          <w:ilvl w:val="0"/>
          <w:numId w:val="3"/>
        </w:numPr>
      </w:pPr>
      <w:r w:rsidRPr="00B145C9">
        <w:rPr>
          <w:rFonts w:cstheme="minorHAnsi"/>
          <w:b/>
          <w:bCs/>
        </w:rPr>
        <w:t>strumenti di protezione</w:t>
      </w:r>
      <w:r w:rsidRPr="00B145C9">
        <w:rPr>
          <w:rFonts w:cstheme="minorHAnsi"/>
        </w:rPr>
        <w:t xml:space="preserve"> </w:t>
      </w:r>
      <w:r w:rsidRPr="00B145C9" w:rsidR="002B6A5C">
        <w:rPr>
          <w:rFonts w:cstheme="minorHAnsi"/>
        </w:rPr>
        <w:t>(misure di sicurezza tecnico-organizzativa)</w:t>
      </w:r>
      <w:r w:rsidR="00B145C9">
        <w:rPr>
          <w:rFonts w:cstheme="minorHAnsi"/>
        </w:rPr>
        <w:t>, come nel caso dell’articolo 6.4</w:t>
      </w:r>
      <w:r w:rsidR="003F4B7F">
        <w:rPr>
          <w:rFonts w:cstheme="minorHAnsi"/>
        </w:rPr>
        <w:t>.e)</w:t>
      </w:r>
      <w:r w:rsidR="00D66BB8">
        <w:rPr>
          <w:rFonts w:cstheme="minorHAnsi"/>
        </w:rPr>
        <w:t>,</w:t>
      </w:r>
      <w:r w:rsidR="003F4B7F">
        <w:rPr>
          <w:rFonts w:cstheme="minorHAnsi"/>
        </w:rPr>
        <w:t xml:space="preserve"> per la valutazione della compatibilità </w:t>
      </w:r>
      <w:r w:rsidR="00117988">
        <w:rPr>
          <w:rFonts w:cstheme="minorHAnsi"/>
        </w:rPr>
        <w:t>della finalità ulteriore</w:t>
      </w:r>
      <w:r w:rsidR="00D66BB8">
        <w:rPr>
          <w:rFonts w:cstheme="minorHAnsi"/>
        </w:rPr>
        <w:t>,</w:t>
      </w:r>
      <w:r w:rsidR="00117988">
        <w:rPr>
          <w:rFonts w:cstheme="minorHAnsi"/>
        </w:rPr>
        <w:t xml:space="preserve"> si chiede al titolare di tener conto «</w:t>
      </w:r>
      <w:r w:rsidRPr="00425A8D" w:rsidR="00117988">
        <w:rPr>
          <w:rFonts w:cstheme="minorHAnsi"/>
          <w:i/>
          <w:iCs/>
        </w:rPr>
        <w:t xml:space="preserve">dell’esistenza </w:t>
      </w:r>
      <w:r w:rsidRPr="00425A8D" w:rsidR="008C6F4D">
        <w:rPr>
          <w:rFonts w:cstheme="minorHAnsi"/>
          <w:i/>
          <w:iCs/>
        </w:rPr>
        <w:t>di garanzie adeguate, che possono comprendere la cifratura o la pseudonimizzazione</w:t>
      </w:r>
      <w:r w:rsidR="008C6F4D">
        <w:rPr>
          <w:rFonts w:cstheme="minorHAnsi"/>
        </w:rPr>
        <w:t>»,</w:t>
      </w:r>
      <w:r w:rsidRPr="00B145C9" w:rsidR="002B6A5C">
        <w:rPr>
          <w:rFonts w:cstheme="minorHAnsi"/>
        </w:rPr>
        <w:t xml:space="preserve"> </w:t>
      </w:r>
      <w:r w:rsidR="007414CD">
        <w:rPr>
          <w:rFonts w:cstheme="minorHAnsi"/>
        </w:rPr>
        <w:t>laddove il</w:t>
      </w:r>
      <w:r w:rsidRPr="007414CD" w:rsidR="007414CD">
        <w:rPr>
          <w:rFonts w:cstheme="minorHAnsi"/>
        </w:rPr>
        <w:t xml:space="preserve"> Considerando (50) </w:t>
      </w:r>
      <w:r w:rsidR="007414CD">
        <w:rPr>
          <w:rFonts w:cstheme="minorHAnsi"/>
        </w:rPr>
        <w:t xml:space="preserve">precisa che tale valutazione deve </w:t>
      </w:r>
      <w:r w:rsidR="00DF1803">
        <w:rPr>
          <w:rFonts w:cstheme="minorHAnsi"/>
        </w:rPr>
        <w:t>tener conto</w:t>
      </w:r>
      <w:r w:rsidR="007414CD">
        <w:rPr>
          <w:rFonts w:cstheme="minorHAnsi"/>
        </w:rPr>
        <w:t xml:space="preserve"> </w:t>
      </w:r>
      <w:r w:rsidR="00DF1803">
        <w:rPr>
          <w:rFonts w:cstheme="minorHAnsi"/>
        </w:rPr>
        <w:t>anche</w:t>
      </w:r>
      <w:r w:rsidRPr="007414CD" w:rsidR="007414CD">
        <w:rPr>
          <w:rFonts w:cstheme="minorHAnsi"/>
        </w:rPr>
        <w:t>, «</w:t>
      </w:r>
      <w:r w:rsidRPr="00425A8D" w:rsidR="007414CD">
        <w:rPr>
          <w:rFonts w:cstheme="minorHAnsi"/>
          <w:i/>
          <w:iCs/>
        </w:rPr>
        <w:t>dell'esistenza di garanzie adeguate sia nel trattamento originario sia nell'ulteriore trattamento previsto</w:t>
      </w:r>
      <w:r w:rsidRPr="007414CD" w:rsidR="007414CD">
        <w:rPr>
          <w:rFonts w:cstheme="minorHAnsi"/>
        </w:rPr>
        <w:t>»</w:t>
      </w:r>
      <w:r w:rsidR="009712A3">
        <w:rPr>
          <w:rFonts w:cstheme="minorHAnsi"/>
        </w:rPr>
        <w:t xml:space="preserve">, </w:t>
      </w:r>
      <w:r w:rsidRPr="00B145C9" w:rsidR="002B6A5C">
        <w:rPr>
          <w:rFonts w:cstheme="minorHAnsi"/>
        </w:rPr>
        <w:t xml:space="preserve">oppure </w:t>
      </w:r>
    </w:p>
    <w:p w:rsidRPr="00286ABD" w:rsidR="00654A61" w:rsidP="00B145C9" w:rsidRDefault="002B6A5C" w14:paraId="302A01CA" w14:textId="095E25CC">
      <w:pPr>
        <w:pStyle w:val="ListParagraph"/>
        <w:numPr>
          <w:ilvl w:val="0"/>
          <w:numId w:val="3"/>
        </w:numPr>
      </w:pPr>
      <w:r w:rsidRPr="00B145C9">
        <w:rPr>
          <w:rFonts w:cstheme="minorHAnsi"/>
          <w:b/>
          <w:bCs/>
        </w:rPr>
        <w:t>oggetto della tutela</w:t>
      </w:r>
      <w:r w:rsidRPr="00B145C9">
        <w:rPr>
          <w:rFonts w:cstheme="minorHAnsi"/>
        </w:rPr>
        <w:t xml:space="preserve"> (</w:t>
      </w:r>
      <w:r w:rsidRPr="00B145C9" w:rsidR="007314F2">
        <w:rPr>
          <w:rFonts w:cstheme="minorHAnsi"/>
        </w:rPr>
        <w:t xml:space="preserve">diritti e libertà </w:t>
      </w:r>
      <w:r w:rsidRPr="00B145C9">
        <w:rPr>
          <w:rFonts w:cstheme="minorHAnsi"/>
        </w:rPr>
        <w:t>fondamentali dell’interessato)</w:t>
      </w:r>
      <w:r w:rsidR="00132E3A">
        <w:rPr>
          <w:rFonts w:cstheme="minorHAnsi"/>
        </w:rPr>
        <w:t xml:space="preserve">, come in occasione </w:t>
      </w:r>
      <w:r w:rsidR="00BC66D3">
        <w:rPr>
          <w:rFonts w:cstheme="minorHAnsi"/>
        </w:rPr>
        <w:t>della deroga per i trattamenti di dati sensibili nel contesto lavorativo «</w:t>
      </w:r>
      <w:r w:rsidRPr="00425A8D" w:rsidR="00BC66D3">
        <w:rPr>
          <w:rFonts w:cstheme="minorHAnsi"/>
          <w:i/>
          <w:iCs/>
        </w:rPr>
        <w:t xml:space="preserve">in presenza </w:t>
      </w:r>
      <w:r w:rsidRPr="00425A8D" w:rsidR="00C519F0">
        <w:rPr>
          <w:rFonts w:cstheme="minorHAnsi"/>
          <w:i/>
          <w:iCs/>
        </w:rPr>
        <w:t>di garanzie appropriate per i diritti fondamentali e gli interessi dell'interessato</w:t>
      </w:r>
      <w:r w:rsidR="00C519F0">
        <w:rPr>
          <w:rFonts w:cstheme="minorHAnsi"/>
        </w:rPr>
        <w:t xml:space="preserve">» </w:t>
      </w:r>
      <w:r w:rsidR="00301ED2">
        <w:rPr>
          <w:rFonts w:cstheme="minorHAnsi"/>
        </w:rPr>
        <w:t>[</w:t>
      </w:r>
      <w:r w:rsidR="00C519F0">
        <w:rPr>
          <w:rFonts w:cstheme="minorHAnsi"/>
        </w:rPr>
        <w:t>art. 9.2.b), GDPR</w:t>
      </w:r>
      <w:r w:rsidR="00301ED2">
        <w:rPr>
          <w:rFonts w:cstheme="minorHAnsi"/>
        </w:rPr>
        <w:t>]</w:t>
      </w:r>
      <w:r w:rsidRPr="00B145C9">
        <w:rPr>
          <w:rFonts w:cstheme="minorHAnsi"/>
        </w:rPr>
        <w:t xml:space="preserve">. </w:t>
      </w:r>
    </w:p>
    <w:p w:rsidRPr="00B10F0D" w:rsidR="00286ABD" w:rsidP="00286ABD" w:rsidRDefault="00286ABD" w14:paraId="14CA401B" w14:textId="31F7456A">
      <w:r>
        <w:t xml:space="preserve">In conclusione, sulla base degli esempi richiamati, </w:t>
      </w:r>
      <w:r w:rsidR="00851CE3">
        <w:t xml:space="preserve">l’adeguatezza </w:t>
      </w:r>
      <w:r w:rsidR="005F1AAE">
        <w:t xml:space="preserve">– sia essa </w:t>
      </w:r>
      <w:r w:rsidR="00851CE3">
        <w:t xml:space="preserve">riferita a misure di sicurezza </w:t>
      </w:r>
      <w:r w:rsidR="005F1AAE">
        <w:t>o</w:t>
      </w:r>
      <w:r w:rsidR="00851CE3">
        <w:t xml:space="preserve"> garanzie </w:t>
      </w:r>
      <w:r w:rsidR="00D95318">
        <w:t>–</w:t>
      </w:r>
      <w:r w:rsidR="005F1AAE">
        <w:t xml:space="preserve"> </w:t>
      </w:r>
      <w:r w:rsidR="003F2236">
        <w:t xml:space="preserve">intende esprimere il medesimo concetto dell’obbligo di un approccio proporzionato al rischio </w:t>
      </w:r>
      <w:r w:rsidR="00F71E0C">
        <w:t>specificamente individuato</w:t>
      </w:r>
      <w:r w:rsidR="0010359A">
        <w:t>,</w:t>
      </w:r>
      <w:r w:rsidR="000F0E85">
        <w:t xml:space="preserve"> con l’obiettivo di assicurare </w:t>
      </w:r>
      <w:r w:rsidR="008B17C0">
        <w:t>una elevata</w:t>
      </w:r>
      <w:r w:rsidR="008467DE">
        <w:t xml:space="preserve"> protezione di diritti e libertà fondamentali dell’</w:t>
      </w:r>
      <w:r w:rsidR="0010359A">
        <w:t>interessato</w:t>
      </w:r>
      <w:r w:rsidR="008467DE">
        <w:t>.</w:t>
      </w:r>
    </w:p>
    <w:p w:rsidR="004B6F7C" w:rsidP="00475DDE" w:rsidRDefault="004B6F7C" w14:paraId="55BA7A0F" w14:textId="4A8205C3">
      <w:pPr>
        <w:pStyle w:val="Heading1"/>
      </w:pPr>
      <w:r>
        <w:t>Elevato livello di protezione</w:t>
      </w:r>
    </w:p>
    <w:p w:rsidR="00AA5690" w:rsidRDefault="003B775B" w14:paraId="2C5D3779" w14:textId="380179C1">
      <w:pPr>
        <w:rPr>
          <w:rFonts w:cstheme="minorHAnsi"/>
        </w:rPr>
      </w:pPr>
      <w:r>
        <w:rPr>
          <w:rFonts w:cstheme="minorHAnsi"/>
        </w:rPr>
        <w:t xml:space="preserve">In linea generale, l’adeguatezza </w:t>
      </w:r>
      <w:r w:rsidR="00D64BFB">
        <w:rPr>
          <w:rFonts w:cstheme="minorHAnsi"/>
        </w:rPr>
        <w:t xml:space="preserve">nel GDPR mira a conseguire un </w:t>
      </w:r>
      <w:r w:rsidRPr="0010359A" w:rsidR="00D64BFB">
        <w:rPr>
          <w:rFonts w:cstheme="minorHAnsi"/>
          <w:b/>
          <w:bCs/>
        </w:rPr>
        <w:t>elevato livello di protezione</w:t>
      </w:r>
      <w:r w:rsidR="00D64BFB">
        <w:rPr>
          <w:rFonts w:cstheme="minorHAnsi"/>
        </w:rPr>
        <w:t xml:space="preserve"> </w:t>
      </w:r>
      <w:r w:rsidR="00C536DA">
        <w:rPr>
          <w:rFonts w:cstheme="minorHAnsi"/>
        </w:rPr>
        <w:t>per i diritti e le libertà fondamentali degli interessati</w:t>
      </w:r>
      <w:r w:rsidR="000E403C">
        <w:rPr>
          <w:rFonts w:cstheme="minorHAnsi"/>
        </w:rPr>
        <w:t>,</w:t>
      </w:r>
      <w:r w:rsidR="009B63C4">
        <w:rPr>
          <w:rFonts w:cstheme="minorHAnsi"/>
        </w:rPr>
        <w:t xml:space="preserve"> </w:t>
      </w:r>
      <w:r w:rsidR="00101CB4">
        <w:rPr>
          <w:rFonts w:cstheme="minorHAnsi"/>
        </w:rPr>
        <w:t xml:space="preserve">in quanto </w:t>
      </w:r>
      <w:r w:rsidR="0079616D">
        <w:rPr>
          <w:rFonts w:cstheme="minorHAnsi"/>
        </w:rPr>
        <w:t>«</w:t>
      </w:r>
      <w:r w:rsidRPr="000E403C" w:rsidR="00101CB4">
        <w:rPr>
          <w:rFonts w:cstheme="minorHAnsi"/>
          <w:i/>
          <w:iCs/>
        </w:rPr>
        <w:t xml:space="preserve">il legislatore </w:t>
      </w:r>
      <w:r w:rsidRPr="000E403C" w:rsidR="0079616D">
        <w:rPr>
          <w:rFonts w:cstheme="minorHAnsi"/>
          <w:i/>
          <w:iCs/>
        </w:rPr>
        <w:t>dell’Unione ha inteso rafforzare sia i diritti di tali persone sia gli obblighi dei titolari del trattamento, rispetto alle disposizioni anteriori a tale regolamento, come indicato dal considerando 11 di quest’ultimo</w:t>
      </w:r>
      <w:r w:rsidR="000E403C">
        <w:rPr>
          <w:rFonts w:cstheme="minorHAnsi"/>
        </w:rPr>
        <w:t>»</w:t>
      </w:r>
      <w:r w:rsidR="0079616D">
        <w:rPr>
          <w:rFonts w:cstheme="minorHAnsi"/>
        </w:rPr>
        <w:t xml:space="preserve"> (</w:t>
      </w:r>
      <w:hyperlink w:history="1" r:id="rId9">
        <w:r w:rsidRPr="009817E2" w:rsidR="0079616D">
          <w:rPr>
            <w:rStyle w:val="Hyperlink"/>
            <w:rFonts w:cstheme="minorHAnsi"/>
          </w:rPr>
          <w:t>CGUE, c-340/21</w:t>
        </w:r>
      </w:hyperlink>
      <w:r w:rsidR="0079616D">
        <w:rPr>
          <w:rFonts w:cstheme="minorHAnsi"/>
        </w:rPr>
        <w:t xml:space="preserve">, par. </w:t>
      </w:r>
      <w:r w:rsidR="00AA5690">
        <w:rPr>
          <w:rFonts w:cstheme="minorHAnsi"/>
        </w:rPr>
        <w:t>56</w:t>
      </w:r>
      <w:r w:rsidR="00401CDD">
        <w:rPr>
          <w:rFonts w:cstheme="minorHAnsi"/>
        </w:rPr>
        <w:t xml:space="preserve">, </w:t>
      </w:r>
      <w:hyperlink w:history="1" r:id="rId10">
        <w:r w:rsidRPr="000516D1" w:rsidR="00401CDD">
          <w:rPr>
            <w:rStyle w:val="Hyperlink"/>
            <w:rFonts w:cstheme="minorHAnsi"/>
          </w:rPr>
          <w:t>c-300/21</w:t>
        </w:r>
      </w:hyperlink>
      <w:r w:rsidR="00401CDD">
        <w:rPr>
          <w:rFonts w:cstheme="minorHAnsi"/>
        </w:rPr>
        <w:t>, par. 48, con richiami</w:t>
      </w:r>
      <w:r w:rsidR="00AA5690">
        <w:rPr>
          <w:rFonts w:cstheme="minorHAnsi"/>
        </w:rPr>
        <w:t>)</w:t>
      </w:r>
      <w:r w:rsidR="009B63C4">
        <w:rPr>
          <w:rFonts w:cstheme="minorHAnsi"/>
        </w:rPr>
        <w:t xml:space="preserve">. </w:t>
      </w:r>
    </w:p>
    <w:p w:rsidR="00AF431D" w:rsidRDefault="00562B72" w14:paraId="3FB31F54" w14:textId="289F7863">
      <w:pPr>
        <w:rPr>
          <w:rFonts w:cstheme="minorHAnsi"/>
        </w:rPr>
      </w:pPr>
      <w:r>
        <w:rPr>
          <w:rFonts w:cstheme="minorHAnsi"/>
        </w:rPr>
        <w:t xml:space="preserve">Si è conformi al GDPR se si è in grado di </w:t>
      </w:r>
      <w:r w:rsidR="00F573D9">
        <w:rPr>
          <w:rFonts w:cstheme="minorHAnsi"/>
        </w:rPr>
        <w:t>operare attività di trattament</w:t>
      </w:r>
      <w:r w:rsidR="003D3F8D">
        <w:rPr>
          <w:rFonts w:cstheme="minorHAnsi"/>
        </w:rPr>
        <w:t>o di dati personali con modalità</w:t>
      </w:r>
      <w:r w:rsidR="00F573D9">
        <w:rPr>
          <w:rFonts w:cstheme="minorHAnsi"/>
        </w:rPr>
        <w:t xml:space="preserve"> che siano </w:t>
      </w:r>
      <w:r w:rsidR="003D3F8D">
        <w:rPr>
          <w:rFonts w:cstheme="minorHAnsi"/>
        </w:rPr>
        <w:t>proporzionate al rischio che esse generano</w:t>
      </w:r>
      <w:r w:rsidR="00D60DA8">
        <w:rPr>
          <w:rFonts w:cstheme="minorHAnsi"/>
        </w:rPr>
        <w:t xml:space="preserve">, </w:t>
      </w:r>
      <w:r w:rsidR="003D07BA">
        <w:rPr>
          <w:rFonts w:cstheme="minorHAnsi"/>
        </w:rPr>
        <w:t>assicurando</w:t>
      </w:r>
      <w:r w:rsidR="00D60DA8">
        <w:rPr>
          <w:rFonts w:cstheme="minorHAnsi"/>
        </w:rPr>
        <w:t xml:space="preserve"> un elevato livello di protezione</w:t>
      </w:r>
      <w:r w:rsidR="00697AAE">
        <w:rPr>
          <w:rFonts w:cstheme="minorHAnsi"/>
        </w:rPr>
        <w:t xml:space="preserve"> degli interessati</w:t>
      </w:r>
      <w:r w:rsidR="00AF2E9B">
        <w:rPr>
          <w:rFonts w:cstheme="minorHAnsi"/>
        </w:rPr>
        <w:t xml:space="preserve">; tale livello di protezione </w:t>
      </w:r>
      <w:r w:rsidR="006367D7">
        <w:rPr>
          <w:rFonts w:cstheme="minorHAnsi"/>
        </w:rPr>
        <w:t>«</w:t>
      </w:r>
      <w:r w:rsidRPr="00E86FFC" w:rsidR="00143929">
        <w:rPr>
          <w:rFonts w:cstheme="minorHAnsi"/>
          <w:i/>
          <w:iCs/>
        </w:rPr>
        <w:t>dipende dalle misure di sicurezza adottate dai titolari del trattamento di dati personali</w:t>
      </w:r>
      <w:r w:rsidR="006367D7">
        <w:rPr>
          <w:rFonts w:cstheme="minorHAnsi"/>
        </w:rPr>
        <w:t>»</w:t>
      </w:r>
      <w:r w:rsidR="00A93EE3">
        <w:rPr>
          <w:rFonts w:cstheme="minorHAnsi"/>
        </w:rPr>
        <w:t xml:space="preserve"> (</w:t>
      </w:r>
      <w:hyperlink w:history="1" r:id="rId11">
        <w:r w:rsidRPr="009817E2" w:rsidR="00A93EE3">
          <w:rPr>
            <w:rStyle w:val="Hyperlink"/>
            <w:rFonts w:cstheme="minorHAnsi"/>
          </w:rPr>
          <w:t>CGUE, c-340/21</w:t>
        </w:r>
      </w:hyperlink>
      <w:r w:rsidR="00A93EE3">
        <w:rPr>
          <w:rFonts w:cstheme="minorHAnsi"/>
        </w:rPr>
        <w:t>, par. 55)</w:t>
      </w:r>
      <w:r w:rsidR="003D3F8D">
        <w:rPr>
          <w:rFonts w:cstheme="minorHAnsi"/>
        </w:rPr>
        <w:t>.</w:t>
      </w:r>
      <w:r w:rsidRPr="00F10A56" w:rsidR="00F10A56">
        <w:rPr>
          <w:rFonts w:cstheme="minorHAnsi"/>
        </w:rPr>
        <w:t xml:space="preserve"> </w:t>
      </w:r>
    </w:p>
    <w:p w:rsidR="00475DDE" w:rsidP="00475DDE" w:rsidRDefault="00475DDE" w14:paraId="7FA68940" w14:textId="77D0DF8B">
      <w:pPr>
        <w:pStyle w:val="Heading1"/>
      </w:pPr>
      <w:r>
        <w:t>Approccio basato sul rischio</w:t>
      </w:r>
    </w:p>
    <w:p w:rsidR="00D769A8" w:rsidP="00D769A8" w:rsidRDefault="00D769A8" w14:paraId="5F03603E" w14:textId="77777777">
      <w:pPr>
        <w:rPr>
          <w:rFonts w:cstheme="minorHAnsi"/>
        </w:rPr>
      </w:pPr>
      <w:r>
        <w:rPr>
          <w:rFonts w:cstheme="minorHAnsi"/>
        </w:rPr>
        <w:t xml:space="preserve">L’adeguatezza è il precipitato dell’approccio normativo basato sul rischio. </w:t>
      </w:r>
    </w:p>
    <w:p w:rsidR="005C4BDE" w:rsidP="00D769A8" w:rsidRDefault="00D769A8" w14:paraId="684916B0" w14:textId="17345C6C">
      <w:pPr>
        <w:rPr>
          <w:rFonts w:cstheme="minorHAnsi"/>
        </w:rPr>
      </w:pPr>
      <w:r>
        <w:rPr>
          <w:rFonts w:cstheme="minorHAnsi"/>
        </w:rPr>
        <w:t xml:space="preserve">La prescrizione scaturente dal principio di adeguatezza è un obbligo che ha </w:t>
      </w:r>
      <w:r w:rsidRPr="00DE1DE6">
        <w:rPr>
          <w:rFonts w:cstheme="minorHAnsi"/>
        </w:rPr>
        <w:t>natura relativa</w:t>
      </w:r>
      <w:r w:rsidR="009924F0">
        <w:rPr>
          <w:rFonts w:cstheme="minorHAnsi"/>
        </w:rPr>
        <w:t xml:space="preserve">, determinato </w:t>
      </w:r>
      <w:r w:rsidR="00F97A3A">
        <w:rPr>
          <w:rFonts w:cstheme="minorHAnsi"/>
        </w:rPr>
        <w:t xml:space="preserve">sulla base delle specifiche circostanze, </w:t>
      </w:r>
      <w:r w:rsidR="009924F0">
        <w:rPr>
          <w:rFonts w:cstheme="minorHAnsi"/>
        </w:rPr>
        <w:t>in modo obiettivo</w:t>
      </w:r>
      <w:r w:rsidR="005C4BDE">
        <w:rPr>
          <w:rFonts w:cstheme="minorHAnsi"/>
        </w:rPr>
        <w:t>.</w:t>
      </w:r>
      <w:r>
        <w:rPr>
          <w:rFonts w:cstheme="minorHAnsi"/>
        </w:rPr>
        <w:t xml:space="preserve"> </w:t>
      </w:r>
    </w:p>
    <w:p w:rsidR="008B56E4" w:rsidP="00D769A8" w:rsidRDefault="005C4BDE" w14:paraId="188929BC" w14:textId="77777777">
      <w:pPr>
        <w:rPr>
          <w:rFonts w:cstheme="minorHAnsi"/>
        </w:rPr>
      </w:pPr>
      <w:r>
        <w:rPr>
          <w:rFonts w:cstheme="minorHAnsi"/>
        </w:rPr>
        <w:t xml:space="preserve">La </w:t>
      </w:r>
      <w:r w:rsidRPr="00DE1DE6">
        <w:rPr>
          <w:rFonts w:cstheme="minorHAnsi"/>
          <w:b/>
          <w:bCs/>
        </w:rPr>
        <w:t>natura relativa dell’adeguatezza</w:t>
      </w:r>
      <w:r>
        <w:rPr>
          <w:rFonts w:cstheme="minorHAnsi"/>
        </w:rPr>
        <w:t xml:space="preserve"> del </w:t>
      </w:r>
      <w:r w:rsidR="008B56E4">
        <w:rPr>
          <w:rFonts w:cstheme="minorHAnsi"/>
        </w:rPr>
        <w:t>GDPR agisce sotto due profili:</w:t>
      </w:r>
    </w:p>
    <w:p w:rsidR="00D0744D" w:rsidP="008B56E4" w:rsidRDefault="00D769A8" w14:paraId="15A98D96" w14:textId="392E2636">
      <w:pPr>
        <w:pStyle w:val="ListParagraph"/>
        <w:numPr>
          <w:ilvl w:val="0"/>
          <w:numId w:val="4"/>
        </w:numPr>
        <w:rPr>
          <w:rFonts w:cstheme="minorHAnsi"/>
        </w:rPr>
      </w:pPr>
      <w:r w:rsidRPr="008B56E4">
        <w:rPr>
          <w:rFonts w:cstheme="minorHAnsi"/>
        </w:rPr>
        <w:t>in quanto ess</w:t>
      </w:r>
      <w:r w:rsidR="00D0744D">
        <w:rPr>
          <w:rFonts w:cstheme="minorHAnsi"/>
        </w:rPr>
        <w:t>a</w:t>
      </w:r>
      <w:r w:rsidRPr="008B56E4">
        <w:rPr>
          <w:rFonts w:cstheme="minorHAnsi"/>
        </w:rPr>
        <w:t xml:space="preserve"> si rapporta e acquista contenuto </w:t>
      </w:r>
      <w:r w:rsidRPr="00F24D9F">
        <w:rPr>
          <w:rFonts w:cstheme="minorHAnsi"/>
          <w:b/>
          <w:bCs/>
        </w:rPr>
        <w:t>in base alle circostanze specifiche</w:t>
      </w:r>
      <w:r w:rsidRPr="008B56E4">
        <w:rPr>
          <w:rFonts w:cstheme="minorHAnsi"/>
        </w:rPr>
        <w:t xml:space="preserve"> (caratteristiche del trattamento e contesto).</w:t>
      </w:r>
      <w:r w:rsidRPr="008B56E4" w:rsidR="00BB0B42">
        <w:rPr>
          <w:rFonts w:cstheme="minorHAnsi"/>
        </w:rPr>
        <w:t xml:space="preserve"> </w:t>
      </w:r>
      <w:r w:rsidRPr="008B56E4" w:rsidR="008415FB">
        <w:rPr>
          <w:rFonts w:cstheme="minorHAnsi"/>
        </w:rPr>
        <w:t>Il giudizio</w:t>
      </w:r>
      <w:r w:rsidRPr="008B56E4" w:rsidR="00BB0B42">
        <w:rPr>
          <w:rFonts w:cstheme="minorHAnsi"/>
        </w:rPr>
        <w:t xml:space="preserve"> deve essere valutat</w:t>
      </w:r>
      <w:r w:rsidRPr="008B56E4" w:rsidR="008415FB">
        <w:rPr>
          <w:rFonts w:cstheme="minorHAnsi"/>
        </w:rPr>
        <w:t>o</w:t>
      </w:r>
      <w:r w:rsidRPr="008B56E4" w:rsidR="00BB0B42">
        <w:rPr>
          <w:rFonts w:cstheme="minorHAnsi"/>
        </w:rPr>
        <w:t xml:space="preserve"> </w:t>
      </w:r>
      <w:r w:rsidRPr="008B56E4" w:rsidR="0065228E">
        <w:rPr>
          <w:rFonts w:cstheme="minorHAnsi"/>
        </w:rPr>
        <w:t>«</w:t>
      </w:r>
      <w:r w:rsidRPr="008B56E4" w:rsidR="00BB0B42">
        <w:rPr>
          <w:rFonts w:cstheme="minorHAnsi"/>
          <w:i/>
          <w:iCs/>
        </w:rPr>
        <w:t>in concreto</w:t>
      </w:r>
      <w:r w:rsidRPr="008B56E4" w:rsidR="0065228E">
        <w:rPr>
          <w:rFonts w:cstheme="minorHAnsi"/>
          <w:i/>
          <w:iCs/>
        </w:rPr>
        <w:t xml:space="preserve">, </w:t>
      </w:r>
      <w:r w:rsidRPr="008B56E4" w:rsidR="00963F0F">
        <w:rPr>
          <w:rFonts w:cstheme="minorHAnsi"/>
          <w:i/>
          <w:iCs/>
        </w:rPr>
        <w:t xml:space="preserve">in particolare </w:t>
      </w:r>
      <w:r w:rsidRPr="008B56E4" w:rsidR="00F76DA8">
        <w:rPr>
          <w:rFonts w:cstheme="minorHAnsi"/>
          <w:i/>
          <w:iCs/>
        </w:rPr>
        <w:t>tenendo</w:t>
      </w:r>
      <w:r w:rsidRPr="008B56E4" w:rsidR="00963F0F">
        <w:rPr>
          <w:rFonts w:cstheme="minorHAnsi"/>
          <w:i/>
          <w:iCs/>
        </w:rPr>
        <w:t xml:space="preserve"> conto dei rischi connessi al trattamento di cui trattasi</w:t>
      </w:r>
      <w:r w:rsidRPr="008B56E4" w:rsidR="00963F0F">
        <w:rPr>
          <w:rFonts w:cstheme="minorHAnsi"/>
        </w:rPr>
        <w:t>»</w:t>
      </w:r>
      <w:r w:rsidR="005F6FCC">
        <w:rPr>
          <w:rFonts w:cstheme="minorHAnsi"/>
        </w:rPr>
        <w:t>, valutando la natura e il contenuto delle misure che sono attuate, il modo in cui sono state applicate</w:t>
      </w:r>
      <w:r w:rsidR="00C40337">
        <w:rPr>
          <w:rFonts w:cstheme="minorHAnsi"/>
        </w:rPr>
        <w:t xml:space="preserve"> e i «</w:t>
      </w:r>
      <w:r w:rsidRPr="00D47115" w:rsidR="007141C0">
        <w:rPr>
          <w:rFonts w:cstheme="minorHAnsi"/>
          <w:i/>
          <w:iCs/>
        </w:rPr>
        <w:t>loro effetti pratici sul livello di sicurezza che (il titolare) era tenuto a garantire</w:t>
      </w:r>
      <w:r w:rsidR="00C40337">
        <w:rPr>
          <w:rFonts w:cstheme="minorHAnsi"/>
        </w:rPr>
        <w:t>»</w:t>
      </w:r>
      <w:r w:rsidR="00D47115">
        <w:rPr>
          <w:rFonts w:cstheme="minorHAnsi"/>
        </w:rPr>
        <w:t>; questa valutazione</w:t>
      </w:r>
      <w:r w:rsidRPr="008B56E4" w:rsidR="00963F0F">
        <w:rPr>
          <w:rFonts w:cstheme="minorHAnsi"/>
        </w:rPr>
        <w:t xml:space="preserve"> </w:t>
      </w:r>
      <w:r w:rsidR="00D47115">
        <w:rPr>
          <w:rFonts w:cstheme="minorHAnsi"/>
        </w:rPr>
        <w:t>va</w:t>
      </w:r>
      <w:r w:rsidR="00843F61">
        <w:rPr>
          <w:rFonts w:cstheme="minorHAnsi"/>
        </w:rPr>
        <w:t xml:space="preserve"> riesaminat</w:t>
      </w:r>
      <w:r w:rsidR="00D47115">
        <w:rPr>
          <w:rFonts w:cstheme="minorHAnsi"/>
        </w:rPr>
        <w:t>a</w:t>
      </w:r>
      <w:r w:rsidR="00843F61">
        <w:rPr>
          <w:rFonts w:cstheme="minorHAnsi"/>
        </w:rPr>
        <w:t xml:space="preserve"> e aggiornat</w:t>
      </w:r>
      <w:r w:rsidR="00D47115">
        <w:rPr>
          <w:rFonts w:cstheme="minorHAnsi"/>
        </w:rPr>
        <w:t>a</w:t>
      </w:r>
      <w:r w:rsidR="00843F61">
        <w:rPr>
          <w:rFonts w:cstheme="minorHAnsi"/>
        </w:rPr>
        <w:t xml:space="preserve"> qualora necessario </w:t>
      </w:r>
      <w:r w:rsidRPr="008B56E4" w:rsidR="00963F0F">
        <w:rPr>
          <w:rFonts w:cstheme="minorHAnsi"/>
        </w:rPr>
        <w:t>(</w:t>
      </w:r>
      <w:hyperlink w:history="1" r:id="rId12">
        <w:r w:rsidRPr="009817E2" w:rsidR="00963F0F">
          <w:rPr>
            <w:rStyle w:val="Hyperlink"/>
            <w:rFonts w:cstheme="minorHAnsi"/>
          </w:rPr>
          <w:t>CGUE, c-340/21</w:t>
        </w:r>
      </w:hyperlink>
      <w:r w:rsidRPr="008B56E4" w:rsidR="00963F0F">
        <w:rPr>
          <w:rFonts w:cstheme="minorHAnsi"/>
        </w:rPr>
        <w:t xml:space="preserve">, </w:t>
      </w:r>
      <w:proofErr w:type="spellStart"/>
      <w:r w:rsidRPr="008B56E4" w:rsidR="00963F0F">
        <w:rPr>
          <w:rFonts w:cstheme="minorHAnsi"/>
        </w:rPr>
        <w:t>par</w:t>
      </w:r>
      <w:r w:rsidR="00B63C0F">
        <w:rPr>
          <w:rFonts w:cstheme="minorHAnsi"/>
        </w:rPr>
        <w:t>r</w:t>
      </w:r>
      <w:proofErr w:type="spellEnd"/>
      <w:r w:rsidRPr="008B56E4" w:rsidR="00963F0F">
        <w:rPr>
          <w:rFonts w:cstheme="minorHAnsi"/>
        </w:rPr>
        <w:t>. 40</w:t>
      </w:r>
      <w:r w:rsidR="000E0E55">
        <w:rPr>
          <w:rFonts w:cstheme="minorHAnsi"/>
        </w:rPr>
        <w:t>, 45</w:t>
      </w:r>
      <w:r w:rsidR="00D60A51">
        <w:rPr>
          <w:rFonts w:cstheme="minorHAnsi"/>
        </w:rPr>
        <w:t xml:space="preserve"> e 25</w:t>
      </w:r>
      <w:r w:rsidRPr="008B56E4" w:rsidR="00963F0F">
        <w:rPr>
          <w:rFonts w:cstheme="minorHAnsi"/>
        </w:rPr>
        <w:t>)</w:t>
      </w:r>
      <w:r w:rsidR="00843F61">
        <w:rPr>
          <w:rFonts w:cstheme="minorHAnsi"/>
        </w:rPr>
        <w:t xml:space="preserve"> </w:t>
      </w:r>
    </w:p>
    <w:p w:rsidRPr="008B56E4" w:rsidR="00D769A8" w:rsidP="008B56E4" w:rsidRDefault="00950C32" w14:paraId="74502F7C" w14:textId="63E0CE7D">
      <w:pPr>
        <w:pStyle w:val="ListParagraph"/>
        <w:numPr>
          <w:ilvl w:val="0"/>
          <w:numId w:val="4"/>
        </w:numPr>
        <w:rPr>
          <w:rFonts w:cstheme="minorHAnsi"/>
        </w:rPr>
      </w:pPr>
      <w:r>
        <w:rPr>
          <w:rFonts w:cstheme="minorHAnsi"/>
        </w:rPr>
        <w:t xml:space="preserve">perché l’adeguatezza </w:t>
      </w:r>
      <w:r w:rsidR="00CA6125">
        <w:rPr>
          <w:rFonts w:cstheme="minorHAnsi"/>
        </w:rPr>
        <w:t xml:space="preserve">delle misure di sicurezza ha come </w:t>
      </w:r>
      <w:r w:rsidRPr="00F24D9F" w:rsidR="00CA6125">
        <w:rPr>
          <w:rFonts w:cstheme="minorHAnsi"/>
          <w:b/>
          <w:bCs/>
        </w:rPr>
        <w:t>obiettivo la limitazione dei rischi</w:t>
      </w:r>
      <w:r w:rsidR="00CA6125">
        <w:rPr>
          <w:rFonts w:cstheme="minorHAnsi"/>
        </w:rPr>
        <w:t xml:space="preserve"> anziché la loro eliminazione</w:t>
      </w:r>
      <w:r w:rsidR="00E74250">
        <w:rPr>
          <w:rFonts w:cstheme="minorHAnsi"/>
        </w:rPr>
        <w:t xml:space="preserve"> (CGUE, c-340/21, par. 29)</w:t>
      </w:r>
      <w:r w:rsidRPr="008B56E4" w:rsidR="00963F0F">
        <w:rPr>
          <w:rFonts w:cstheme="minorHAnsi"/>
        </w:rPr>
        <w:t>.</w:t>
      </w:r>
      <w:r w:rsidR="00C62C80">
        <w:rPr>
          <w:rFonts w:cstheme="minorHAnsi"/>
        </w:rPr>
        <w:t xml:space="preserve"> La Corte di giustizia </w:t>
      </w:r>
      <w:r w:rsidR="00C81E9E">
        <w:rPr>
          <w:rFonts w:cstheme="minorHAnsi"/>
        </w:rPr>
        <w:t xml:space="preserve">ha </w:t>
      </w:r>
      <w:r w:rsidR="005E1C8F">
        <w:rPr>
          <w:rFonts w:cstheme="minorHAnsi"/>
        </w:rPr>
        <w:t xml:space="preserve">deciso nel senso che una violazione di dati personali (data </w:t>
      </w:r>
      <w:proofErr w:type="spellStart"/>
      <w:r w:rsidR="005E1C8F">
        <w:rPr>
          <w:rFonts w:cstheme="minorHAnsi"/>
        </w:rPr>
        <w:t>breach</w:t>
      </w:r>
      <w:proofErr w:type="spellEnd"/>
      <w:r w:rsidR="005E1C8F">
        <w:rPr>
          <w:rFonts w:cstheme="minorHAnsi"/>
        </w:rPr>
        <w:t>)</w:t>
      </w:r>
      <w:r w:rsidR="00121702">
        <w:rPr>
          <w:rFonts w:cstheme="minorHAnsi"/>
        </w:rPr>
        <w:t>,</w:t>
      </w:r>
      <w:r w:rsidR="005E1C8F">
        <w:rPr>
          <w:rFonts w:cstheme="minorHAnsi"/>
        </w:rPr>
        <w:t xml:space="preserve"> ai sensi dell’art. 4</w:t>
      </w:r>
      <w:r w:rsidR="00121702">
        <w:rPr>
          <w:rFonts w:cstheme="minorHAnsi"/>
        </w:rPr>
        <w:t xml:space="preserve">, 12) del GDPR, non è sufficiente </w:t>
      </w:r>
      <w:r w:rsidR="00FC4671">
        <w:rPr>
          <w:rFonts w:cstheme="minorHAnsi"/>
        </w:rPr>
        <w:t>«</w:t>
      </w:r>
      <w:r w:rsidRPr="003B7776" w:rsidR="00FC4671">
        <w:rPr>
          <w:rFonts w:cstheme="minorHAnsi"/>
          <w:i/>
          <w:iCs/>
        </w:rPr>
        <w:t xml:space="preserve">di per sé, per ritenere che le misure tecniche e organizzative attuate dal titolare del trattamento </w:t>
      </w:r>
      <w:r w:rsidRPr="003B7776" w:rsidR="003B7776">
        <w:rPr>
          <w:rFonts w:cstheme="minorHAnsi"/>
          <w:i/>
          <w:iCs/>
        </w:rPr>
        <w:t>in questione non fossero “adeguate”, ai sensi degli articoli 24 e 32</w:t>
      </w:r>
      <w:r w:rsidR="003B7776">
        <w:rPr>
          <w:rFonts w:cstheme="minorHAnsi"/>
        </w:rPr>
        <w:t>» (</w:t>
      </w:r>
      <w:r w:rsidR="00BA6751">
        <w:rPr>
          <w:rFonts w:cstheme="minorHAnsi"/>
        </w:rPr>
        <w:t>CGUE, c-340, punto 1 conclusioni)</w:t>
      </w:r>
      <w:r w:rsidR="003B7776">
        <w:rPr>
          <w:rFonts w:cstheme="minorHAnsi"/>
        </w:rPr>
        <w:t>.</w:t>
      </w:r>
    </w:p>
    <w:p w:rsidR="002810D7" w:rsidP="00D769A8" w:rsidRDefault="008415FB" w14:paraId="749F29B5" w14:textId="3B647686">
      <w:pPr>
        <w:rPr>
          <w:rFonts w:cstheme="minorHAnsi"/>
        </w:rPr>
      </w:pPr>
      <w:r>
        <w:rPr>
          <w:rFonts w:cstheme="minorHAnsi"/>
        </w:rPr>
        <w:lastRenderedPageBreak/>
        <w:t>La valutazione</w:t>
      </w:r>
      <w:r w:rsidR="002810D7">
        <w:rPr>
          <w:rFonts w:cstheme="minorHAnsi"/>
        </w:rPr>
        <w:t xml:space="preserve"> deve essere </w:t>
      </w:r>
      <w:r w:rsidRPr="00F40C46" w:rsidR="002810D7">
        <w:rPr>
          <w:rFonts w:cstheme="minorHAnsi"/>
          <w:b/>
          <w:bCs/>
        </w:rPr>
        <w:t>obiettiv</w:t>
      </w:r>
      <w:r w:rsidRPr="00F40C46">
        <w:rPr>
          <w:rFonts w:cstheme="minorHAnsi"/>
          <w:b/>
          <w:bCs/>
        </w:rPr>
        <w:t>a</w:t>
      </w:r>
      <w:r w:rsidR="00334958">
        <w:rPr>
          <w:rFonts w:cstheme="minorHAnsi"/>
        </w:rPr>
        <w:t xml:space="preserve"> </w:t>
      </w:r>
      <w:r w:rsidR="00BF12ED">
        <w:rPr>
          <w:rFonts w:cstheme="minorHAnsi"/>
        </w:rPr>
        <w:t>«</w:t>
      </w:r>
      <w:r w:rsidRPr="001D7677" w:rsidR="00BF12ED">
        <w:rPr>
          <w:rFonts w:cstheme="minorHAnsi"/>
          <w:i/>
          <w:iCs/>
        </w:rPr>
        <w:t>prendendo in considerazione il grado di probabilità dei rischi individuati e il loro grado di gravità»</w:t>
      </w:r>
      <w:r w:rsidRPr="001D7677" w:rsidR="002810D7">
        <w:rPr>
          <w:rFonts w:cstheme="minorHAnsi"/>
          <w:i/>
          <w:iCs/>
        </w:rPr>
        <w:t xml:space="preserve"> </w:t>
      </w:r>
      <w:r w:rsidRPr="001D7677" w:rsidR="006E1462">
        <w:rPr>
          <w:rFonts w:cstheme="minorHAnsi"/>
          <w:i/>
          <w:iCs/>
        </w:rPr>
        <w:t>passando p</w:t>
      </w:r>
      <w:r w:rsidR="00D35222">
        <w:rPr>
          <w:rFonts w:cstheme="minorHAnsi"/>
          <w:i/>
          <w:iCs/>
        </w:rPr>
        <w:t>o</w:t>
      </w:r>
      <w:r w:rsidRPr="001D7677" w:rsidR="006E1462">
        <w:rPr>
          <w:rFonts w:cstheme="minorHAnsi"/>
          <w:i/>
          <w:iCs/>
        </w:rPr>
        <w:t xml:space="preserve">i a verificare se misure e garanzie siano </w:t>
      </w:r>
      <w:r w:rsidRPr="001D7677" w:rsidR="00884C08">
        <w:rPr>
          <w:rFonts w:cstheme="minorHAnsi"/>
          <w:i/>
          <w:iCs/>
        </w:rPr>
        <w:t>adeguate a tali rischi, tenuto conto dello stato dell’arte, dei costi di attuazione nonché della natura, della portata, del contesto e delle finalità di tale trattamento</w:t>
      </w:r>
      <w:r w:rsidR="00884C08">
        <w:rPr>
          <w:rFonts w:cstheme="minorHAnsi"/>
        </w:rPr>
        <w:t xml:space="preserve">» </w:t>
      </w:r>
      <w:r w:rsidRPr="00884C08" w:rsidR="00884C08">
        <w:rPr>
          <w:rFonts w:cstheme="minorHAnsi"/>
        </w:rPr>
        <w:t>(</w:t>
      </w:r>
      <w:hyperlink w:history="1" r:id="rId13">
        <w:r w:rsidRPr="009817E2" w:rsidR="00884C08">
          <w:rPr>
            <w:rStyle w:val="Hyperlink"/>
            <w:rFonts w:cstheme="minorHAnsi"/>
          </w:rPr>
          <w:t>CGUE, c-340/21</w:t>
        </w:r>
      </w:hyperlink>
      <w:r w:rsidRPr="00884C08" w:rsidR="00884C08">
        <w:rPr>
          <w:rFonts w:cstheme="minorHAnsi"/>
        </w:rPr>
        <w:t>, par. 4</w:t>
      </w:r>
      <w:r w:rsidR="001912D4">
        <w:rPr>
          <w:rFonts w:cstheme="minorHAnsi"/>
        </w:rPr>
        <w:t>2</w:t>
      </w:r>
      <w:r w:rsidRPr="00884C08" w:rsidR="00884C08">
        <w:rPr>
          <w:rFonts w:cstheme="minorHAnsi"/>
        </w:rPr>
        <w:t>).</w:t>
      </w:r>
    </w:p>
    <w:p w:rsidR="00EA0F29" w:rsidP="00CC0822" w:rsidRDefault="00EA0F29" w14:paraId="6679BD04" w14:textId="506DF769">
      <w:pPr>
        <w:pStyle w:val="Heading2"/>
      </w:pPr>
      <w:r>
        <w:t>Obbligo di dimostrare l’efficacia</w:t>
      </w:r>
    </w:p>
    <w:p w:rsidRPr="00B3549C" w:rsidR="00B3549C" w:rsidP="00B3549C" w:rsidRDefault="00BA7DC1" w14:paraId="6A9857C0" w14:textId="365E557C">
      <w:r>
        <w:t>In ultima analisi, il principio di adeguatezza è espressione</w:t>
      </w:r>
      <w:r w:rsidRPr="00BA7DC1">
        <w:t xml:space="preserve"> dell’accountability</w:t>
      </w:r>
      <w:r w:rsidR="000B7093">
        <w:t xml:space="preserve">, in quanto </w:t>
      </w:r>
      <w:r w:rsidR="007D4C8C">
        <w:t xml:space="preserve">esso </w:t>
      </w:r>
      <w:r w:rsidR="000B7093">
        <w:t xml:space="preserve">è </w:t>
      </w:r>
      <w:r w:rsidR="00401AC6">
        <w:t>oggetto</w:t>
      </w:r>
      <w:r w:rsidR="000B7093">
        <w:t xml:space="preserve"> d</w:t>
      </w:r>
      <w:r w:rsidR="00D879C3">
        <w:t>ella</w:t>
      </w:r>
      <w:r w:rsidR="000B7093">
        <w:t xml:space="preserve"> conformità </w:t>
      </w:r>
      <w:r w:rsidR="00272278">
        <w:t xml:space="preserve">al regolamento ed è </w:t>
      </w:r>
      <w:r w:rsidR="00401AC6">
        <w:t>elemento</w:t>
      </w:r>
      <w:r w:rsidR="00272278">
        <w:t xml:space="preserve"> </w:t>
      </w:r>
      <w:r w:rsidR="00651287">
        <w:t xml:space="preserve">dell’obbligo </w:t>
      </w:r>
      <w:r w:rsidR="00272278">
        <w:t>di dimostrazione</w:t>
      </w:r>
      <w:r w:rsidR="00925C75">
        <w:t xml:space="preserve">, come è </w:t>
      </w:r>
      <w:r w:rsidR="00C6382C">
        <w:t xml:space="preserve">sancito dall’articolo 5, paragrafo 2, e </w:t>
      </w:r>
      <w:r w:rsidR="00925C75">
        <w:t>concretizzato all’articolo 24 del GDPR</w:t>
      </w:r>
      <w:r w:rsidR="00953700">
        <w:t xml:space="preserve"> </w:t>
      </w:r>
      <w:r w:rsidRPr="00953700" w:rsidR="00953700">
        <w:t>(</w:t>
      </w:r>
      <w:hyperlink w:history="1" r:id="rId14">
        <w:r w:rsidRPr="009817E2" w:rsidR="00953700">
          <w:rPr>
            <w:rStyle w:val="Hyperlink"/>
          </w:rPr>
          <w:t>CGUE, c-340/21</w:t>
        </w:r>
      </w:hyperlink>
      <w:r w:rsidRPr="00953700" w:rsidR="00953700">
        <w:t xml:space="preserve">, </w:t>
      </w:r>
      <w:proofErr w:type="spellStart"/>
      <w:r w:rsidRPr="00953700" w:rsidR="00953700">
        <w:t>pa</w:t>
      </w:r>
      <w:r w:rsidR="00953700">
        <w:t>r</w:t>
      </w:r>
      <w:r w:rsidRPr="00953700" w:rsidR="00953700">
        <w:t>r</w:t>
      </w:r>
      <w:proofErr w:type="spellEnd"/>
      <w:r w:rsidRPr="00953700" w:rsidR="00953700">
        <w:t xml:space="preserve">. </w:t>
      </w:r>
      <w:r w:rsidR="00953700">
        <w:t>48, 49</w:t>
      </w:r>
      <w:r w:rsidR="00C67C91">
        <w:t>, 52, 53</w:t>
      </w:r>
      <w:r w:rsidRPr="00953700" w:rsidR="00953700">
        <w:t>)</w:t>
      </w:r>
      <w:r w:rsidRPr="00BA7DC1">
        <w:t>.</w:t>
      </w:r>
      <w:r w:rsidR="006C7C3A">
        <w:t xml:space="preserve"> </w:t>
      </w:r>
    </w:p>
    <w:p w:rsidR="003C6F49" w:rsidRDefault="008E19A3" w14:paraId="53805A92" w14:textId="6BD6B9C6">
      <w:pPr>
        <w:rPr>
          <w:rFonts w:cstheme="minorHAnsi"/>
        </w:rPr>
      </w:pPr>
      <w:r>
        <w:rPr>
          <w:rFonts w:cstheme="minorHAnsi"/>
        </w:rPr>
        <w:t>I</w:t>
      </w:r>
      <w:r w:rsidRPr="008E19A3">
        <w:rPr>
          <w:rFonts w:cstheme="minorHAnsi"/>
        </w:rPr>
        <w:t xml:space="preserve">n questo ambito, </w:t>
      </w:r>
      <w:r>
        <w:rPr>
          <w:rFonts w:cstheme="minorHAnsi"/>
        </w:rPr>
        <w:t>l</w:t>
      </w:r>
      <w:r w:rsidR="00A9533D">
        <w:rPr>
          <w:rFonts w:cstheme="minorHAnsi"/>
        </w:rPr>
        <w:t>’obbligo di dimostra</w:t>
      </w:r>
      <w:r w:rsidR="00907FF4">
        <w:rPr>
          <w:rFonts w:cstheme="minorHAnsi"/>
        </w:rPr>
        <w:t>r</w:t>
      </w:r>
      <w:r w:rsidR="00A9533D">
        <w:rPr>
          <w:rFonts w:cstheme="minorHAnsi"/>
        </w:rPr>
        <w:t xml:space="preserve">e </w:t>
      </w:r>
      <w:r w:rsidR="00907FF4">
        <w:rPr>
          <w:rFonts w:cstheme="minorHAnsi"/>
        </w:rPr>
        <w:t>la conformità</w:t>
      </w:r>
      <w:r w:rsidR="00E92D61">
        <w:rPr>
          <w:rFonts w:cstheme="minorHAnsi"/>
        </w:rPr>
        <w:t>,</w:t>
      </w:r>
      <w:r w:rsidR="00907FF4">
        <w:rPr>
          <w:rFonts w:cstheme="minorHAnsi"/>
        </w:rPr>
        <w:t xml:space="preserve"> </w:t>
      </w:r>
      <w:r w:rsidR="00A9533D">
        <w:rPr>
          <w:rFonts w:cstheme="minorHAnsi"/>
        </w:rPr>
        <w:t>di cui si compone l’accountability</w:t>
      </w:r>
      <w:r w:rsidR="00E92D61">
        <w:rPr>
          <w:rFonts w:cstheme="minorHAnsi"/>
        </w:rPr>
        <w:t>,</w:t>
      </w:r>
      <w:r w:rsidR="00A9533D">
        <w:rPr>
          <w:rFonts w:cstheme="minorHAnsi"/>
        </w:rPr>
        <w:t xml:space="preserve"> </w:t>
      </w:r>
      <w:r w:rsidR="000730D4">
        <w:rPr>
          <w:rFonts w:cstheme="minorHAnsi"/>
        </w:rPr>
        <w:t xml:space="preserve">si traduce </w:t>
      </w:r>
      <w:r w:rsidR="009D6BB5">
        <w:rPr>
          <w:rFonts w:cstheme="minorHAnsi"/>
        </w:rPr>
        <w:t>nella dimostrazione dell’adeguatezza del proprio comportamento</w:t>
      </w:r>
      <w:r w:rsidR="00347B14">
        <w:rPr>
          <w:rFonts w:cstheme="minorHAnsi"/>
        </w:rPr>
        <w:t xml:space="preserve"> (</w:t>
      </w:r>
      <w:r w:rsidR="002B1FC6">
        <w:rPr>
          <w:rFonts w:cstheme="minorHAnsi"/>
        </w:rPr>
        <w:t>proporzionato</w:t>
      </w:r>
      <w:r w:rsidR="002F3F96">
        <w:rPr>
          <w:rFonts w:cstheme="minorHAnsi"/>
        </w:rPr>
        <w:t xml:space="preserve">, in termini di misure </w:t>
      </w:r>
      <w:r w:rsidR="003C6F49">
        <w:rPr>
          <w:rFonts w:cstheme="minorHAnsi"/>
        </w:rPr>
        <w:t>e garanzie</w:t>
      </w:r>
      <w:r w:rsidR="002B1FC6">
        <w:rPr>
          <w:rFonts w:cstheme="minorHAnsi"/>
        </w:rPr>
        <w:t>) ai rischi determinati dal trattamento nel</w:t>
      </w:r>
      <w:r w:rsidR="003D35E9">
        <w:rPr>
          <w:rFonts w:cstheme="minorHAnsi"/>
        </w:rPr>
        <w:t>lo specifico</w:t>
      </w:r>
      <w:r w:rsidR="002B1FC6">
        <w:rPr>
          <w:rFonts w:cstheme="minorHAnsi"/>
        </w:rPr>
        <w:t xml:space="preserve"> contesto</w:t>
      </w:r>
      <w:r w:rsidR="00A615E9">
        <w:rPr>
          <w:rFonts w:cstheme="minorHAnsi"/>
        </w:rPr>
        <w:t>.</w:t>
      </w:r>
      <w:r w:rsidR="001524DB">
        <w:rPr>
          <w:rFonts w:cstheme="minorHAnsi"/>
        </w:rPr>
        <w:t xml:space="preserve"> </w:t>
      </w:r>
    </w:p>
    <w:p w:rsidR="00275017" w:rsidRDefault="003C6F49" w14:paraId="164087D7" w14:textId="5830BCC1">
      <w:pPr>
        <w:rPr>
          <w:rFonts w:cstheme="minorHAnsi"/>
        </w:rPr>
      </w:pPr>
      <w:r w:rsidRPr="003C6F49">
        <w:rPr>
          <w:rFonts w:cstheme="minorHAnsi"/>
        </w:rPr>
        <w:t>L’</w:t>
      </w:r>
      <w:r w:rsidRPr="00EA0433">
        <w:rPr>
          <w:rFonts w:cstheme="minorHAnsi"/>
          <w:b/>
          <w:bCs/>
        </w:rPr>
        <w:t xml:space="preserve">onere </w:t>
      </w:r>
      <w:r w:rsidRPr="00EA0433" w:rsidR="00AB2205">
        <w:rPr>
          <w:rFonts w:cstheme="minorHAnsi"/>
          <w:b/>
          <w:bCs/>
        </w:rPr>
        <w:t>della prova del</w:t>
      </w:r>
      <w:r w:rsidRPr="00EA0433">
        <w:rPr>
          <w:rFonts w:cstheme="minorHAnsi"/>
          <w:b/>
          <w:bCs/>
        </w:rPr>
        <w:t>l’adeguatezza</w:t>
      </w:r>
      <w:r w:rsidRPr="003C6F49">
        <w:rPr>
          <w:rFonts w:cstheme="minorHAnsi"/>
        </w:rPr>
        <w:t xml:space="preserve"> </w:t>
      </w:r>
      <w:r w:rsidR="0044693F">
        <w:rPr>
          <w:rFonts w:cstheme="minorHAnsi"/>
        </w:rPr>
        <w:t xml:space="preserve">di misure e garanzie adottate </w:t>
      </w:r>
      <w:r w:rsidRPr="003C6F49">
        <w:rPr>
          <w:rFonts w:cstheme="minorHAnsi"/>
        </w:rPr>
        <w:t xml:space="preserve">incombe </w:t>
      </w:r>
      <w:r>
        <w:rPr>
          <w:rFonts w:cstheme="minorHAnsi"/>
        </w:rPr>
        <w:t>a</w:t>
      </w:r>
      <w:r w:rsidRPr="003C6F49">
        <w:rPr>
          <w:rFonts w:cstheme="minorHAnsi"/>
        </w:rPr>
        <w:t>l titolare del trattamento</w:t>
      </w:r>
      <w:r w:rsidR="00275017">
        <w:rPr>
          <w:rFonts w:cstheme="minorHAnsi"/>
        </w:rPr>
        <w:t xml:space="preserve">; la CGUE </w:t>
      </w:r>
      <w:r w:rsidR="00B330CF">
        <w:rPr>
          <w:rFonts w:cstheme="minorHAnsi"/>
        </w:rPr>
        <w:t xml:space="preserve">nella sua prima decisione relativa alle misure di sicurezza del GDPR, ha affermato che </w:t>
      </w:r>
      <w:r w:rsidR="00953B5A">
        <w:rPr>
          <w:rFonts w:cstheme="minorHAnsi"/>
        </w:rPr>
        <w:t>«</w:t>
      </w:r>
      <w:r w:rsidRPr="003A53AA" w:rsidR="00953B5A">
        <w:rPr>
          <w:rFonts w:cstheme="minorHAnsi"/>
          <w:i/>
          <w:iCs/>
        </w:rPr>
        <w:t>[d]al disposto dell’articolo 5, paragrafo 2, dell’articolo 24, paragrafo 1, e dell’articolo 32, paragrafo 1, del RGPD risulta senza ambiguità che l’onere di provare che i dati personali sono trattati in modo tale da garantire una loro adeguata sicurezza ai sensi dell’articolo 5, paragrafo 1, lettera f), e dell’articolo 32 di detto regolamento incombe al titolare del trattamento in parola</w:t>
      </w:r>
      <w:r w:rsidR="00953B5A">
        <w:rPr>
          <w:rFonts w:cstheme="minorHAnsi"/>
        </w:rPr>
        <w:t>» (</w:t>
      </w:r>
      <w:hyperlink w:history="1" r:id="rId15">
        <w:r w:rsidRPr="009817E2" w:rsidR="009817E2">
          <w:rPr>
            <w:rStyle w:val="Hyperlink"/>
            <w:rFonts w:cstheme="minorHAnsi"/>
          </w:rPr>
          <w:t xml:space="preserve">CGUE, </w:t>
        </w:r>
        <w:r w:rsidRPr="009817E2" w:rsidR="00953B5A">
          <w:rPr>
            <w:rStyle w:val="Hyperlink"/>
            <w:rFonts w:cstheme="minorHAnsi"/>
          </w:rPr>
          <w:t>c-340/21</w:t>
        </w:r>
      </w:hyperlink>
      <w:r w:rsidR="00953B5A">
        <w:rPr>
          <w:rFonts w:cstheme="minorHAnsi"/>
        </w:rPr>
        <w:t>, par. 52, con richiami).</w:t>
      </w:r>
      <w:r w:rsidR="00747238">
        <w:rPr>
          <w:rFonts w:cstheme="minorHAnsi"/>
        </w:rPr>
        <w:t xml:space="preserve"> </w:t>
      </w:r>
    </w:p>
    <w:p w:rsidR="003C6F49" w:rsidRDefault="00275017" w14:paraId="5F0DDF2B" w14:textId="20EBF552">
      <w:pPr>
        <w:rPr>
          <w:rFonts w:cstheme="minorHAnsi"/>
        </w:rPr>
      </w:pPr>
      <w:r>
        <w:rPr>
          <w:rFonts w:cstheme="minorHAnsi"/>
        </w:rPr>
        <w:t>Il titolare,</w:t>
      </w:r>
      <w:r w:rsidR="00747238">
        <w:rPr>
          <w:rFonts w:cstheme="minorHAnsi"/>
        </w:rPr>
        <w:t xml:space="preserve"> </w:t>
      </w:r>
      <w:r w:rsidR="008A27E4">
        <w:rPr>
          <w:rFonts w:cstheme="minorHAnsi"/>
        </w:rPr>
        <w:t>per non essere soggetto a responsabilità</w:t>
      </w:r>
      <w:r>
        <w:rPr>
          <w:rFonts w:cstheme="minorHAnsi"/>
        </w:rPr>
        <w:t>,</w:t>
      </w:r>
      <w:r w:rsidR="008A27E4">
        <w:rPr>
          <w:rFonts w:cstheme="minorHAnsi"/>
        </w:rPr>
        <w:t xml:space="preserve"> </w:t>
      </w:r>
      <w:r w:rsidR="00747238">
        <w:rPr>
          <w:rFonts w:cstheme="minorHAnsi"/>
        </w:rPr>
        <w:t>deve essere in grado di dimostrare</w:t>
      </w:r>
      <w:r w:rsidR="008A27E4">
        <w:rPr>
          <w:rFonts w:cstheme="minorHAnsi"/>
        </w:rPr>
        <w:t xml:space="preserve"> di aver fatto </w:t>
      </w:r>
      <w:r w:rsidR="00E351C9">
        <w:rPr>
          <w:rFonts w:cstheme="minorHAnsi"/>
        </w:rPr>
        <w:t>«</w:t>
      </w:r>
      <w:r w:rsidRPr="000F2C57" w:rsidR="008A27E4">
        <w:rPr>
          <w:rFonts w:cstheme="minorHAnsi"/>
          <w:i/>
          <w:iCs/>
        </w:rPr>
        <w:t xml:space="preserve">tutto il possibile </w:t>
      </w:r>
      <w:r w:rsidRPr="000F2C57" w:rsidR="00E351C9">
        <w:rPr>
          <w:rFonts w:cstheme="minorHAnsi"/>
          <w:i/>
          <w:iCs/>
        </w:rPr>
        <w:t>per prevenire operazioni di trattamento non conformi a tale regolamento</w:t>
      </w:r>
      <w:r w:rsidR="00E351C9">
        <w:rPr>
          <w:rFonts w:cstheme="minorHAnsi"/>
        </w:rPr>
        <w:t>» (CGUE, c-340/21, par. 55).</w:t>
      </w:r>
    </w:p>
    <w:p w:rsidR="00400A27" w:rsidRDefault="00031146" w14:paraId="474303E6" w14:textId="275B9374">
      <w:pPr>
        <w:rPr>
          <w:rFonts w:cstheme="minorHAnsi"/>
        </w:rPr>
      </w:pPr>
      <w:r>
        <w:rPr>
          <w:rFonts w:cstheme="minorHAnsi"/>
        </w:rPr>
        <w:t>Questo concetto, nell’ambito della sicurez</w:t>
      </w:r>
      <w:r w:rsidR="00C4587D">
        <w:rPr>
          <w:rFonts w:cstheme="minorHAnsi"/>
        </w:rPr>
        <w:t>za</w:t>
      </w:r>
      <w:r w:rsidR="00015D6E">
        <w:rPr>
          <w:rFonts w:cstheme="minorHAnsi"/>
        </w:rPr>
        <w:t xml:space="preserve"> dei dati</w:t>
      </w:r>
      <w:r w:rsidR="00C26EB6">
        <w:rPr>
          <w:rFonts w:cstheme="minorHAnsi"/>
        </w:rPr>
        <w:t xml:space="preserve"> personali</w:t>
      </w:r>
      <w:r w:rsidR="00C4587D">
        <w:rPr>
          <w:rFonts w:cstheme="minorHAnsi"/>
        </w:rPr>
        <w:t xml:space="preserve">, </w:t>
      </w:r>
      <w:r w:rsidR="000D1DF6">
        <w:rPr>
          <w:rFonts w:cstheme="minorHAnsi"/>
        </w:rPr>
        <w:t xml:space="preserve">è espresso nel considerando (74) del regolamento che sottolinea </w:t>
      </w:r>
      <w:r w:rsidR="00EC752A">
        <w:rPr>
          <w:rFonts w:cstheme="minorHAnsi"/>
        </w:rPr>
        <w:t>l’importanza per</w:t>
      </w:r>
      <w:r w:rsidR="000D1DF6">
        <w:rPr>
          <w:rFonts w:cstheme="minorHAnsi"/>
        </w:rPr>
        <w:t xml:space="preserve"> il titolare del trattamento </w:t>
      </w:r>
      <w:r w:rsidR="00EB05B1">
        <w:rPr>
          <w:rFonts w:cstheme="minorHAnsi"/>
        </w:rPr>
        <w:t>di</w:t>
      </w:r>
      <w:r w:rsidR="00E737F6">
        <w:rPr>
          <w:rFonts w:cstheme="minorHAnsi"/>
        </w:rPr>
        <w:t xml:space="preserve"> attuare misure adeguate </w:t>
      </w:r>
      <w:r w:rsidR="00AC26CC">
        <w:rPr>
          <w:rFonts w:cstheme="minorHAnsi"/>
        </w:rPr>
        <w:t>ed</w:t>
      </w:r>
      <w:r w:rsidR="00E737F6">
        <w:rPr>
          <w:rFonts w:cstheme="minorHAnsi"/>
        </w:rPr>
        <w:t xml:space="preserve"> </w:t>
      </w:r>
      <w:r w:rsidRPr="001A143E" w:rsidR="00E737F6">
        <w:rPr>
          <w:rFonts w:cstheme="minorHAnsi"/>
          <w:b/>
          <w:bCs/>
        </w:rPr>
        <w:t>efficaci</w:t>
      </w:r>
      <w:r w:rsidR="00E737F6">
        <w:rPr>
          <w:rFonts w:cstheme="minorHAnsi"/>
        </w:rPr>
        <w:t xml:space="preserve"> e </w:t>
      </w:r>
      <w:r w:rsidR="00EB05B1">
        <w:rPr>
          <w:rFonts w:cstheme="minorHAnsi"/>
        </w:rPr>
        <w:t>di essere</w:t>
      </w:r>
      <w:r w:rsidR="00E737F6">
        <w:rPr>
          <w:rFonts w:cstheme="minorHAnsi"/>
        </w:rPr>
        <w:t xml:space="preserve"> in grado di dimostrare </w:t>
      </w:r>
      <w:r w:rsidR="001A143E">
        <w:rPr>
          <w:rFonts w:cstheme="minorHAnsi"/>
        </w:rPr>
        <w:t xml:space="preserve">la conformità </w:t>
      </w:r>
      <w:r w:rsidR="00AC26CC">
        <w:rPr>
          <w:rFonts w:cstheme="minorHAnsi"/>
        </w:rPr>
        <w:t>delle</w:t>
      </w:r>
      <w:r w:rsidR="001A143E">
        <w:rPr>
          <w:rFonts w:cstheme="minorHAnsi"/>
        </w:rPr>
        <w:t xml:space="preserve"> attività di trattamento, </w:t>
      </w:r>
      <w:r w:rsidRPr="001A143E" w:rsidR="001A143E">
        <w:rPr>
          <w:rFonts w:cstheme="minorHAnsi"/>
          <w:b/>
          <w:bCs/>
        </w:rPr>
        <w:t>compresa l’efficacia delle misure</w:t>
      </w:r>
      <w:r w:rsidRPr="00AC26CC" w:rsidR="001A143E">
        <w:rPr>
          <w:rFonts w:cstheme="minorHAnsi"/>
        </w:rPr>
        <w:t xml:space="preserve"> (CGUE, c-</w:t>
      </w:r>
      <w:r w:rsidRPr="00AC26CC" w:rsidR="00AC26CC">
        <w:rPr>
          <w:rFonts w:cstheme="minorHAnsi"/>
        </w:rPr>
        <w:t>340/21, par. 35)</w:t>
      </w:r>
      <w:r w:rsidRPr="00AC26CC" w:rsidR="001A143E">
        <w:rPr>
          <w:rFonts w:cstheme="minorHAnsi"/>
        </w:rPr>
        <w:t>.</w:t>
      </w:r>
    </w:p>
    <w:p w:rsidR="00C03E17" w:rsidP="00C03E17" w:rsidRDefault="00C03E17" w14:paraId="26327592" w14:textId="122FE1B2">
      <w:pPr>
        <w:pStyle w:val="Heading1"/>
      </w:pPr>
      <w:r>
        <w:t>Scrutinio dell’adeguatezza</w:t>
      </w:r>
    </w:p>
    <w:p w:rsidR="00C03E17" w:rsidRDefault="00E96BEE" w14:paraId="5123B670" w14:textId="35BD8323">
      <w:pPr>
        <w:rPr>
          <w:rFonts w:cstheme="minorHAnsi"/>
        </w:rPr>
      </w:pPr>
      <w:r>
        <w:rPr>
          <w:rFonts w:cstheme="minorHAnsi"/>
        </w:rPr>
        <w:t xml:space="preserve">L’adeguatezza delle misure </w:t>
      </w:r>
      <w:r w:rsidR="002F5007">
        <w:rPr>
          <w:rFonts w:cstheme="minorHAnsi"/>
        </w:rPr>
        <w:t>tecniche e organizzative adottate ai sensi dell’articolo 32 del GDPR e, più in generale, delle garanzie per i diritti e le libertà fondamentali dell’interessato</w:t>
      </w:r>
      <w:r w:rsidR="0049034F">
        <w:rPr>
          <w:rFonts w:cstheme="minorHAnsi"/>
        </w:rPr>
        <w:t xml:space="preserve"> è soggetta allo scrutinio dell’autorità di supervisione e del giudice </w:t>
      </w:r>
      <w:r w:rsidR="00574598">
        <w:rPr>
          <w:rFonts w:cstheme="minorHAnsi"/>
        </w:rPr>
        <w:t>nazionale.</w:t>
      </w:r>
    </w:p>
    <w:p w:rsidRPr="00060E33" w:rsidR="005E3173" w:rsidP="005E3173" w:rsidRDefault="00574598" w14:paraId="474B7AC1" w14:textId="77777777">
      <w:pPr>
        <w:rPr>
          <w:rFonts w:cstheme="minorHAnsi"/>
          <w:i/>
          <w:iCs/>
        </w:rPr>
      </w:pPr>
      <w:r>
        <w:rPr>
          <w:rFonts w:cstheme="minorHAnsi"/>
        </w:rPr>
        <w:t xml:space="preserve">Autorità e giudice </w:t>
      </w:r>
      <w:r w:rsidR="008A0B89">
        <w:rPr>
          <w:rFonts w:cstheme="minorHAnsi"/>
        </w:rPr>
        <w:t>non devono «</w:t>
      </w:r>
      <w:r w:rsidRPr="00060E33" w:rsidR="005E3173">
        <w:rPr>
          <w:rFonts w:cstheme="minorHAnsi"/>
          <w:i/>
          <w:iCs/>
        </w:rPr>
        <w:t>limitarsi a constatare in che modo il titolare del trattamento interessato abbia inteso adempiere gli obblighi ad esso incombenti in forza di tale articolo, bensì effettuare un esame di tali misure nel merito, alla luce di tutti i criteri menzionati in detto articolo nonché delle circostanze proprie del caso di specie e degli elementi di prova di cui tale giudice dispone al riguardo.</w:t>
      </w:r>
    </w:p>
    <w:p w:rsidR="00574598" w:rsidP="005E3173" w:rsidRDefault="005E3173" w14:paraId="76FBC0F2" w14:textId="1E1600A4">
      <w:pPr>
        <w:rPr>
          <w:rFonts w:cstheme="minorHAnsi"/>
        </w:rPr>
      </w:pPr>
      <w:r w:rsidRPr="00060E33">
        <w:rPr>
          <w:rFonts w:cstheme="minorHAnsi"/>
          <w:i/>
          <w:iCs/>
        </w:rPr>
        <w:t>Un siffatto esame richiede di procedere a un’analisi concreta sia della natura e del contenuto delle misure che sono state attuate dal titolare del trattamento, del modo in cui tali misure sono state applicate e dei loro effetti pratici sul livello di sicurezza che quest’ultimo era tenuto a garantire, tenuto conto dei rischi inerenti a tale trattamento.</w:t>
      </w:r>
      <w:r>
        <w:rPr>
          <w:rFonts w:cstheme="minorHAnsi"/>
        </w:rPr>
        <w:t xml:space="preserve">» </w:t>
      </w:r>
      <w:r w:rsidRPr="005E3173">
        <w:rPr>
          <w:rFonts w:cstheme="minorHAnsi"/>
        </w:rPr>
        <w:t>(</w:t>
      </w:r>
      <w:hyperlink w:history="1" r:id="rId16">
        <w:r w:rsidRPr="009817E2">
          <w:rPr>
            <w:rStyle w:val="Hyperlink"/>
            <w:rFonts w:cstheme="minorHAnsi"/>
          </w:rPr>
          <w:t>CGUE, c-340/21</w:t>
        </w:r>
      </w:hyperlink>
      <w:r w:rsidRPr="005E3173">
        <w:rPr>
          <w:rFonts w:cstheme="minorHAnsi"/>
        </w:rPr>
        <w:t xml:space="preserve">, </w:t>
      </w:r>
      <w:proofErr w:type="spellStart"/>
      <w:r w:rsidRPr="005E3173">
        <w:rPr>
          <w:rFonts w:cstheme="minorHAnsi"/>
        </w:rPr>
        <w:t>par</w:t>
      </w:r>
      <w:r>
        <w:rPr>
          <w:rFonts w:cstheme="minorHAnsi"/>
        </w:rPr>
        <w:t>r</w:t>
      </w:r>
      <w:proofErr w:type="spellEnd"/>
      <w:r w:rsidRPr="005E3173">
        <w:rPr>
          <w:rFonts w:cstheme="minorHAnsi"/>
        </w:rPr>
        <w:t xml:space="preserve">. </w:t>
      </w:r>
      <w:r>
        <w:rPr>
          <w:rFonts w:cstheme="minorHAnsi"/>
        </w:rPr>
        <w:t>4</w:t>
      </w:r>
      <w:r w:rsidRPr="005E3173">
        <w:rPr>
          <w:rFonts w:cstheme="minorHAnsi"/>
        </w:rPr>
        <w:t>5</w:t>
      </w:r>
      <w:r>
        <w:rPr>
          <w:rFonts w:cstheme="minorHAnsi"/>
        </w:rPr>
        <w:t>, 46</w:t>
      </w:r>
      <w:r w:rsidRPr="005E3173">
        <w:rPr>
          <w:rFonts w:cstheme="minorHAnsi"/>
        </w:rPr>
        <w:t>).</w:t>
      </w:r>
    </w:p>
    <w:p w:rsidR="002C0D90" w:rsidP="005E3173" w:rsidRDefault="002108C7" w14:paraId="645D7E56" w14:textId="6C90D6DF">
      <w:pPr>
        <w:rPr>
          <w:rFonts w:cstheme="minorHAnsi"/>
        </w:rPr>
      </w:pPr>
      <w:r>
        <w:rPr>
          <w:rFonts w:cstheme="minorHAnsi"/>
        </w:rPr>
        <w:t>Su</w:t>
      </w:r>
      <w:r w:rsidR="006C13A9">
        <w:rPr>
          <w:rFonts w:cstheme="minorHAnsi"/>
        </w:rPr>
        <w:t>ll’(in)adeguatezza delle misure adottate dal titolare</w:t>
      </w:r>
      <w:r w:rsidR="00E61E6E">
        <w:rPr>
          <w:rFonts w:cstheme="minorHAnsi"/>
        </w:rPr>
        <w:t>, da ultimo,</w:t>
      </w:r>
      <w:r w:rsidR="006C13A9">
        <w:rPr>
          <w:rFonts w:cstheme="minorHAnsi"/>
        </w:rPr>
        <w:t xml:space="preserve"> </w:t>
      </w:r>
      <w:r w:rsidR="00EC35BC">
        <w:rPr>
          <w:rFonts w:cstheme="minorHAnsi"/>
        </w:rPr>
        <w:t xml:space="preserve">in merito ai trattamenti di dati connessi al fenomeno delle attivazioni non richieste, si veda il provvedimento del Garante </w:t>
      </w:r>
      <w:r w:rsidR="00865ABF">
        <w:rPr>
          <w:rFonts w:cstheme="minorHAnsi"/>
        </w:rPr>
        <w:t>del 28 settembre 2023 (</w:t>
      </w:r>
      <w:hyperlink w:history="1" r:id="rId17">
        <w:r w:rsidRPr="007D6E6E" w:rsidR="00865ABF">
          <w:rPr>
            <w:rStyle w:val="Hyperlink"/>
            <w:rFonts w:cstheme="minorHAnsi"/>
          </w:rPr>
          <w:t xml:space="preserve">doc. web n. </w:t>
        </w:r>
        <w:r w:rsidRPr="007D6E6E" w:rsidR="0067745C">
          <w:rPr>
            <w:rStyle w:val="Hyperlink"/>
            <w:rFonts w:cstheme="minorHAnsi"/>
          </w:rPr>
          <w:t>9940988</w:t>
        </w:r>
      </w:hyperlink>
      <w:r w:rsidR="0067745C">
        <w:rPr>
          <w:rFonts w:cstheme="minorHAnsi"/>
        </w:rPr>
        <w:t>).</w:t>
      </w:r>
    </w:p>
    <w:p w:rsidR="002108C7" w:rsidP="00BD7283" w:rsidRDefault="002108C7" w14:paraId="33030651" w14:textId="5A7C8FC5">
      <w:pPr>
        <w:pStyle w:val="Heading1"/>
      </w:pPr>
      <w:r>
        <w:lastRenderedPageBreak/>
        <w:t xml:space="preserve">Adeguatezza </w:t>
      </w:r>
      <w:r w:rsidR="00BD7283">
        <w:t>nel ciclo di vita del trattamento</w:t>
      </w:r>
    </w:p>
    <w:p w:rsidR="00BD7283" w:rsidP="00BD7283" w:rsidRDefault="00BD7283" w14:paraId="7B97ADD8" w14:textId="2243F2DE">
      <w:r w:rsidR="00BD7283">
        <w:rPr/>
        <w:t>L’adeguatezza di misure e garanz</w:t>
      </w:r>
      <w:r w:rsidR="52D08BF5">
        <w:rPr/>
        <w:t>i</w:t>
      </w:r>
      <w:r w:rsidR="00BD7283">
        <w:rPr/>
        <w:t>e va assicurata durante tutto il ciclo di vita del trattamento di dati personali</w:t>
      </w:r>
      <w:r w:rsidR="007F7691">
        <w:rPr/>
        <w:t>:</w:t>
      </w:r>
      <w:r w:rsidR="00BD7283">
        <w:rPr/>
        <w:t xml:space="preserve"> prima della sua realizzazione, durante </w:t>
      </w:r>
      <w:r w:rsidR="007A178F">
        <w:rPr/>
        <w:t>la realizzazione delle attività operative e all’atto della cessazione.</w:t>
      </w:r>
    </w:p>
    <w:p w:rsidR="00EB5B8C" w:rsidP="00BD7283" w:rsidRDefault="007A178F" w14:paraId="6C283655" w14:textId="2CCF694E">
      <w:r>
        <w:t xml:space="preserve">Ne è testimonianza </w:t>
      </w:r>
      <w:r w:rsidR="00F14D22">
        <w:t>il combinato de</w:t>
      </w:r>
      <w:r w:rsidR="000D6F47">
        <w:t>gli articoli 2</w:t>
      </w:r>
      <w:r w:rsidR="004B795E">
        <w:t>4, 2</w:t>
      </w:r>
      <w:r w:rsidR="000D6F47">
        <w:t>5</w:t>
      </w:r>
      <w:r w:rsidR="004B795E">
        <w:t xml:space="preserve"> e 32, </w:t>
      </w:r>
      <w:r w:rsidR="002D3882">
        <w:t xml:space="preserve">la precisazione contenuta </w:t>
      </w:r>
      <w:r w:rsidR="0080601D">
        <w:t xml:space="preserve">al Considerando (39), </w:t>
      </w:r>
      <w:r w:rsidR="004B795E">
        <w:t xml:space="preserve">nonché </w:t>
      </w:r>
      <w:r>
        <w:t xml:space="preserve">la disciplina </w:t>
      </w:r>
      <w:r w:rsidR="00A8128C">
        <w:t>su</w:t>
      </w:r>
      <w:r w:rsidR="00EB5B8C">
        <w:t>:</w:t>
      </w:r>
    </w:p>
    <w:p w:rsidR="00244574" w:rsidP="00EB5B8C" w:rsidRDefault="00244574" w14:paraId="5F9CB6DC" w14:textId="3B3A72B4">
      <w:pPr>
        <w:pStyle w:val="ListParagraph"/>
        <w:numPr>
          <w:ilvl w:val="0"/>
          <w:numId w:val="5"/>
        </w:numPr>
      </w:pPr>
      <w:r>
        <w:t xml:space="preserve">la </w:t>
      </w:r>
      <w:r w:rsidRPr="000A143A">
        <w:rPr>
          <w:b/>
          <w:bCs/>
        </w:rPr>
        <w:t>valutazione d’impatto</w:t>
      </w:r>
      <w:r>
        <w:t xml:space="preserve"> che deve essere effettuata prima del trattamento e </w:t>
      </w:r>
      <w:r w:rsidR="00693DC4">
        <w:t xml:space="preserve">deve </w:t>
      </w:r>
      <w:r w:rsidR="005B196C">
        <w:rPr>
          <w:rFonts w:cstheme="minorHAnsi"/>
        </w:rPr>
        <w:t>«</w:t>
      </w:r>
      <w:r w:rsidRPr="005F2E90" w:rsidR="00693DC4">
        <w:rPr>
          <w:i/>
          <w:iCs/>
        </w:rPr>
        <w:t>vertere</w:t>
      </w:r>
      <w:r w:rsidRPr="005F2E90" w:rsidR="005B196C">
        <w:rPr>
          <w:i/>
          <w:iCs/>
        </w:rPr>
        <w:t>, in particolare,</w:t>
      </w:r>
      <w:r w:rsidRPr="005F2E90" w:rsidR="00693DC4">
        <w:rPr>
          <w:i/>
          <w:iCs/>
        </w:rPr>
        <w:t xml:space="preserve"> anche sulle misure, sulle garanzie </w:t>
      </w:r>
      <w:r w:rsidRPr="005F2E90" w:rsidR="00990BF2">
        <w:rPr>
          <w:i/>
          <w:iCs/>
        </w:rPr>
        <w:t xml:space="preserve">e sui meccanismi previsti per attenuare tale rischio assicurando </w:t>
      </w:r>
      <w:r w:rsidRPr="005F2E90" w:rsidR="005B196C">
        <w:rPr>
          <w:i/>
          <w:iCs/>
        </w:rPr>
        <w:t>la protezione dei dati personali e dimostrando la conformità al presente regolamento</w:t>
      </w:r>
      <w:r w:rsidR="005B196C">
        <w:rPr>
          <w:rFonts w:cstheme="minorHAnsi"/>
        </w:rPr>
        <w:t>»</w:t>
      </w:r>
      <w:r w:rsidR="005B196C">
        <w:t xml:space="preserve"> [Considerando (90), GDPR]</w:t>
      </w:r>
    </w:p>
    <w:p w:rsidR="007222F8" w:rsidP="00EB5B8C" w:rsidRDefault="005B196C" w14:paraId="48538622" w14:textId="77777777">
      <w:pPr>
        <w:pStyle w:val="ListParagraph"/>
        <w:numPr>
          <w:ilvl w:val="0"/>
          <w:numId w:val="5"/>
        </w:numPr>
      </w:pPr>
      <w:r>
        <w:t>la</w:t>
      </w:r>
      <w:r w:rsidR="00A8128C">
        <w:t xml:space="preserve"> </w:t>
      </w:r>
      <w:r w:rsidRPr="000A143A" w:rsidR="00A8128C">
        <w:rPr>
          <w:b/>
          <w:bCs/>
        </w:rPr>
        <w:t>violazione dei dati personali</w:t>
      </w:r>
      <w:r w:rsidR="00A8128C">
        <w:t xml:space="preserve"> (data </w:t>
      </w:r>
      <w:proofErr w:type="spellStart"/>
      <w:r w:rsidR="00A8128C">
        <w:t>breach</w:t>
      </w:r>
      <w:proofErr w:type="spellEnd"/>
      <w:r w:rsidR="00A8128C">
        <w:t>) ai sensi degli articoli 33 e 34 del GDPR</w:t>
      </w:r>
      <w:r>
        <w:t xml:space="preserve">, </w:t>
      </w:r>
      <w:r w:rsidR="00610D3D">
        <w:t xml:space="preserve">in quanto </w:t>
      </w:r>
      <w:r w:rsidR="007222F8">
        <w:t>l’autorità di controllo o il giudice effettuano due distinte valutazioni:</w:t>
      </w:r>
    </w:p>
    <w:p w:rsidR="004126CA" w:rsidP="007222F8" w:rsidRDefault="007222F8" w14:paraId="700FB6F2" w14:textId="77777777">
      <w:pPr>
        <w:pStyle w:val="ListParagraph"/>
        <w:numPr>
          <w:ilvl w:val="1"/>
          <w:numId w:val="5"/>
        </w:numPr>
      </w:pPr>
      <w:r>
        <w:t xml:space="preserve">quella riguardante l’adeguatezza delle misure tecnico-organizzative attuate dal titolare o dal responsabile </w:t>
      </w:r>
      <w:r w:rsidR="00923B0D">
        <w:t xml:space="preserve">prima della realizzazione del data </w:t>
      </w:r>
      <w:proofErr w:type="spellStart"/>
      <w:r w:rsidR="00923B0D">
        <w:t>breach</w:t>
      </w:r>
      <w:proofErr w:type="spellEnd"/>
      <w:r w:rsidR="00923B0D">
        <w:t xml:space="preserve">, al fine di verificarne l’astratta idoneità a </w:t>
      </w:r>
      <w:r w:rsidRPr="00BC1D70" w:rsidR="00923B0D">
        <w:rPr>
          <w:b/>
          <w:bCs/>
        </w:rPr>
        <w:t>prevenire</w:t>
      </w:r>
      <w:r w:rsidR="00923B0D">
        <w:t xml:space="preserve"> </w:t>
      </w:r>
      <w:r w:rsidR="004126CA">
        <w:t>la violazione, secondo un giudizio ex ante</w:t>
      </w:r>
    </w:p>
    <w:p w:rsidRPr="00BD7283" w:rsidR="007A178F" w:rsidP="007222F8" w:rsidRDefault="004126CA" w14:paraId="37A8E396" w14:textId="4CB4A79F">
      <w:pPr>
        <w:pStyle w:val="ListParagraph"/>
        <w:numPr>
          <w:ilvl w:val="1"/>
          <w:numId w:val="5"/>
        </w:numPr>
      </w:pPr>
      <w:r>
        <w:t>l’altra</w:t>
      </w:r>
      <w:r w:rsidR="00E41B16">
        <w:t>,</w:t>
      </w:r>
      <w:r>
        <w:t xml:space="preserve"> relativa alle misure adottate </w:t>
      </w:r>
      <w:r w:rsidR="00B365F3">
        <w:t>successivamente</w:t>
      </w:r>
      <w:r w:rsidR="006C3733">
        <w:t>,</w:t>
      </w:r>
      <w:r w:rsidR="00B365F3">
        <w:t xml:space="preserve"> al fine di </w:t>
      </w:r>
      <w:r w:rsidRPr="00BC1D70" w:rsidR="00B365F3">
        <w:rPr>
          <w:b/>
          <w:bCs/>
        </w:rPr>
        <w:t>rimediare</w:t>
      </w:r>
      <w:r w:rsidR="00B365F3">
        <w:t xml:space="preserve"> le conseguenze nocive della violazione oppure </w:t>
      </w:r>
      <w:r w:rsidR="00AC3679">
        <w:t xml:space="preserve">per assicurare che analoghi data </w:t>
      </w:r>
      <w:proofErr w:type="spellStart"/>
      <w:r w:rsidR="00AC3679">
        <w:t>breach</w:t>
      </w:r>
      <w:proofErr w:type="spellEnd"/>
      <w:r w:rsidR="00AC3679">
        <w:t xml:space="preserve"> </w:t>
      </w:r>
      <w:r w:rsidRPr="00BC1D70" w:rsidR="00AC3679">
        <w:rPr>
          <w:b/>
          <w:bCs/>
        </w:rPr>
        <w:t xml:space="preserve">non </w:t>
      </w:r>
      <w:r w:rsidRPr="00BC1D70" w:rsidR="003F5145">
        <w:rPr>
          <w:b/>
          <w:bCs/>
        </w:rPr>
        <w:t>si verifichino in futuro</w:t>
      </w:r>
      <w:r w:rsidR="00A8128C">
        <w:t>.</w:t>
      </w:r>
    </w:p>
    <w:p w:rsidR="00CC0822" w:rsidP="00CC0822" w:rsidRDefault="00CC0822" w14:paraId="64993A0F" w14:textId="210BAB55">
      <w:pPr>
        <w:pStyle w:val="Heading1"/>
      </w:pPr>
      <w:r>
        <w:t>Difetto di adeguatezza sanzionabile</w:t>
      </w:r>
    </w:p>
    <w:p w:rsidR="00A9533D" w:rsidRDefault="00EF57AF" w14:paraId="313CA786" w14:textId="30C7306B">
      <w:pPr>
        <w:rPr>
          <w:rFonts w:cstheme="minorHAnsi"/>
        </w:rPr>
      </w:pPr>
      <w:r>
        <w:rPr>
          <w:rFonts w:cstheme="minorHAnsi"/>
        </w:rPr>
        <w:t>L’eventuale difetto di proporzionalità è causa di non conformità e di violazione del principio di accountability.</w:t>
      </w:r>
    </w:p>
    <w:p w:rsidR="00B24456" w:rsidRDefault="00636436" w14:paraId="4202C271" w14:textId="70ADC2F7">
      <w:pPr>
        <w:rPr>
          <w:rFonts w:cstheme="minorHAnsi"/>
        </w:rPr>
      </w:pPr>
      <w:r>
        <w:rPr>
          <w:rFonts w:cstheme="minorHAnsi"/>
        </w:rPr>
        <w:t>La non conformità ge</w:t>
      </w:r>
      <w:r w:rsidR="001B1581">
        <w:rPr>
          <w:rFonts w:cstheme="minorHAnsi"/>
        </w:rPr>
        <w:t xml:space="preserve">nera responsabilità imputabile prevalentemente </w:t>
      </w:r>
      <w:r w:rsidR="00EF54A9">
        <w:rPr>
          <w:rFonts w:cstheme="minorHAnsi"/>
        </w:rPr>
        <w:t xml:space="preserve">in capo </w:t>
      </w:r>
      <w:r w:rsidR="001B1581">
        <w:rPr>
          <w:rFonts w:cstheme="minorHAnsi"/>
        </w:rPr>
        <w:t>al titolare del trattamento</w:t>
      </w:r>
      <w:r w:rsidR="003C4B3C">
        <w:rPr>
          <w:rFonts w:cstheme="minorHAnsi"/>
        </w:rPr>
        <w:t xml:space="preserve">, giustificando l’irrogazione delle sanzioni </w:t>
      </w:r>
      <w:r w:rsidR="002B46EB">
        <w:rPr>
          <w:rFonts w:cstheme="minorHAnsi"/>
        </w:rPr>
        <w:t xml:space="preserve">previste </w:t>
      </w:r>
      <w:r w:rsidR="0037305C">
        <w:rPr>
          <w:rFonts w:cstheme="minorHAnsi"/>
        </w:rPr>
        <w:t>d</w:t>
      </w:r>
      <w:r w:rsidR="002B46EB">
        <w:rPr>
          <w:rFonts w:cstheme="minorHAnsi"/>
        </w:rPr>
        <w:t>a</w:t>
      </w:r>
      <w:r w:rsidR="0037305C">
        <w:rPr>
          <w:rFonts w:cstheme="minorHAnsi"/>
        </w:rPr>
        <w:t xml:space="preserve">gli articoli 83 e 84 del GDPR </w:t>
      </w:r>
      <w:proofErr w:type="spellStart"/>
      <w:r w:rsidR="002B46EB">
        <w:rPr>
          <w:rFonts w:cstheme="minorHAnsi"/>
        </w:rPr>
        <w:t>nonchè</w:t>
      </w:r>
      <w:proofErr w:type="spellEnd"/>
      <w:r w:rsidR="0037305C">
        <w:rPr>
          <w:rFonts w:cstheme="minorHAnsi"/>
        </w:rPr>
        <w:t xml:space="preserve"> l’esercizio dell’azione di risarcimento</w:t>
      </w:r>
      <w:r w:rsidR="00CF63CB">
        <w:rPr>
          <w:rFonts w:cstheme="minorHAnsi"/>
        </w:rPr>
        <w:t xml:space="preserve"> per danni materiali e immateriali,</w:t>
      </w:r>
      <w:r w:rsidR="0037305C">
        <w:rPr>
          <w:rFonts w:cstheme="minorHAnsi"/>
        </w:rPr>
        <w:t xml:space="preserve"> </w:t>
      </w:r>
      <w:r w:rsidR="00A3728C">
        <w:rPr>
          <w:rFonts w:cstheme="minorHAnsi"/>
        </w:rPr>
        <w:t>da parte degli eventuali danneggiati</w:t>
      </w:r>
      <w:r w:rsidR="00EF54A9">
        <w:rPr>
          <w:rFonts w:cstheme="minorHAnsi"/>
        </w:rPr>
        <w:t>.</w:t>
      </w:r>
    </w:p>
    <w:p w:rsidR="00393821" w:rsidRDefault="00393821" w14:paraId="33BB39CC" w14:textId="6EA19DA6">
      <w:r>
        <w:rPr>
          <w:rFonts w:cstheme="minorHAnsi"/>
        </w:rPr>
        <w:t>Rosario Imperiali d’Afflitto</w:t>
      </w:r>
    </w:p>
    <w:sectPr w:rsidR="00393821">
      <w:headerReference w:type="even" r:id="rId18"/>
      <w:headerReference w:type="default" r:id="rId19"/>
      <w:footerReference w:type="even" r:id="rId20"/>
      <w:footerReference w:type="default" r:id="rId21"/>
      <w:headerReference w:type="first" r:id="rId22"/>
      <w:footerReference w:type="first" r:id="rId23"/>
      <w:pgSz w:w="11906" w:h="16838" w:orient="portrait"/>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3F9D" w:rsidP="000C5549" w:rsidRDefault="00793F9D" w14:paraId="77991B83" w14:textId="77777777">
      <w:pPr>
        <w:spacing w:after="0" w:line="240" w:lineRule="auto"/>
      </w:pPr>
      <w:r>
        <w:separator/>
      </w:r>
    </w:p>
  </w:endnote>
  <w:endnote w:type="continuationSeparator" w:id="0">
    <w:p w:rsidR="00793F9D" w:rsidP="000C5549" w:rsidRDefault="00793F9D" w14:paraId="60FD257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5549" w:rsidRDefault="000C5549" w14:paraId="0BCAA25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92036"/>
      <w:docPartObj>
        <w:docPartGallery w:val="Page Numbers (Bottom of Page)"/>
        <w:docPartUnique/>
      </w:docPartObj>
    </w:sdtPr>
    <w:sdtContent>
      <w:sdt>
        <w:sdtPr>
          <w:id w:val="1728636285"/>
          <w:docPartObj>
            <w:docPartGallery w:val="Page Numbers (Top of Page)"/>
            <w:docPartUnique/>
          </w:docPartObj>
        </w:sdtPr>
        <w:sdtContent>
          <w:p w:rsidR="000C5549" w:rsidRDefault="000C5549" w14:paraId="1CB2BE2D" w14:textId="7777777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0C5549" w:rsidRDefault="000C5549" w14:paraId="103689CF"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5549" w:rsidRDefault="000C5549" w14:paraId="29ABEF8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3F9D" w:rsidP="000C5549" w:rsidRDefault="00793F9D" w14:paraId="306C5501" w14:textId="77777777">
      <w:pPr>
        <w:spacing w:after="0" w:line="240" w:lineRule="auto"/>
      </w:pPr>
      <w:r>
        <w:separator/>
      </w:r>
    </w:p>
  </w:footnote>
  <w:footnote w:type="continuationSeparator" w:id="0">
    <w:p w:rsidR="00793F9D" w:rsidP="000C5549" w:rsidRDefault="00793F9D" w14:paraId="466407A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5549" w:rsidRDefault="000C5549" w14:paraId="3917521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5549" w:rsidRDefault="000C5549" w14:paraId="181AE00F"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5549" w:rsidRDefault="000C5549" w14:paraId="2E7FAE4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9B9"/>
    <w:multiLevelType w:val="hybridMultilevel"/>
    <w:tmpl w:val="C06209B8"/>
    <w:lvl w:ilvl="0" w:tplc="04100001">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 w15:restartNumberingAfterBreak="0">
    <w:nsid w:val="3A923DC1"/>
    <w:multiLevelType w:val="hybridMultilevel"/>
    <w:tmpl w:val="872C4DA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 w15:restartNumberingAfterBreak="0">
    <w:nsid w:val="431951FD"/>
    <w:multiLevelType w:val="hybridMultilevel"/>
    <w:tmpl w:val="2EE2ED1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 w15:restartNumberingAfterBreak="0">
    <w:nsid w:val="63337734"/>
    <w:multiLevelType w:val="hybridMultilevel"/>
    <w:tmpl w:val="B124213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 w15:restartNumberingAfterBreak="0">
    <w:nsid w:val="7C1E57F1"/>
    <w:multiLevelType w:val="hybridMultilevel"/>
    <w:tmpl w:val="1A244F84"/>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16cid:durableId="2119372683">
    <w:abstractNumId w:val="4"/>
  </w:num>
  <w:num w:numId="2" w16cid:durableId="222523932">
    <w:abstractNumId w:val="3"/>
  </w:num>
  <w:num w:numId="3" w16cid:durableId="1235627395">
    <w:abstractNumId w:val="2"/>
  </w:num>
  <w:num w:numId="4" w16cid:durableId="72506405">
    <w:abstractNumId w:val="1"/>
  </w:num>
  <w:num w:numId="5" w16cid:durableId="191720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val="false"/>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F2B"/>
    <w:rsid w:val="0000007A"/>
    <w:rsid w:val="000130D4"/>
    <w:rsid w:val="00015D6E"/>
    <w:rsid w:val="00031146"/>
    <w:rsid w:val="000330DF"/>
    <w:rsid w:val="00042426"/>
    <w:rsid w:val="000429A7"/>
    <w:rsid w:val="000516D1"/>
    <w:rsid w:val="00052D85"/>
    <w:rsid w:val="00060E33"/>
    <w:rsid w:val="00065D1F"/>
    <w:rsid w:val="000730D4"/>
    <w:rsid w:val="000A143A"/>
    <w:rsid w:val="000A219C"/>
    <w:rsid w:val="000B143C"/>
    <w:rsid w:val="000B7093"/>
    <w:rsid w:val="000C3D21"/>
    <w:rsid w:val="000C5549"/>
    <w:rsid w:val="000D1DF6"/>
    <w:rsid w:val="000D6F47"/>
    <w:rsid w:val="000E0E55"/>
    <w:rsid w:val="000E13C3"/>
    <w:rsid w:val="000E403C"/>
    <w:rsid w:val="000F0E85"/>
    <w:rsid w:val="000F2C57"/>
    <w:rsid w:val="00101CB4"/>
    <w:rsid w:val="0010359A"/>
    <w:rsid w:val="00104EB3"/>
    <w:rsid w:val="0011640A"/>
    <w:rsid w:val="00117988"/>
    <w:rsid w:val="00121702"/>
    <w:rsid w:val="0013017F"/>
    <w:rsid w:val="00130CC6"/>
    <w:rsid w:val="00132E3A"/>
    <w:rsid w:val="00140EB8"/>
    <w:rsid w:val="00143929"/>
    <w:rsid w:val="001524DB"/>
    <w:rsid w:val="00172595"/>
    <w:rsid w:val="001912D4"/>
    <w:rsid w:val="001A143E"/>
    <w:rsid w:val="001A16A8"/>
    <w:rsid w:val="001B1581"/>
    <w:rsid w:val="001C36A8"/>
    <w:rsid w:val="001D3932"/>
    <w:rsid w:val="001D7677"/>
    <w:rsid w:val="001E2171"/>
    <w:rsid w:val="001F19FF"/>
    <w:rsid w:val="002108C7"/>
    <w:rsid w:val="002160AC"/>
    <w:rsid w:val="00244574"/>
    <w:rsid w:val="00272278"/>
    <w:rsid w:val="00272D66"/>
    <w:rsid w:val="00275017"/>
    <w:rsid w:val="002810D7"/>
    <w:rsid w:val="00286998"/>
    <w:rsid w:val="00286ABD"/>
    <w:rsid w:val="002911EE"/>
    <w:rsid w:val="002B1115"/>
    <w:rsid w:val="002B1FC6"/>
    <w:rsid w:val="002B46EB"/>
    <w:rsid w:val="002B6A5C"/>
    <w:rsid w:val="002C0D90"/>
    <w:rsid w:val="002C7848"/>
    <w:rsid w:val="002C7D1A"/>
    <w:rsid w:val="002D3882"/>
    <w:rsid w:val="002D7599"/>
    <w:rsid w:val="002E2F3E"/>
    <w:rsid w:val="002E5E9E"/>
    <w:rsid w:val="002F3F96"/>
    <w:rsid w:val="002F5007"/>
    <w:rsid w:val="00301ED2"/>
    <w:rsid w:val="00302554"/>
    <w:rsid w:val="0031025E"/>
    <w:rsid w:val="003102F0"/>
    <w:rsid w:val="003103CD"/>
    <w:rsid w:val="003314C3"/>
    <w:rsid w:val="00334958"/>
    <w:rsid w:val="00347B14"/>
    <w:rsid w:val="0037305C"/>
    <w:rsid w:val="00393821"/>
    <w:rsid w:val="003B2F14"/>
    <w:rsid w:val="003B775B"/>
    <w:rsid w:val="003B7776"/>
    <w:rsid w:val="003C42F8"/>
    <w:rsid w:val="003C4B3C"/>
    <w:rsid w:val="003C6F49"/>
    <w:rsid w:val="003D07BA"/>
    <w:rsid w:val="003D35E9"/>
    <w:rsid w:val="003D3F8D"/>
    <w:rsid w:val="003E52F6"/>
    <w:rsid w:val="003F21A9"/>
    <w:rsid w:val="003F2236"/>
    <w:rsid w:val="003F4B7F"/>
    <w:rsid w:val="003F5145"/>
    <w:rsid w:val="00400A27"/>
    <w:rsid w:val="00401AC6"/>
    <w:rsid w:val="00401CDD"/>
    <w:rsid w:val="004126CA"/>
    <w:rsid w:val="00425A8D"/>
    <w:rsid w:val="00440776"/>
    <w:rsid w:val="0044693F"/>
    <w:rsid w:val="004469FF"/>
    <w:rsid w:val="00456609"/>
    <w:rsid w:val="004710B5"/>
    <w:rsid w:val="004722DF"/>
    <w:rsid w:val="00475DDE"/>
    <w:rsid w:val="0048017E"/>
    <w:rsid w:val="0049034F"/>
    <w:rsid w:val="004A1084"/>
    <w:rsid w:val="004B6F7C"/>
    <w:rsid w:val="004B795E"/>
    <w:rsid w:val="004C62EB"/>
    <w:rsid w:val="004E0E80"/>
    <w:rsid w:val="004E75D9"/>
    <w:rsid w:val="00501EFA"/>
    <w:rsid w:val="00512517"/>
    <w:rsid w:val="00532C87"/>
    <w:rsid w:val="00546264"/>
    <w:rsid w:val="00562B72"/>
    <w:rsid w:val="00574481"/>
    <w:rsid w:val="00574598"/>
    <w:rsid w:val="00583CB1"/>
    <w:rsid w:val="00587F66"/>
    <w:rsid w:val="005B196C"/>
    <w:rsid w:val="005B729E"/>
    <w:rsid w:val="005C4BDE"/>
    <w:rsid w:val="005D3278"/>
    <w:rsid w:val="005D36FA"/>
    <w:rsid w:val="005E038C"/>
    <w:rsid w:val="005E1C8F"/>
    <w:rsid w:val="005E3173"/>
    <w:rsid w:val="005F045C"/>
    <w:rsid w:val="005F1AAE"/>
    <w:rsid w:val="005F2E90"/>
    <w:rsid w:val="005F56E2"/>
    <w:rsid w:val="005F6FCC"/>
    <w:rsid w:val="006005E7"/>
    <w:rsid w:val="00610D3D"/>
    <w:rsid w:val="00615730"/>
    <w:rsid w:val="00636436"/>
    <w:rsid w:val="006367D7"/>
    <w:rsid w:val="0064211A"/>
    <w:rsid w:val="00651287"/>
    <w:rsid w:val="0065228E"/>
    <w:rsid w:val="00654A61"/>
    <w:rsid w:val="00666218"/>
    <w:rsid w:val="00666E6E"/>
    <w:rsid w:val="00667B6F"/>
    <w:rsid w:val="0067414B"/>
    <w:rsid w:val="00675E98"/>
    <w:rsid w:val="0067745C"/>
    <w:rsid w:val="00691CDF"/>
    <w:rsid w:val="00693DC4"/>
    <w:rsid w:val="00697AAE"/>
    <w:rsid w:val="006A1CBE"/>
    <w:rsid w:val="006A3B4B"/>
    <w:rsid w:val="006A7064"/>
    <w:rsid w:val="006C13A9"/>
    <w:rsid w:val="006C3733"/>
    <w:rsid w:val="006C7C3A"/>
    <w:rsid w:val="006D1699"/>
    <w:rsid w:val="006E1462"/>
    <w:rsid w:val="006E4E19"/>
    <w:rsid w:val="006F297E"/>
    <w:rsid w:val="007141C0"/>
    <w:rsid w:val="007222F8"/>
    <w:rsid w:val="007314F2"/>
    <w:rsid w:val="00732391"/>
    <w:rsid w:val="007414CD"/>
    <w:rsid w:val="007453B3"/>
    <w:rsid w:val="00747238"/>
    <w:rsid w:val="00775EAB"/>
    <w:rsid w:val="00793F9D"/>
    <w:rsid w:val="0079616D"/>
    <w:rsid w:val="00796D0A"/>
    <w:rsid w:val="007A178F"/>
    <w:rsid w:val="007D4C8C"/>
    <w:rsid w:val="007D6E6E"/>
    <w:rsid w:val="007E56FE"/>
    <w:rsid w:val="007F3DBB"/>
    <w:rsid w:val="007F7691"/>
    <w:rsid w:val="0080601D"/>
    <w:rsid w:val="008213A0"/>
    <w:rsid w:val="008415FB"/>
    <w:rsid w:val="00843F61"/>
    <w:rsid w:val="008467DE"/>
    <w:rsid w:val="00850380"/>
    <w:rsid w:val="00850B4D"/>
    <w:rsid w:val="00851CE3"/>
    <w:rsid w:val="00865ABF"/>
    <w:rsid w:val="0087598C"/>
    <w:rsid w:val="00884C08"/>
    <w:rsid w:val="0089573C"/>
    <w:rsid w:val="008A0B89"/>
    <w:rsid w:val="008A27E4"/>
    <w:rsid w:val="008B05A2"/>
    <w:rsid w:val="008B17C0"/>
    <w:rsid w:val="008B56E4"/>
    <w:rsid w:val="008C16EB"/>
    <w:rsid w:val="008C6F4D"/>
    <w:rsid w:val="008D3632"/>
    <w:rsid w:val="008E0629"/>
    <w:rsid w:val="008E19A3"/>
    <w:rsid w:val="008F4848"/>
    <w:rsid w:val="00907FF4"/>
    <w:rsid w:val="00923B0D"/>
    <w:rsid w:val="00925C75"/>
    <w:rsid w:val="00936BDA"/>
    <w:rsid w:val="00950C32"/>
    <w:rsid w:val="00953700"/>
    <w:rsid w:val="00953B5A"/>
    <w:rsid w:val="00963F0F"/>
    <w:rsid w:val="009712A3"/>
    <w:rsid w:val="00971386"/>
    <w:rsid w:val="00974DF4"/>
    <w:rsid w:val="009817E2"/>
    <w:rsid w:val="00990BF2"/>
    <w:rsid w:val="009924F0"/>
    <w:rsid w:val="0099345C"/>
    <w:rsid w:val="009A78D9"/>
    <w:rsid w:val="009B5B89"/>
    <w:rsid w:val="009B63C4"/>
    <w:rsid w:val="009D05FB"/>
    <w:rsid w:val="009D6BB5"/>
    <w:rsid w:val="009F4D58"/>
    <w:rsid w:val="00A0668D"/>
    <w:rsid w:val="00A10161"/>
    <w:rsid w:val="00A1171E"/>
    <w:rsid w:val="00A148CF"/>
    <w:rsid w:val="00A15CF4"/>
    <w:rsid w:val="00A23624"/>
    <w:rsid w:val="00A338AF"/>
    <w:rsid w:val="00A3728C"/>
    <w:rsid w:val="00A426D2"/>
    <w:rsid w:val="00A529DC"/>
    <w:rsid w:val="00A615E9"/>
    <w:rsid w:val="00A8128C"/>
    <w:rsid w:val="00A85973"/>
    <w:rsid w:val="00A93EE3"/>
    <w:rsid w:val="00A9533D"/>
    <w:rsid w:val="00AA1DAD"/>
    <w:rsid w:val="00AA5690"/>
    <w:rsid w:val="00AB2205"/>
    <w:rsid w:val="00AC26CC"/>
    <w:rsid w:val="00AC3679"/>
    <w:rsid w:val="00AE7945"/>
    <w:rsid w:val="00AF2B2F"/>
    <w:rsid w:val="00AF2E9B"/>
    <w:rsid w:val="00AF431D"/>
    <w:rsid w:val="00B00FDA"/>
    <w:rsid w:val="00B10619"/>
    <w:rsid w:val="00B1078D"/>
    <w:rsid w:val="00B10F0D"/>
    <w:rsid w:val="00B145C9"/>
    <w:rsid w:val="00B2280B"/>
    <w:rsid w:val="00B24456"/>
    <w:rsid w:val="00B2554B"/>
    <w:rsid w:val="00B2782F"/>
    <w:rsid w:val="00B330CF"/>
    <w:rsid w:val="00B3549C"/>
    <w:rsid w:val="00B365F3"/>
    <w:rsid w:val="00B41E09"/>
    <w:rsid w:val="00B6122D"/>
    <w:rsid w:val="00B63C0F"/>
    <w:rsid w:val="00B74F2B"/>
    <w:rsid w:val="00B945AE"/>
    <w:rsid w:val="00BA6751"/>
    <w:rsid w:val="00BA7DC1"/>
    <w:rsid w:val="00BB0B42"/>
    <w:rsid w:val="00BC1D70"/>
    <w:rsid w:val="00BC1FEC"/>
    <w:rsid w:val="00BC255F"/>
    <w:rsid w:val="00BC66D3"/>
    <w:rsid w:val="00BC72BC"/>
    <w:rsid w:val="00BD4661"/>
    <w:rsid w:val="00BD7283"/>
    <w:rsid w:val="00BE2DAF"/>
    <w:rsid w:val="00BF12ED"/>
    <w:rsid w:val="00BF47EA"/>
    <w:rsid w:val="00C03E17"/>
    <w:rsid w:val="00C1508C"/>
    <w:rsid w:val="00C26EB6"/>
    <w:rsid w:val="00C3296C"/>
    <w:rsid w:val="00C40337"/>
    <w:rsid w:val="00C4587D"/>
    <w:rsid w:val="00C519F0"/>
    <w:rsid w:val="00C536DA"/>
    <w:rsid w:val="00C62C80"/>
    <w:rsid w:val="00C6382C"/>
    <w:rsid w:val="00C67C91"/>
    <w:rsid w:val="00C67F47"/>
    <w:rsid w:val="00C73918"/>
    <w:rsid w:val="00C81E9E"/>
    <w:rsid w:val="00CA2D3E"/>
    <w:rsid w:val="00CA6125"/>
    <w:rsid w:val="00CB04E4"/>
    <w:rsid w:val="00CC0822"/>
    <w:rsid w:val="00CD3A14"/>
    <w:rsid w:val="00CF5CFE"/>
    <w:rsid w:val="00CF63CB"/>
    <w:rsid w:val="00D007EC"/>
    <w:rsid w:val="00D04404"/>
    <w:rsid w:val="00D06752"/>
    <w:rsid w:val="00D0744D"/>
    <w:rsid w:val="00D2305A"/>
    <w:rsid w:val="00D26F60"/>
    <w:rsid w:val="00D30675"/>
    <w:rsid w:val="00D35222"/>
    <w:rsid w:val="00D47115"/>
    <w:rsid w:val="00D51312"/>
    <w:rsid w:val="00D57168"/>
    <w:rsid w:val="00D60A51"/>
    <w:rsid w:val="00D60DA8"/>
    <w:rsid w:val="00D64BFB"/>
    <w:rsid w:val="00D66BB8"/>
    <w:rsid w:val="00D75381"/>
    <w:rsid w:val="00D769A8"/>
    <w:rsid w:val="00D76B68"/>
    <w:rsid w:val="00D879C3"/>
    <w:rsid w:val="00D95318"/>
    <w:rsid w:val="00DA23C6"/>
    <w:rsid w:val="00DB1E25"/>
    <w:rsid w:val="00DB5584"/>
    <w:rsid w:val="00DB6B1F"/>
    <w:rsid w:val="00DC71A9"/>
    <w:rsid w:val="00DC7553"/>
    <w:rsid w:val="00DD4C1C"/>
    <w:rsid w:val="00DE1DE6"/>
    <w:rsid w:val="00DE23FF"/>
    <w:rsid w:val="00DE2BE4"/>
    <w:rsid w:val="00DF1803"/>
    <w:rsid w:val="00DF7580"/>
    <w:rsid w:val="00E00CEC"/>
    <w:rsid w:val="00E351C9"/>
    <w:rsid w:val="00E41B16"/>
    <w:rsid w:val="00E61E6E"/>
    <w:rsid w:val="00E6597F"/>
    <w:rsid w:val="00E737F6"/>
    <w:rsid w:val="00E73872"/>
    <w:rsid w:val="00E74250"/>
    <w:rsid w:val="00E76BFA"/>
    <w:rsid w:val="00E86FFC"/>
    <w:rsid w:val="00E92D61"/>
    <w:rsid w:val="00E96BEE"/>
    <w:rsid w:val="00EA0433"/>
    <w:rsid w:val="00EA0F29"/>
    <w:rsid w:val="00EA64A0"/>
    <w:rsid w:val="00EB01AA"/>
    <w:rsid w:val="00EB05B1"/>
    <w:rsid w:val="00EB1265"/>
    <w:rsid w:val="00EB25F0"/>
    <w:rsid w:val="00EB5B8C"/>
    <w:rsid w:val="00EC35BC"/>
    <w:rsid w:val="00EC752A"/>
    <w:rsid w:val="00EF54A9"/>
    <w:rsid w:val="00EF57AF"/>
    <w:rsid w:val="00F10A56"/>
    <w:rsid w:val="00F14D22"/>
    <w:rsid w:val="00F1660E"/>
    <w:rsid w:val="00F24D9F"/>
    <w:rsid w:val="00F37B68"/>
    <w:rsid w:val="00F40C46"/>
    <w:rsid w:val="00F47F34"/>
    <w:rsid w:val="00F573D9"/>
    <w:rsid w:val="00F61A9B"/>
    <w:rsid w:val="00F71A94"/>
    <w:rsid w:val="00F71CD2"/>
    <w:rsid w:val="00F71E0C"/>
    <w:rsid w:val="00F73EB6"/>
    <w:rsid w:val="00F76DA8"/>
    <w:rsid w:val="00F9154A"/>
    <w:rsid w:val="00F95115"/>
    <w:rsid w:val="00F97A3A"/>
    <w:rsid w:val="00FA6E98"/>
    <w:rsid w:val="00FC4671"/>
    <w:rsid w:val="0EA11CCE"/>
    <w:rsid w:val="52D08B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E7CF"/>
  <w15:chartTrackingRefBased/>
  <w15:docId w15:val="{1582855C-99E4-4158-BDC0-4729EF26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76BF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19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C5549"/>
    <w:pPr>
      <w:tabs>
        <w:tab w:val="center" w:pos="4819"/>
        <w:tab w:val="right" w:pos="9638"/>
      </w:tabs>
      <w:spacing w:after="0" w:line="240" w:lineRule="auto"/>
    </w:pPr>
  </w:style>
  <w:style w:type="character" w:styleId="HeaderChar" w:customStyle="1">
    <w:name w:val="Header Char"/>
    <w:basedOn w:val="DefaultParagraphFont"/>
    <w:link w:val="Header"/>
    <w:uiPriority w:val="99"/>
    <w:rsid w:val="000C5549"/>
  </w:style>
  <w:style w:type="paragraph" w:styleId="Footer">
    <w:name w:val="footer"/>
    <w:basedOn w:val="Normal"/>
    <w:link w:val="FooterChar"/>
    <w:uiPriority w:val="99"/>
    <w:unhideWhenUsed/>
    <w:rsid w:val="000C5549"/>
    <w:pPr>
      <w:tabs>
        <w:tab w:val="center" w:pos="4819"/>
        <w:tab w:val="right" w:pos="9638"/>
      </w:tabs>
      <w:spacing w:after="0" w:line="240" w:lineRule="auto"/>
    </w:pPr>
  </w:style>
  <w:style w:type="character" w:styleId="FooterChar" w:customStyle="1">
    <w:name w:val="Footer Char"/>
    <w:basedOn w:val="DefaultParagraphFont"/>
    <w:link w:val="Footer"/>
    <w:uiPriority w:val="99"/>
    <w:rsid w:val="000C5549"/>
  </w:style>
  <w:style w:type="paragraph" w:styleId="Title">
    <w:name w:val="Title"/>
    <w:basedOn w:val="Normal"/>
    <w:next w:val="Normal"/>
    <w:link w:val="TitleChar"/>
    <w:uiPriority w:val="10"/>
    <w:qFormat/>
    <w:rsid w:val="003103C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103CD"/>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E76BFA"/>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EB1265"/>
    <w:pPr>
      <w:ind w:left="720"/>
      <w:contextualSpacing/>
    </w:pPr>
  </w:style>
  <w:style w:type="character" w:styleId="Heading2Char" w:customStyle="1">
    <w:name w:val="Heading 2 Char"/>
    <w:basedOn w:val="DefaultParagraphFont"/>
    <w:link w:val="Heading2"/>
    <w:uiPriority w:val="9"/>
    <w:rsid w:val="000A219C"/>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7D6E6E"/>
    <w:rPr>
      <w:color w:val="0563C1" w:themeColor="hyperlink"/>
      <w:u w:val="single"/>
    </w:rPr>
  </w:style>
  <w:style w:type="character" w:styleId="UnresolvedMention">
    <w:name w:val="Unresolved Mention"/>
    <w:basedOn w:val="DefaultParagraphFont"/>
    <w:uiPriority w:val="99"/>
    <w:semiHidden/>
    <w:unhideWhenUsed/>
    <w:rsid w:val="007D6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03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svg" Id="rId8" /><Relationship Type="http://schemas.openxmlformats.org/officeDocument/2006/relationships/hyperlink" Target="https://curia.europa.eu/juris/document/document.jsf?text=&amp;docid=280623&amp;pageIndex=0&amp;doclang=IT&amp;mode=lst&amp;dir=&amp;occ=first&amp;part=1&amp;cid=4213110" TargetMode="External" Id="rId13" /><Relationship Type="http://schemas.openxmlformats.org/officeDocument/2006/relationships/header" Target="header1.xml" Id="rId18" /><Relationship Type="http://schemas.openxmlformats.org/officeDocument/2006/relationships/settings" Target="settings.xml" Id="rId3" /><Relationship Type="http://schemas.openxmlformats.org/officeDocument/2006/relationships/footer" Target="footer2.xml" Id="rId21" /><Relationship Type="http://schemas.openxmlformats.org/officeDocument/2006/relationships/image" Target="media/image1.png" Id="rId7" /><Relationship Type="http://schemas.openxmlformats.org/officeDocument/2006/relationships/hyperlink" Target="https://curia.europa.eu/juris/document/document.jsf?text=&amp;docid=280623&amp;pageIndex=0&amp;doclang=IT&amp;mode=lst&amp;dir=&amp;occ=first&amp;part=1&amp;cid=4213110" TargetMode="External" Id="rId12" /><Relationship Type="http://schemas.openxmlformats.org/officeDocument/2006/relationships/hyperlink" Target="https://www.garanteprivacy.it/web/guest/home/docweb/-/docweb-display/docweb/9940988" TargetMode="External"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hyperlink" Target="https://curia.europa.eu/juris/document/document.jsf?text=&amp;docid=280623&amp;pageIndex=0&amp;doclang=IT&amp;mode=lst&amp;dir=&amp;occ=first&amp;part=1&amp;cid=4213110" TargetMode="External" Id="rId16"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curia.europa.eu/juris/document/document.jsf?text=&amp;docid=280623&amp;pageIndex=0&amp;doclang=IT&amp;mode=lst&amp;dir=&amp;occ=first&amp;part=1&amp;cid=4213110" TargetMode="External" Id="rId11"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hyperlink" Target="https://curia.europa.eu/juris/document/document.jsf?text=&amp;docid=280623&amp;pageIndex=0&amp;doclang=IT&amp;mode=lst&amp;dir=&amp;occ=first&amp;part=1&amp;cid=4213110" TargetMode="External" Id="rId15" /><Relationship Type="http://schemas.openxmlformats.org/officeDocument/2006/relationships/footer" Target="footer3.xml" Id="rId23" /><Relationship Type="http://schemas.openxmlformats.org/officeDocument/2006/relationships/hyperlink" Target="https://curia.europa.eu/juris/document/document.jsf?text=&amp;docid=273284&amp;pageIndex=0&amp;doclang=it&amp;mode=lst&amp;dir=&amp;occ=first&amp;part=1&amp;cid=4231553" TargetMode="External" Id="rId10" /><Relationship Type="http://schemas.openxmlformats.org/officeDocument/2006/relationships/header" Target="header2.xml" Id="rId19" /><Relationship Type="http://schemas.openxmlformats.org/officeDocument/2006/relationships/webSettings" Target="webSettings.xml" Id="rId4" /><Relationship Type="http://schemas.openxmlformats.org/officeDocument/2006/relationships/hyperlink" Target="https://curia.europa.eu/juris/document/document.jsf?text=&amp;docid=280623&amp;pageIndex=0&amp;doclang=IT&amp;mode=lst&amp;dir=&amp;occ=first&amp;part=1&amp;cid=4213110" TargetMode="External" Id="rId9" /><Relationship Type="http://schemas.openxmlformats.org/officeDocument/2006/relationships/hyperlink" Target="https://curia.europa.eu/juris/document/document.jsf?text=&amp;docid=280623&amp;pageIndex=0&amp;doclang=IT&amp;mode=lst&amp;dir=&amp;occ=first&amp;part=1&amp;cid=4213110" TargetMode="External" Id="rId14" /><Relationship Type="http://schemas.openxmlformats.org/officeDocument/2006/relationships/header" Target="header3.xml" Id="rId22" /><Relationship Type="http://schemas.openxmlformats.org/officeDocument/2006/relationships/glossaryDocument" Target="glossary/document.xml" Id="R923223e2659c4f0f"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ario\Documents\Custom%20Office%20Templates\w_pagenumbers.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0f7f625-a9be-4a73-86bc-5c181bc879c5}"/>
      </w:docPartPr>
      <w:docPartBody>
        <w:p w14:paraId="6BCC5C3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w_pagenumbers</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dataism</dc:creator>
  <keywords/>
  <dc:description/>
  <lastModifiedBy>Francesca Speranza</lastModifiedBy>
  <revision>366</revision>
  <dcterms:created xsi:type="dcterms:W3CDTF">2024-01-14T15:16:00.0000000Z</dcterms:created>
  <dcterms:modified xsi:type="dcterms:W3CDTF">2024-01-23T14:28:26.0401389Z</dcterms:modified>
</coreProperties>
</file>