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DF38" w14:textId="5EB896E6" w:rsidR="00D007EC" w:rsidRDefault="008F4993" w:rsidP="00B226B1">
      <w:pPr>
        <w:pStyle w:val="Titolo"/>
      </w:pPr>
      <w:r>
        <w:t>Interazioni tra Data act e protezione dei dati personali</w:t>
      </w:r>
    </w:p>
    <w:p w14:paraId="4476AC3F" w14:textId="3A8A30DA" w:rsidR="00667AF7" w:rsidRDefault="00667AF7" w:rsidP="00667AF7">
      <w:pPr>
        <w:rPr>
          <w:rFonts w:cstheme="minorHAnsi"/>
        </w:rPr>
      </w:pPr>
      <w:r>
        <w:t xml:space="preserve">Come noto, l’obiettivo del Data Act – precisato al Considerando (4) dello stesso – è quello di </w:t>
      </w:r>
      <w:r>
        <w:rPr>
          <w:rFonts w:cstheme="minorHAnsi"/>
        </w:rPr>
        <w:t>«</w:t>
      </w:r>
      <w:r w:rsidRPr="00023F8F">
        <w:rPr>
          <w:rFonts w:cstheme="minorHAnsi"/>
          <w:i/>
          <w:iCs/>
        </w:rPr>
        <w:t>stabilire un quadro armonizzato che specifichi chi ha il diritto di utilizzare i dati di un prodotto o di un servizio correlato, a quali condizioni e su quale base</w:t>
      </w:r>
      <w:r>
        <w:rPr>
          <w:rFonts w:cstheme="minorHAnsi"/>
        </w:rPr>
        <w:t>».</w:t>
      </w:r>
    </w:p>
    <w:p w14:paraId="17BAD125" w14:textId="09E515F0" w:rsidR="00667AF7" w:rsidRDefault="00667AF7" w:rsidP="00667AF7">
      <w:r>
        <w:rPr>
          <w:rFonts w:cstheme="minorHAnsi"/>
        </w:rPr>
        <w:t xml:space="preserve">Il successivo Considerando (5) </w:t>
      </w:r>
      <w:r w:rsidR="005B6772">
        <w:rPr>
          <w:rFonts w:cstheme="minorHAnsi"/>
        </w:rPr>
        <w:t>indica</w:t>
      </w:r>
      <w:r>
        <w:rPr>
          <w:rFonts w:cstheme="minorHAnsi"/>
        </w:rPr>
        <w:t xml:space="preserve"> come il legislatore europeo ha inteso raggiungere questo obiettivo: tramite l’approvazione di questo regolamento che «</w:t>
      </w:r>
      <w:r w:rsidRPr="00EA18C2">
        <w:rPr>
          <w:rFonts w:cstheme="minorHAnsi"/>
          <w:i/>
          <w:iCs/>
        </w:rPr>
        <w:t>garantisce che gli utenti di un prodotto connesso o di un servizio correlato nell’Unione possano accedere tempestivamente ai dati generati dall’uso di tale prodotto connesso o servizio correlato e che tali utenti possano utilizzare i dati, anche condividendoli con terzi di loro scelta. Esso impone ai titolari dei dati l’obbligo di mettere i dati a disposizione degli utenti e dei terzi scelti dagli utenti in determinate circostanze. Garantisce inoltre che i titolari dei dati mettano i dati a disposizione dei destinatari dei dati nell’Unione a condizioni eque, ragionevoli e non discriminatori</w:t>
      </w:r>
      <w:r>
        <w:rPr>
          <w:rFonts w:cstheme="minorHAnsi"/>
          <w:i/>
          <w:iCs/>
        </w:rPr>
        <w:t>e</w:t>
      </w:r>
      <w:r w:rsidRPr="00EA18C2">
        <w:rPr>
          <w:rFonts w:cstheme="minorHAnsi"/>
          <w:i/>
          <w:iCs/>
        </w:rPr>
        <w:t xml:space="preserve"> e in modo trasparente.</w:t>
      </w:r>
      <w:r>
        <w:rPr>
          <w:rFonts w:cstheme="minorHAnsi"/>
        </w:rPr>
        <w:t>».</w:t>
      </w:r>
    </w:p>
    <w:p w14:paraId="2A8BFD03" w14:textId="487F52C8" w:rsidR="00B226B1" w:rsidRDefault="00B226B1" w:rsidP="00B226B1">
      <w:r>
        <w:t xml:space="preserve">Riprendiamo l’analisi del </w:t>
      </w:r>
      <w:r w:rsidR="00CD49A6">
        <w:t xml:space="preserve">regolamento Data act </w:t>
      </w:r>
      <w:r w:rsidR="008E1646">
        <w:t>[</w:t>
      </w:r>
      <w:hyperlink r:id="rId7" w:anchor="d1e43-1-1" w:history="1">
        <w:r w:rsidR="008E1646" w:rsidRPr="00225C82">
          <w:rPr>
            <w:rStyle w:val="Collegamentoipertestuale"/>
          </w:rPr>
          <w:t xml:space="preserve">Regolamento (UE) </w:t>
        </w:r>
        <w:r w:rsidR="0031473B" w:rsidRPr="00225C82">
          <w:rPr>
            <w:rStyle w:val="Collegamentoipertestuale"/>
          </w:rPr>
          <w:t>2023/2854</w:t>
        </w:r>
      </w:hyperlink>
      <w:r w:rsidR="00C40D94">
        <w:t>]</w:t>
      </w:r>
      <w:r w:rsidR="0031473B">
        <w:t xml:space="preserve"> </w:t>
      </w:r>
      <w:r w:rsidR="00CD49A6">
        <w:t>sotto il profilo dei punti di contatto e di interazione con la disciplina sulla protezione dei dati</w:t>
      </w:r>
      <w:r w:rsidR="00242256">
        <w:t xml:space="preserve"> personali e sulla privacy nelle comunicazioni elettroniche (e-Privacy).</w:t>
      </w:r>
    </w:p>
    <w:p w14:paraId="6A7C1FBB" w14:textId="0CD91F1B" w:rsidR="00242256" w:rsidRDefault="00242256" w:rsidP="00B226B1">
      <w:r>
        <w:t xml:space="preserve">La precedente puntata </w:t>
      </w:r>
      <w:r w:rsidR="002F12A4">
        <w:t>sul tema è quella dell’</w:t>
      </w:r>
      <w:hyperlink r:id="rId8" w:history="1">
        <w:r w:rsidR="002F12A4" w:rsidRPr="00B04BD9">
          <w:rPr>
            <w:rStyle w:val="Collegamentoipertestuale"/>
          </w:rPr>
          <w:t>Editoriale del</w:t>
        </w:r>
        <w:r w:rsidR="00A77560" w:rsidRPr="00B04BD9">
          <w:rPr>
            <w:rStyle w:val="Collegamentoipertestuale"/>
          </w:rPr>
          <w:t>l’11 gennaio 2024</w:t>
        </w:r>
      </w:hyperlink>
      <w:r w:rsidR="00A77560">
        <w:t>.</w:t>
      </w:r>
    </w:p>
    <w:p w14:paraId="57BFCA0B" w14:textId="407832EA" w:rsidR="00931B8C" w:rsidRDefault="00435692" w:rsidP="000844AE">
      <w:pPr>
        <w:pStyle w:val="Titolo1"/>
      </w:pPr>
      <w:r>
        <w:t>Primazia di</w:t>
      </w:r>
      <w:r w:rsidR="00931B8C">
        <w:t xml:space="preserve"> GDPR e e-Privacy</w:t>
      </w:r>
    </w:p>
    <w:p w14:paraId="51D90CB1" w14:textId="0901CE2B" w:rsidR="000844AE" w:rsidRDefault="00737442" w:rsidP="000844AE">
      <w:r>
        <w:t xml:space="preserve">La primazia di GDPR e e-Privacy </w:t>
      </w:r>
      <w:r w:rsidR="00377994">
        <w:t>rispetto agli altri atti normativi del diritto UE che riguardano i dati</w:t>
      </w:r>
      <w:r w:rsidR="00560F4B">
        <w:t xml:space="preserve"> è assicurata in primo luogo</w:t>
      </w:r>
      <w:r w:rsidR="00F858C5">
        <w:t xml:space="preserve"> dagli stessi</w:t>
      </w:r>
      <w:r w:rsidR="00560F4B">
        <w:t xml:space="preserve"> trattati</w:t>
      </w:r>
      <w:r w:rsidR="00F858C5">
        <w:t xml:space="preserve">, in particolare, </w:t>
      </w:r>
      <w:r w:rsidR="0053235B">
        <w:t xml:space="preserve">da quello sul funzionamento dell’Unione </w:t>
      </w:r>
      <w:r w:rsidR="009F5688">
        <w:t xml:space="preserve">(art. 16, TFUE) </w:t>
      </w:r>
      <w:r w:rsidR="0053235B">
        <w:t>e dalla Carta dei diritti fondamentali dell’UE</w:t>
      </w:r>
      <w:r w:rsidR="009F5688">
        <w:t xml:space="preserve"> (art. 8, Carta)</w:t>
      </w:r>
      <w:r w:rsidR="0053235B">
        <w:t>.</w:t>
      </w:r>
      <w:r w:rsidR="00F858C5">
        <w:t xml:space="preserve"> </w:t>
      </w:r>
    </w:p>
    <w:p w14:paraId="1E8B4CB5" w14:textId="63F43834" w:rsidR="0009323F" w:rsidRDefault="00333D13" w:rsidP="000844AE">
      <w:r>
        <w:t xml:space="preserve">Lo stesso viene </w:t>
      </w:r>
      <w:r w:rsidR="00E90971">
        <w:t>confermato in modo esplicito all’interno del Data Act.</w:t>
      </w:r>
    </w:p>
    <w:p w14:paraId="48BCAB35" w14:textId="4D7192BA" w:rsidR="001935CF" w:rsidRDefault="003D6ED0" w:rsidP="001935CF">
      <w:r w:rsidRPr="003D6ED0">
        <w:t xml:space="preserve">Quando le informazioni di riferimento </w:t>
      </w:r>
      <w:proofErr w:type="gramStart"/>
      <w:r w:rsidRPr="003D6ED0">
        <w:t>sono dati personali</w:t>
      </w:r>
      <w:proofErr w:type="gramEnd"/>
      <w:r w:rsidRPr="003D6ED0">
        <w:t xml:space="preserve"> o anche dati promiscui </w:t>
      </w:r>
      <w:r w:rsidR="00B3551B">
        <w:t xml:space="preserve">– cioè dati personali e non personali </w:t>
      </w:r>
      <w:r w:rsidR="00257A68">
        <w:t xml:space="preserve">inestricabilmente connessi - </w:t>
      </w:r>
      <w:r w:rsidRPr="003D6ED0">
        <w:t xml:space="preserve">oppure </w:t>
      </w:r>
      <w:r w:rsidR="00FC1A1C">
        <w:t xml:space="preserve">si tratta di informazioni </w:t>
      </w:r>
      <w:r w:rsidR="00241A01">
        <w:t xml:space="preserve">che </w:t>
      </w:r>
      <w:r w:rsidRPr="003D6ED0">
        <w:t xml:space="preserve">riguardano comunicazioni elettroniche, il loro uso è regolato, rispettivamente, </w:t>
      </w:r>
      <w:r w:rsidR="00600E49">
        <w:t xml:space="preserve">dai regolamenti sulla protezione dei dati (GDPR </w:t>
      </w:r>
      <w:proofErr w:type="spellStart"/>
      <w:r w:rsidR="00A45153">
        <w:t>nonchè</w:t>
      </w:r>
      <w:proofErr w:type="spellEnd"/>
      <w:r w:rsidR="00600E49">
        <w:t xml:space="preserve"> </w:t>
      </w:r>
      <w:r w:rsidR="001F02F8">
        <w:t xml:space="preserve">2018/1725 o </w:t>
      </w:r>
      <w:r w:rsidR="00600E49">
        <w:t>EU</w:t>
      </w:r>
      <w:r w:rsidR="000D5149">
        <w:t>DPR)</w:t>
      </w:r>
      <w:r w:rsidRPr="003D6ED0">
        <w:t xml:space="preserve"> e dall</w:t>
      </w:r>
      <w:r w:rsidR="00212455">
        <w:t>a</w:t>
      </w:r>
      <w:r w:rsidRPr="003D6ED0">
        <w:t xml:space="preserve"> direttiv</w:t>
      </w:r>
      <w:r w:rsidR="00212455">
        <w:t>a</w:t>
      </w:r>
      <w:r w:rsidRPr="003D6ED0">
        <w:t xml:space="preserve"> </w:t>
      </w:r>
      <w:proofErr w:type="spellStart"/>
      <w:r w:rsidRPr="003D6ED0">
        <w:t>ePrivacy</w:t>
      </w:r>
      <w:proofErr w:type="spellEnd"/>
      <w:r w:rsidR="000D5149">
        <w:t xml:space="preserve"> (2002/58/CE</w:t>
      </w:r>
      <w:r w:rsidR="00212455">
        <w:t>)</w:t>
      </w:r>
      <w:r w:rsidR="00C0241E">
        <w:t>.</w:t>
      </w:r>
      <w:r w:rsidR="005A5181">
        <w:t xml:space="preserve"> </w:t>
      </w:r>
      <w:r w:rsidR="003B14F7">
        <w:t>I</w:t>
      </w:r>
      <w:r w:rsidR="003B14F7" w:rsidRPr="003D6ED0">
        <w:t xml:space="preserve">n caso di conflitto, le norme </w:t>
      </w:r>
      <w:r w:rsidR="003B14F7">
        <w:t>di</w:t>
      </w:r>
      <w:r w:rsidR="003B14F7" w:rsidRPr="003D6ED0">
        <w:t xml:space="preserve"> GDPR</w:t>
      </w:r>
      <w:r w:rsidR="003B14F7">
        <w:t>, EUDPR</w:t>
      </w:r>
      <w:r w:rsidR="003B14F7" w:rsidRPr="003D6ED0">
        <w:t xml:space="preserve"> e e</w:t>
      </w:r>
      <w:r w:rsidR="003B14F7">
        <w:t>-</w:t>
      </w:r>
      <w:r w:rsidR="003B14F7" w:rsidRPr="003D6ED0">
        <w:t xml:space="preserve">Privacy </w:t>
      </w:r>
      <w:r w:rsidR="003B14F7">
        <w:t xml:space="preserve">nonché quelle di attuazione o di adeguamento del diritto nazionale (come il codice privacy italiano) </w:t>
      </w:r>
      <w:r w:rsidR="003B14F7" w:rsidRPr="003D6ED0">
        <w:t>prevalgono sulle disposizioni del Data Act</w:t>
      </w:r>
      <w:r w:rsidR="003B14F7">
        <w:t xml:space="preserve"> </w:t>
      </w:r>
      <w:r w:rsidR="003B14F7" w:rsidRPr="003D6ED0">
        <w:t>[Considerando (7) e art. 1(5), Data Act]</w:t>
      </w:r>
      <w:r w:rsidR="003B14F7">
        <w:t xml:space="preserve">. </w:t>
      </w:r>
      <w:r w:rsidR="008D190A">
        <w:t xml:space="preserve">Quando si è nell’ambito applicativo del Data Act </w:t>
      </w:r>
      <w:r w:rsidR="006D402B">
        <w:t>e sono presenti</w:t>
      </w:r>
      <w:r w:rsidR="008D190A">
        <w:t xml:space="preserve"> dati </w:t>
      </w:r>
      <w:r w:rsidR="00B40AAC">
        <w:t>personali,</w:t>
      </w:r>
      <w:r w:rsidR="00A45153">
        <w:t xml:space="preserve"> l</w:t>
      </w:r>
      <w:r w:rsidR="005A5181">
        <w:t xml:space="preserve">e prescrizioni del Data Act, in quanto legge speciale, </w:t>
      </w:r>
      <w:r w:rsidR="00A41A11">
        <w:t>si applicheranno ad integrazione anziché in sostituzione di quelle sulla protezione dei dati.</w:t>
      </w:r>
      <w:r w:rsidR="001935CF" w:rsidRPr="001935CF">
        <w:t xml:space="preserve"> </w:t>
      </w:r>
    </w:p>
    <w:p w14:paraId="4EE9B2EC" w14:textId="77777777" w:rsidR="00EB6238" w:rsidRDefault="00C0241E" w:rsidP="000844AE">
      <w:r>
        <w:t xml:space="preserve">In tal senso, </w:t>
      </w:r>
      <w:r w:rsidR="00985FBE">
        <w:t xml:space="preserve">quando gli utenti sono i data </w:t>
      </w:r>
      <w:proofErr w:type="spellStart"/>
      <w:r w:rsidR="00985FBE">
        <w:t>subjects</w:t>
      </w:r>
      <w:proofErr w:type="spellEnd"/>
      <w:r w:rsidR="00770541">
        <w:t xml:space="preserve">, i diritti di accesso e di portabilità disciplinati dal Data Act, integrano quelli </w:t>
      </w:r>
      <w:r w:rsidR="00FC5223">
        <w:t>analoghi regolati dagli articoli 15 e 20 del GDPR</w:t>
      </w:r>
      <w:r w:rsidR="003D6ED0" w:rsidRPr="003D6ED0">
        <w:t>.</w:t>
      </w:r>
      <w:r w:rsidR="00EB6238" w:rsidRPr="00EB6238">
        <w:t xml:space="preserve"> </w:t>
      </w:r>
    </w:p>
    <w:p w14:paraId="09E34689" w14:textId="599D8AC3" w:rsidR="00F97A49" w:rsidRDefault="00F97A49" w:rsidP="00F97A49">
      <w:pPr>
        <w:pStyle w:val="Titolo1"/>
      </w:pPr>
      <w:r>
        <w:t>Liceità d’uso dei dati personali</w:t>
      </w:r>
    </w:p>
    <w:p w14:paraId="74757CBF" w14:textId="77777777" w:rsidR="00820F69" w:rsidRPr="00820F69" w:rsidRDefault="00820F69" w:rsidP="00820F69"/>
    <w:p w14:paraId="4DAFFB63" w14:textId="22B83F72" w:rsidR="00646272" w:rsidRDefault="002D7D69" w:rsidP="00F97A49">
      <w:r>
        <w:rPr>
          <w:noProof/>
        </w:rPr>
        <w:lastRenderedPageBreak/>
        <w:drawing>
          <wp:inline distT="0" distB="0" distL="0" distR="0" wp14:anchorId="1166CB5D" wp14:editId="3F9213B8">
            <wp:extent cx="6120130" cy="3456940"/>
            <wp:effectExtent l="0" t="0" r="1270" b="0"/>
            <wp:docPr id="28036421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4216" name="Immagine 1" descr="Immagine che contiene testo, schermata, Carattere, line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A8D7" w14:textId="761860A4" w:rsidR="0085723D" w:rsidRDefault="00753964" w:rsidP="00F97A49">
      <w:r>
        <w:t xml:space="preserve">Considerata la primazia della legge applicabile in materia di protezione dei dati (GDPR, EUDPR, </w:t>
      </w:r>
      <w:proofErr w:type="spellStart"/>
      <w:r>
        <w:t>ePrivacy</w:t>
      </w:r>
      <w:proofErr w:type="spellEnd"/>
      <w:r>
        <w:t xml:space="preserve">) </w:t>
      </w:r>
      <w:r w:rsidR="00E96E14">
        <w:t xml:space="preserve">l’utilizzo </w:t>
      </w:r>
      <w:r w:rsidR="009A458F">
        <w:t>dei</w:t>
      </w:r>
      <w:r w:rsidR="00E96E14">
        <w:t xml:space="preserve"> dati </w:t>
      </w:r>
      <w:r w:rsidR="009A458F">
        <w:t xml:space="preserve">personali </w:t>
      </w:r>
      <w:r w:rsidR="00E96E14">
        <w:t xml:space="preserve">secondo la disciplina del Data Act </w:t>
      </w:r>
      <w:r w:rsidR="006E3332">
        <w:t xml:space="preserve">è legittimo solo se entrambi il titolare dei dati e l’utente dei dati </w:t>
      </w:r>
      <w:r w:rsidR="00DC6AF0">
        <w:t xml:space="preserve">(se questi non è il data </w:t>
      </w:r>
      <w:proofErr w:type="spellStart"/>
      <w:r w:rsidR="00DC6AF0">
        <w:t>subject</w:t>
      </w:r>
      <w:proofErr w:type="spellEnd"/>
      <w:r w:rsidR="00DC6AF0">
        <w:t xml:space="preserve">) </w:t>
      </w:r>
      <w:r w:rsidR="0042794C">
        <w:t xml:space="preserve">possano avvalersi di una delle basi giuridiche previste tassativamente dall’articolo 6 del GDPR </w:t>
      </w:r>
      <w:r w:rsidR="00922F28">
        <w:t xml:space="preserve">e, eventualmente, </w:t>
      </w:r>
      <w:r w:rsidR="00365F19">
        <w:t xml:space="preserve">se le circostanze </w:t>
      </w:r>
      <w:r w:rsidR="00922F28">
        <w:t xml:space="preserve">soddisfino una delle deroghe elencate all’articolo 9, qualora </w:t>
      </w:r>
      <w:r w:rsidR="00852144">
        <w:t>le  informazioni</w:t>
      </w:r>
      <w:r w:rsidR="00922F28">
        <w:t xml:space="preserve"> appartengano a particolari categorie </w:t>
      </w:r>
      <w:r w:rsidR="00852144">
        <w:t>di dati personali.</w:t>
      </w:r>
      <w:r w:rsidR="00ED1361">
        <w:t xml:space="preserve"> </w:t>
      </w:r>
      <w:r w:rsidR="0085723D">
        <w:t>Ci</w:t>
      </w:r>
      <w:r w:rsidR="00114AA3">
        <w:t xml:space="preserve">ò comporta che il titolare dei dati deve poter fondare il proprio trattamento su </w:t>
      </w:r>
      <w:r w:rsidR="00F302B3">
        <w:t>tali basi giuridiche e su una delle deroghe richiamate, sia per l’effettuazione del trattamento</w:t>
      </w:r>
      <w:r w:rsidR="0009374C">
        <w:t xml:space="preserve"> sia per la comunicazione dei dati all’utente</w:t>
      </w:r>
      <w:r w:rsidR="006D5867">
        <w:t>; allo stesso modo</w:t>
      </w:r>
      <w:r w:rsidR="00BB7536">
        <w:t>,</w:t>
      </w:r>
      <w:r w:rsidR="006D5867">
        <w:t xml:space="preserve"> </w:t>
      </w:r>
      <w:r w:rsidR="00CF1187">
        <w:t xml:space="preserve">l’utente dei dati </w:t>
      </w:r>
      <w:r w:rsidR="006D5867">
        <w:t xml:space="preserve">dovrà poter comprovare </w:t>
      </w:r>
      <w:r w:rsidR="00CF1187">
        <w:t xml:space="preserve">il fondamento giuridico </w:t>
      </w:r>
      <w:r w:rsidR="00C43A34">
        <w:t>del proprio trattamento, qualora l’utente</w:t>
      </w:r>
      <w:r w:rsidR="003D6124">
        <w:t xml:space="preserve"> sia soggetto diverso dall’interessato</w:t>
      </w:r>
      <w:r w:rsidR="006D5867">
        <w:t>.</w:t>
      </w:r>
    </w:p>
    <w:p w14:paraId="4A93C4EA" w14:textId="5215C1C1" w:rsidR="00F97A49" w:rsidRDefault="00A369EA" w:rsidP="00F97A49">
      <w:pPr>
        <w:pBdr>
          <w:bottom w:val="single" w:sz="6" w:space="1" w:color="auto"/>
        </w:pBdr>
      </w:pPr>
      <w:r>
        <w:t>Solo dando la giusta enfasi a tal</w:t>
      </w:r>
      <w:r w:rsidR="007D41E0">
        <w:t>i</w:t>
      </w:r>
      <w:r>
        <w:t xml:space="preserve"> presuppost</w:t>
      </w:r>
      <w:r w:rsidR="007D41E0">
        <w:t>i</w:t>
      </w:r>
      <w:r>
        <w:t xml:space="preserve"> </w:t>
      </w:r>
      <w:r w:rsidR="00DE06B0">
        <w:t>si interpreta</w:t>
      </w:r>
      <w:r>
        <w:t xml:space="preserve"> correttamente </w:t>
      </w:r>
      <w:r w:rsidR="00B362FC">
        <w:t xml:space="preserve">l’obbligo </w:t>
      </w:r>
      <w:r w:rsidR="00784702">
        <w:t xml:space="preserve">che il Data Act impone ai titolari dei dati </w:t>
      </w:r>
      <w:r w:rsidR="00784702">
        <w:rPr>
          <w:rFonts w:cstheme="minorHAnsi"/>
        </w:rPr>
        <w:t>«</w:t>
      </w:r>
      <w:r w:rsidR="00784702" w:rsidRPr="00307FDE">
        <w:rPr>
          <w:i/>
          <w:iCs/>
        </w:rPr>
        <w:t xml:space="preserve">dietro richiesta di un utente, di mettere </w:t>
      </w:r>
      <w:r w:rsidR="0073729C" w:rsidRPr="00307FDE">
        <w:rPr>
          <w:i/>
          <w:iCs/>
        </w:rPr>
        <w:t xml:space="preserve">i dati personali </w:t>
      </w:r>
      <w:r w:rsidR="00784702" w:rsidRPr="00307FDE">
        <w:rPr>
          <w:i/>
          <w:iCs/>
        </w:rPr>
        <w:t xml:space="preserve">a disposizione </w:t>
      </w:r>
      <w:r w:rsidR="0073729C" w:rsidRPr="00307FDE">
        <w:rPr>
          <w:i/>
          <w:iCs/>
        </w:rPr>
        <w:t>degli utenti e di terzi scelti dall’utente</w:t>
      </w:r>
      <w:r w:rsidR="008500AA">
        <w:rPr>
          <w:rFonts w:cstheme="minorHAnsi"/>
        </w:rPr>
        <w:t>»</w:t>
      </w:r>
      <w:r w:rsidR="000C639A">
        <w:t>.</w:t>
      </w:r>
    </w:p>
    <w:p w14:paraId="2CCABF40" w14:textId="77777777" w:rsidR="003A7635" w:rsidRDefault="003A7635" w:rsidP="00F97A49"/>
    <w:p w14:paraId="23E61B62" w14:textId="77777777" w:rsidR="000D3DB5" w:rsidRDefault="00EE5100" w:rsidP="00F97A49">
      <w:r>
        <w:t>Il termine “</w:t>
      </w:r>
      <w:r w:rsidRPr="004463C4">
        <w:rPr>
          <w:b/>
          <w:bCs/>
        </w:rPr>
        <w:t>titolare dei dati</w:t>
      </w:r>
      <w:r>
        <w:t>” rischia di confonder</w:t>
      </w:r>
      <w:r w:rsidR="000512DA">
        <w:t>e</w:t>
      </w:r>
      <w:r w:rsidR="00557EDA">
        <w:t xml:space="preserve"> </w:t>
      </w:r>
      <w:r w:rsidR="000512DA">
        <w:t xml:space="preserve">se confrontato </w:t>
      </w:r>
      <w:r w:rsidR="000D3DB5">
        <w:t>con</w:t>
      </w:r>
      <w:r w:rsidR="00557EDA">
        <w:t xml:space="preserve"> quello simile contenuto nel GDPR: “</w:t>
      </w:r>
      <w:r w:rsidR="00557EDA" w:rsidRPr="004463C4">
        <w:rPr>
          <w:b/>
          <w:bCs/>
        </w:rPr>
        <w:t>titolare del trattamento</w:t>
      </w:r>
      <w:r w:rsidR="00557EDA">
        <w:t xml:space="preserve">”. </w:t>
      </w:r>
    </w:p>
    <w:p w14:paraId="27521197" w14:textId="37164B11" w:rsidR="00C856D0" w:rsidRDefault="000D3DB5" w:rsidP="00F97A49">
      <w:r>
        <w:t>P</w:t>
      </w:r>
      <w:r w:rsidR="00E31F68">
        <w:t>er la versione del Data Act in lingua italiana</w:t>
      </w:r>
      <w:r>
        <w:t>,</w:t>
      </w:r>
      <w:r w:rsidR="00E31F68">
        <w:t xml:space="preserve"> </w:t>
      </w:r>
      <w:r>
        <w:t xml:space="preserve">sarebbe stato preferibile </w:t>
      </w:r>
      <w:r w:rsidR="00557EDA">
        <w:t xml:space="preserve">seguire </w:t>
      </w:r>
      <w:r w:rsidR="007767FC">
        <w:t>più puntualmente le altre versioni linguistiche del Data Act</w:t>
      </w:r>
      <w:r w:rsidR="00547758">
        <w:t xml:space="preserve">: </w:t>
      </w:r>
      <w:r w:rsidR="008D2E65">
        <w:t xml:space="preserve">ad esempio, </w:t>
      </w:r>
      <w:r w:rsidR="00547758">
        <w:t xml:space="preserve">quella inglese che </w:t>
      </w:r>
      <w:r w:rsidR="007B5CDC">
        <w:t>riporta il termine</w:t>
      </w:r>
      <w:r w:rsidR="00547758">
        <w:t xml:space="preserve"> “data holder” differenziandolo così dal “data controller” del GDPR; </w:t>
      </w:r>
      <w:r w:rsidR="002C607F">
        <w:t>oppure quell</w:t>
      </w:r>
      <w:r w:rsidR="009E4C0E">
        <w:t>e</w:t>
      </w:r>
      <w:r w:rsidR="002C607F">
        <w:t xml:space="preserve"> </w:t>
      </w:r>
      <w:r w:rsidR="00720A05">
        <w:t xml:space="preserve">francese </w:t>
      </w:r>
      <w:r w:rsidR="009E4C0E">
        <w:t>e spagnol</w:t>
      </w:r>
      <w:r w:rsidR="007B5CDC">
        <w:t>a</w:t>
      </w:r>
      <w:r w:rsidR="009E4C0E">
        <w:t xml:space="preserve"> </w:t>
      </w:r>
      <w:r w:rsidR="00720A05">
        <w:t xml:space="preserve">che </w:t>
      </w:r>
      <w:r w:rsidR="00FF6C92">
        <w:t>fa</w:t>
      </w:r>
      <w:r w:rsidR="009E4C0E">
        <w:t>nno</w:t>
      </w:r>
      <w:r w:rsidR="00FF6C92">
        <w:t xml:space="preserve"> riferimento </w:t>
      </w:r>
      <w:r w:rsidR="009E4C0E">
        <w:t xml:space="preserve">rispettivamente </w:t>
      </w:r>
      <w:r w:rsidR="00FF6C92">
        <w:t xml:space="preserve">al </w:t>
      </w:r>
      <w:r w:rsidR="00FF6C92" w:rsidRPr="00FF6C92">
        <w:t>"</w:t>
      </w:r>
      <w:proofErr w:type="spellStart"/>
      <w:r w:rsidR="00FF6C92" w:rsidRPr="00FF6C92">
        <w:t>détenteur</w:t>
      </w:r>
      <w:proofErr w:type="spellEnd"/>
      <w:r w:rsidR="00FF6C92" w:rsidRPr="00FF6C92">
        <w:t xml:space="preserve"> de </w:t>
      </w:r>
      <w:proofErr w:type="spellStart"/>
      <w:r w:rsidR="00FF6C92" w:rsidRPr="00FF6C92">
        <w:t>données</w:t>
      </w:r>
      <w:proofErr w:type="spellEnd"/>
      <w:r w:rsidR="00FF6C92" w:rsidRPr="00FF6C92">
        <w:t>"</w:t>
      </w:r>
      <w:r w:rsidR="009E4C0E">
        <w:t xml:space="preserve"> e al </w:t>
      </w:r>
      <w:r w:rsidR="009E073D">
        <w:t>“</w:t>
      </w:r>
      <w:proofErr w:type="spellStart"/>
      <w:r w:rsidR="00841561" w:rsidRPr="00841561">
        <w:t>titular</w:t>
      </w:r>
      <w:proofErr w:type="spellEnd"/>
      <w:r w:rsidR="00841561" w:rsidRPr="00841561">
        <w:t xml:space="preserve"> de </w:t>
      </w:r>
      <w:proofErr w:type="spellStart"/>
      <w:r w:rsidR="00841561" w:rsidRPr="00841561">
        <w:t>datos</w:t>
      </w:r>
      <w:proofErr w:type="spellEnd"/>
      <w:r w:rsidR="009E073D">
        <w:t>”</w:t>
      </w:r>
      <w:r w:rsidR="008E34C2">
        <w:t xml:space="preserve">, </w:t>
      </w:r>
      <w:r w:rsidR="00EF0CAB">
        <w:t>allorquando</w:t>
      </w:r>
      <w:r w:rsidR="008E34C2">
        <w:t xml:space="preserve"> per il GDPR usano i termini di </w:t>
      </w:r>
      <w:r w:rsidR="009E073D">
        <w:t>“</w:t>
      </w:r>
      <w:proofErr w:type="spellStart"/>
      <w:r w:rsidR="00B36B68" w:rsidRPr="00B36B68">
        <w:t>responsable</w:t>
      </w:r>
      <w:proofErr w:type="spellEnd"/>
      <w:r w:rsidR="00B36B68" w:rsidRPr="00B36B68">
        <w:t xml:space="preserve"> </w:t>
      </w:r>
      <w:proofErr w:type="spellStart"/>
      <w:r w:rsidR="00B36B68" w:rsidRPr="00B36B68">
        <w:t>du</w:t>
      </w:r>
      <w:proofErr w:type="spellEnd"/>
      <w:r w:rsidR="00B36B68" w:rsidRPr="00B36B68">
        <w:t xml:space="preserve"> </w:t>
      </w:r>
      <w:proofErr w:type="spellStart"/>
      <w:r w:rsidR="00B36B68" w:rsidRPr="00B36B68">
        <w:t>traitement</w:t>
      </w:r>
      <w:proofErr w:type="spellEnd"/>
      <w:r w:rsidR="009E073D">
        <w:t>”</w:t>
      </w:r>
      <w:r w:rsidR="00B36B68">
        <w:t xml:space="preserve"> e </w:t>
      </w:r>
      <w:r w:rsidR="009E073D">
        <w:t>“</w:t>
      </w:r>
      <w:proofErr w:type="spellStart"/>
      <w:r w:rsidR="00B36B68" w:rsidRPr="00B36B68">
        <w:t>responsable</w:t>
      </w:r>
      <w:proofErr w:type="spellEnd"/>
      <w:r w:rsidR="00B36B68" w:rsidRPr="00B36B68">
        <w:t xml:space="preserve"> del </w:t>
      </w:r>
      <w:proofErr w:type="spellStart"/>
      <w:r w:rsidR="00B36B68" w:rsidRPr="00B36B68">
        <w:t>tratamiento</w:t>
      </w:r>
      <w:proofErr w:type="spellEnd"/>
      <w:r w:rsidR="009E073D">
        <w:t>”</w:t>
      </w:r>
      <w:r w:rsidR="00B36B68">
        <w:t>.</w:t>
      </w:r>
    </w:p>
    <w:p w14:paraId="54BFAC72" w14:textId="43C56BCD" w:rsidR="009E073D" w:rsidRDefault="00861B47" w:rsidP="00F97A49">
      <w:r>
        <w:t>“</w:t>
      </w:r>
      <w:r w:rsidR="00A01BBD">
        <w:t>T</w:t>
      </w:r>
      <w:r>
        <w:t>itolare dei dati”</w:t>
      </w:r>
      <w:r w:rsidR="008901FB">
        <w:t>, per il Data Act,</w:t>
      </w:r>
      <w:r>
        <w:t xml:space="preserve"> </w:t>
      </w:r>
      <w:r w:rsidR="00671365">
        <w:t xml:space="preserve">è chi ha il diritto o l’obbligo </w:t>
      </w:r>
      <w:r w:rsidR="00521BD5">
        <w:t>di utilizzare o mettere a disposizione dati, sia personali sia non-personali.</w:t>
      </w:r>
      <w:r w:rsidR="00AE7092">
        <w:t xml:space="preserve"> Quindi, il “titolare dei dati” può anche essere “titolare del trattamento”.</w:t>
      </w:r>
    </w:p>
    <w:p w14:paraId="43D98C12" w14:textId="77777777" w:rsidR="006E1B5D" w:rsidRDefault="000C639A" w:rsidP="00F97A49">
      <w:r>
        <w:t xml:space="preserve">Di conseguenza, </w:t>
      </w:r>
      <w:r w:rsidR="00192479">
        <w:rPr>
          <w:rFonts w:cstheme="minorHAnsi"/>
        </w:rPr>
        <w:t>«</w:t>
      </w:r>
      <w:r w:rsidR="00BF1B6C" w:rsidRPr="00307FDE">
        <w:rPr>
          <w:i/>
          <w:iCs/>
        </w:rPr>
        <w:t>[</w:t>
      </w:r>
      <w:r w:rsidRPr="00307FDE">
        <w:rPr>
          <w:i/>
          <w:iCs/>
        </w:rPr>
        <w:t>s</w:t>
      </w:r>
      <w:r w:rsidR="00BF1B6C" w:rsidRPr="00307FDE">
        <w:rPr>
          <w:i/>
          <w:iCs/>
        </w:rPr>
        <w:t>]</w:t>
      </w:r>
      <w:r w:rsidRPr="00307FDE">
        <w:rPr>
          <w:i/>
          <w:iCs/>
        </w:rPr>
        <w:t xml:space="preserve">e l’utente non è l’interessato, </w:t>
      </w:r>
      <w:r w:rsidR="00BF1B6C" w:rsidRPr="00307FDE">
        <w:rPr>
          <w:i/>
          <w:iCs/>
        </w:rPr>
        <w:t xml:space="preserve">(il Data Act) non costituisce una base giuridica per consentire l’accesso </w:t>
      </w:r>
      <w:r w:rsidR="00442385" w:rsidRPr="00307FDE">
        <w:rPr>
          <w:i/>
          <w:iCs/>
        </w:rPr>
        <w:t xml:space="preserve">ai dati personali o per mettere i dati </w:t>
      </w:r>
      <w:r w:rsidR="004F4415" w:rsidRPr="00307FDE">
        <w:rPr>
          <w:i/>
          <w:iCs/>
        </w:rPr>
        <w:t>personali</w:t>
      </w:r>
      <w:r w:rsidR="00442385" w:rsidRPr="00307FDE">
        <w:rPr>
          <w:i/>
          <w:iCs/>
        </w:rPr>
        <w:t xml:space="preserve"> a disposizione di terzi</w:t>
      </w:r>
      <w:r w:rsidR="0071559C">
        <w:rPr>
          <w:rFonts w:cstheme="minorHAnsi"/>
        </w:rPr>
        <w:t>»</w:t>
      </w:r>
      <w:r w:rsidR="0071559C">
        <w:t xml:space="preserve"> e non </w:t>
      </w:r>
      <w:r w:rsidR="0071559C">
        <w:rPr>
          <w:rFonts w:cstheme="minorHAnsi"/>
        </w:rPr>
        <w:t>«</w:t>
      </w:r>
      <w:r w:rsidR="0071559C" w:rsidRPr="00451BEA">
        <w:rPr>
          <w:i/>
          <w:iCs/>
        </w:rPr>
        <w:t>conferisce al titolare dei dati un nuovo diritto di utilizzare i dati personali generati dall’uso di un prodotto connesso o di un servizio correlato</w:t>
      </w:r>
      <w:r w:rsidR="0071559C">
        <w:rPr>
          <w:rFonts w:cstheme="minorHAnsi"/>
        </w:rPr>
        <w:t>»</w:t>
      </w:r>
      <w:r w:rsidR="0071559C">
        <w:t xml:space="preserve"> [Considerando (7)]</w:t>
      </w:r>
      <w:r w:rsidR="004F4415">
        <w:t xml:space="preserve">. Cioè, se l’utente non è l’interessato al quale si riferiscono i dati </w:t>
      </w:r>
      <w:r w:rsidR="004F4415">
        <w:lastRenderedPageBreak/>
        <w:t>personali</w:t>
      </w:r>
      <w:r w:rsidR="00BE2533">
        <w:t xml:space="preserve">, l’utente </w:t>
      </w:r>
      <w:r w:rsidR="00A17FC1">
        <w:t xml:space="preserve">stesso </w:t>
      </w:r>
      <w:r w:rsidR="00BE2533">
        <w:t>non potrà vantare il diritto di accesso ai dati</w:t>
      </w:r>
      <w:r w:rsidR="003C688E">
        <w:t xml:space="preserve"> personali</w:t>
      </w:r>
      <w:r w:rsidR="00BF1771">
        <w:t xml:space="preserve">, sia perché egli non è titolato ai sensi dell’articolo 15 del GDPR sia perché </w:t>
      </w:r>
      <w:r w:rsidR="00E64D18">
        <w:t xml:space="preserve">tale legittimazione non gli può derivare dal Data Act. </w:t>
      </w:r>
    </w:p>
    <w:p w14:paraId="0FFC8205" w14:textId="0B9CD8E1" w:rsidR="000C639A" w:rsidRDefault="00E64D18" w:rsidP="00F97A49">
      <w:r>
        <w:t xml:space="preserve">Analogamente, il Data Act non attribuisce al titolare dei dati un nuovo diritto </w:t>
      </w:r>
      <w:r w:rsidR="00781432">
        <w:t xml:space="preserve">di utilizzo dei dati </w:t>
      </w:r>
      <w:r w:rsidR="0009205D">
        <w:t>(</w:t>
      </w:r>
      <w:r w:rsidR="00781432">
        <w:t xml:space="preserve">personali </w:t>
      </w:r>
      <w:r w:rsidR="0009205D">
        <w:t xml:space="preserve">o meno) </w:t>
      </w:r>
      <w:r w:rsidR="00781432">
        <w:t>generati dai dispositivi connessi</w:t>
      </w:r>
      <w:r w:rsidR="00A42823">
        <w:t xml:space="preserve"> o dai servizi correlati</w:t>
      </w:r>
      <w:r w:rsidR="00231BBA">
        <w:t xml:space="preserve">: </w:t>
      </w:r>
      <w:r w:rsidR="0091131F">
        <w:t xml:space="preserve">se i dati sono personali, </w:t>
      </w:r>
      <w:r w:rsidR="00231BBA">
        <w:t xml:space="preserve">utente e titolare dei dati dovranno essere legittimati </w:t>
      </w:r>
      <w:r w:rsidR="00277FF4">
        <w:t xml:space="preserve">solo </w:t>
      </w:r>
      <w:r w:rsidR="00231BBA">
        <w:t>secondo le regole del GDPR</w:t>
      </w:r>
      <w:r w:rsidR="002A63A0">
        <w:t>, se i dati sono non-personali, tra utente e titolare dovrà intercorrere un contratto che disciplini diritti e modalità d’uso degli stessi</w:t>
      </w:r>
      <w:r w:rsidR="00A42823">
        <w:t>.</w:t>
      </w:r>
    </w:p>
    <w:p w14:paraId="093202BE" w14:textId="77777777" w:rsidR="003954BB" w:rsidRPr="003954BB" w:rsidRDefault="003954BB" w:rsidP="003954B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954B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Dati del Data Act</w:t>
      </w:r>
    </w:p>
    <w:p w14:paraId="32175332" w14:textId="2918ECA4" w:rsidR="00CE4238" w:rsidRDefault="00CE4238" w:rsidP="00CE4238">
      <w:pPr>
        <w:pStyle w:val="Titolo2"/>
      </w:pPr>
    </w:p>
    <w:p w14:paraId="10C57933" w14:textId="32DC314B" w:rsidR="0058478E" w:rsidRDefault="0058478E" w:rsidP="00EB523F">
      <w:r>
        <w:rPr>
          <w:noProof/>
        </w:rPr>
        <w:drawing>
          <wp:inline distT="0" distB="0" distL="0" distR="0" wp14:anchorId="445BEBE1" wp14:editId="6170CDBF">
            <wp:extent cx="6120130" cy="3440574"/>
            <wp:effectExtent l="0" t="0" r="1270" b="1270"/>
            <wp:docPr id="1392368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6877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106" w14:textId="26AB087E" w:rsidR="001D0A1A" w:rsidRDefault="001F6995" w:rsidP="00EB523F">
      <w:pPr>
        <w:rPr>
          <w:rFonts w:cstheme="minorHAnsi"/>
        </w:rPr>
      </w:pPr>
      <w:r>
        <w:t xml:space="preserve">Come riportato al Considerando (6) del Data Act, </w:t>
      </w:r>
      <w:r w:rsidRPr="00A41522">
        <w:rPr>
          <w:rFonts w:cstheme="minorHAnsi"/>
          <w:i/>
          <w:iCs/>
        </w:rPr>
        <w:t>«</w:t>
      </w:r>
      <w:r w:rsidR="00A41522" w:rsidRPr="00A41522">
        <w:rPr>
          <w:rFonts w:cstheme="minorHAnsi"/>
          <w:i/>
          <w:iCs/>
        </w:rPr>
        <w:t>[l]a generazione dei dati è il risultato delle azioni di almeno due soggetti, in particolare il progettista o il fabbricante di un prodotto connesso, che in molti casi può essere anche un fornitore di servizi correlati, e l’utente del prodotto connesso o del servizio correlato.</w:t>
      </w:r>
      <w:r>
        <w:rPr>
          <w:rFonts w:cstheme="minorHAnsi"/>
        </w:rPr>
        <w:t>»</w:t>
      </w:r>
      <w:r w:rsidR="00A41522">
        <w:rPr>
          <w:rFonts w:cstheme="minorHAnsi"/>
        </w:rPr>
        <w:t>.</w:t>
      </w:r>
    </w:p>
    <w:p w14:paraId="72E1BD74" w14:textId="4DDE4BCD" w:rsidR="00197370" w:rsidRDefault="00197370" w:rsidP="00EB523F">
      <w:pPr>
        <w:rPr>
          <w:rFonts w:cstheme="minorHAnsi"/>
        </w:rPr>
      </w:pPr>
      <w:r>
        <w:rPr>
          <w:rFonts w:cstheme="minorHAnsi"/>
        </w:rPr>
        <w:t xml:space="preserve">Di conseguenza, siccome </w:t>
      </w:r>
      <w:r w:rsidR="00F1786B" w:rsidRPr="00F1786B">
        <w:rPr>
          <w:rFonts w:cstheme="minorHAnsi"/>
        </w:rPr>
        <w:t>“</w:t>
      </w:r>
      <w:r w:rsidR="00F1786B">
        <w:rPr>
          <w:rFonts w:cstheme="minorHAnsi"/>
        </w:rPr>
        <w:t>t</w:t>
      </w:r>
      <w:r w:rsidR="00F1786B" w:rsidRPr="00F1786B">
        <w:rPr>
          <w:rFonts w:cstheme="minorHAnsi"/>
        </w:rPr>
        <w:t>itolare dei dati” è chi ha il diritto o l’obbligo di utilizzare o mettere a disposizione dati, sia personali sia non-personali</w:t>
      </w:r>
      <w:r w:rsidR="00A40FE7">
        <w:rPr>
          <w:rFonts w:cstheme="minorHAnsi"/>
        </w:rPr>
        <w:t xml:space="preserve">, </w:t>
      </w:r>
      <w:r w:rsidR="00655B0C">
        <w:rPr>
          <w:rFonts w:cstheme="minorHAnsi"/>
        </w:rPr>
        <w:t>generati da prodotti connessi o servizi correlati</w:t>
      </w:r>
      <w:r w:rsidR="00FE37CF">
        <w:rPr>
          <w:rFonts w:cstheme="minorHAnsi"/>
        </w:rPr>
        <w:t xml:space="preserve">, </w:t>
      </w:r>
      <w:r w:rsidR="00BD5B85">
        <w:rPr>
          <w:rFonts w:cstheme="minorHAnsi"/>
        </w:rPr>
        <w:t>posson</w:t>
      </w:r>
      <w:r w:rsidR="001F4A02">
        <w:rPr>
          <w:rFonts w:cstheme="minorHAnsi"/>
        </w:rPr>
        <w:t>o</w:t>
      </w:r>
      <w:r w:rsidR="00FE37CF">
        <w:rPr>
          <w:rFonts w:cstheme="minorHAnsi"/>
        </w:rPr>
        <w:t xml:space="preserve"> essere</w:t>
      </w:r>
      <w:r w:rsidR="0077796C">
        <w:rPr>
          <w:rFonts w:cstheme="minorHAnsi"/>
        </w:rPr>
        <w:t xml:space="preserve"> “titolar</w:t>
      </w:r>
      <w:r w:rsidR="001F4A02">
        <w:rPr>
          <w:rFonts w:cstheme="minorHAnsi"/>
        </w:rPr>
        <w:t>i</w:t>
      </w:r>
      <w:r w:rsidR="0077796C">
        <w:rPr>
          <w:rFonts w:cstheme="minorHAnsi"/>
        </w:rPr>
        <w:t xml:space="preserve"> dei dati” – in primo luogo </w:t>
      </w:r>
      <w:proofErr w:type="gramStart"/>
      <w:r w:rsidR="0077796C">
        <w:rPr>
          <w:rFonts w:cstheme="minorHAnsi"/>
        </w:rPr>
        <w:t>–  il</w:t>
      </w:r>
      <w:proofErr w:type="gramEnd"/>
      <w:r w:rsidR="0077796C">
        <w:rPr>
          <w:rFonts w:cstheme="minorHAnsi"/>
        </w:rPr>
        <w:t xml:space="preserve"> progettista</w:t>
      </w:r>
      <w:r w:rsidR="00BD5B85">
        <w:rPr>
          <w:rFonts w:cstheme="minorHAnsi"/>
        </w:rPr>
        <w:t xml:space="preserve"> o </w:t>
      </w:r>
      <w:r w:rsidR="006101BE">
        <w:rPr>
          <w:rFonts w:cstheme="minorHAnsi"/>
        </w:rPr>
        <w:t xml:space="preserve">il fabbricante ma anche coloro che </w:t>
      </w:r>
      <w:r w:rsidR="007A2198">
        <w:rPr>
          <w:rFonts w:cstheme="minorHAnsi"/>
        </w:rPr>
        <w:t xml:space="preserve">lungo la filiera </w:t>
      </w:r>
      <w:r w:rsidR="006101BE">
        <w:rPr>
          <w:rFonts w:cstheme="minorHAnsi"/>
        </w:rPr>
        <w:t xml:space="preserve">forniscono </w:t>
      </w:r>
      <w:r w:rsidR="009D34FE">
        <w:rPr>
          <w:rFonts w:cstheme="minorHAnsi"/>
        </w:rPr>
        <w:t xml:space="preserve">legittimamente all’utente </w:t>
      </w:r>
      <w:r w:rsidR="006101BE">
        <w:rPr>
          <w:rFonts w:cstheme="minorHAnsi"/>
        </w:rPr>
        <w:t xml:space="preserve">il prodotto </w:t>
      </w:r>
      <w:r w:rsidR="009D34FE">
        <w:rPr>
          <w:rFonts w:cstheme="minorHAnsi"/>
        </w:rPr>
        <w:t>o il servizio correlato.</w:t>
      </w:r>
      <w:r w:rsidR="00A40FE7">
        <w:rPr>
          <w:rFonts w:cstheme="minorHAnsi"/>
        </w:rPr>
        <w:t xml:space="preserve"> </w:t>
      </w:r>
    </w:p>
    <w:p w14:paraId="5BA10C0E" w14:textId="77777777" w:rsidR="004736D7" w:rsidRDefault="003954BB" w:rsidP="00EB523F">
      <w:pPr>
        <w:rPr>
          <w:rFonts w:cstheme="minorHAnsi"/>
        </w:rPr>
      </w:pPr>
      <w:r>
        <w:t xml:space="preserve">La </w:t>
      </w:r>
      <w:r w:rsidRPr="004736D7">
        <w:rPr>
          <w:b/>
          <w:bCs/>
        </w:rPr>
        <w:t>definizione di “dati” contenuta nel Data Act</w:t>
      </w:r>
      <w:r>
        <w:t xml:space="preserve"> è molto ampia: </w:t>
      </w:r>
      <w:r>
        <w:rPr>
          <w:rFonts w:cstheme="minorHAnsi"/>
        </w:rPr>
        <w:t>«</w:t>
      </w:r>
      <w:r w:rsidRPr="005A1C1C">
        <w:rPr>
          <w:rFonts w:cstheme="minorHAnsi"/>
          <w:i/>
          <w:iCs/>
        </w:rPr>
        <w:t>qualsiasi rappresentazione digitale di atti, fatti o informazioni e qualsiasi raccolta di tali atti, fatti o informazioni, anche sotto forma di registrazione sonora, visiva o audiovisiva</w:t>
      </w:r>
      <w:r>
        <w:rPr>
          <w:rFonts w:cstheme="minorHAnsi"/>
        </w:rPr>
        <w:t>»</w:t>
      </w:r>
      <w:r>
        <w:t xml:space="preserve"> [art. 2, punto 1)]. Il Considerando (15) precisa che </w:t>
      </w:r>
      <w:r>
        <w:rPr>
          <w:rFonts w:cstheme="minorHAnsi"/>
        </w:rPr>
        <w:t>«</w:t>
      </w:r>
      <w:r w:rsidRPr="00B13861">
        <w:rPr>
          <w:rFonts w:cstheme="minorHAnsi"/>
          <w:i/>
          <w:iCs/>
        </w:rPr>
        <w:t>[i]</w:t>
      </w:r>
      <w:r w:rsidRPr="00B13861">
        <w:rPr>
          <w:i/>
          <w:iCs/>
        </w:rPr>
        <w:t xml:space="preserve"> </w:t>
      </w:r>
      <w:r w:rsidRPr="00B13861">
        <w:rPr>
          <w:rFonts w:cstheme="minorHAnsi"/>
          <w:i/>
          <w:iCs/>
        </w:rPr>
        <w:t>dati rappresentano la digitalizzazione delle azioni e degli eventi degli utenti</w:t>
      </w:r>
      <w:r>
        <w:rPr>
          <w:rFonts w:cstheme="minorHAnsi"/>
        </w:rPr>
        <w:t>» e «</w:t>
      </w:r>
      <w:r w:rsidRPr="00B13861">
        <w:rPr>
          <w:rFonts w:cstheme="minorHAnsi"/>
          <w:i/>
          <w:iCs/>
        </w:rPr>
        <w:t>riguardano sia i dati del prodotto sia i dati del servizio correlato</w:t>
      </w:r>
      <w:r>
        <w:rPr>
          <w:rFonts w:cstheme="minorHAnsi"/>
        </w:rPr>
        <w:t xml:space="preserve">». </w:t>
      </w:r>
    </w:p>
    <w:p w14:paraId="77173AE2" w14:textId="77777777" w:rsidR="004736D7" w:rsidRDefault="003954BB" w:rsidP="00EB523F">
      <w:pPr>
        <w:rPr>
          <w:rFonts w:cstheme="minorHAnsi"/>
        </w:rPr>
      </w:pPr>
      <w:r>
        <w:rPr>
          <w:rFonts w:cstheme="minorHAnsi"/>
        </w:rPr>
        <w:t>Inoltre, «</w:t>
      </w:r>
      <w:r w:rsidRPr="00B13861">
        <w:rPr>
          <w:rFonts w:cstheme="minorHAnsi"/>
          <w:i/>
          <w:iCs/>
        </w:rPr>
        <w:t xml:space="preserve">[c]on il termine «dati del prodotto» si fa riferimento ai dati generati dall’uso di un prodotto connesso e progettati dal fabbricante in modo tale che un utente, il titolare dei dati o terzi, compreso se del caso il fabbricante, possano reperirli dal prodotto connesso. Con il termine «dati del servizio correlato» si fa riferimento ai dati che rappresentano altresì </w:t>
      </w:r>
      <w:r w:rsidRPr="002E0579">
        <w:rPr>
          <w:rFonts w:cstheme="minorHAnsi"/>
          <w:i/>
          <w:iCs/>
        </w:rPr>
        <w:t xml:space="preserve">la digitalizzazione delle azioni o degli eventi degli utenti relativi al prodotto connesso e che sono generati durante la fornitura di un servizio correlato da parte del fornitore. </w:t>
      </w:r>
      <w:r w:rsidRPr="002E0579">
        <w:rPr>
          <w:rFonts w:cstheme="minorHAnsi"/>
          <w:i/>
          <w:iCs/>
        </w:rPr>
        <w:lastRenderedPageBreak/>
        <w:t>I dati generati dall’uso di un prodotto connesso o di un servizio correlato dovrebbero essere intesi come dati registrati intenzionalmente o dati che derivano indirettamente dall’azione dell’utente, ad esempio i dati relativi all’ambiente o alle interazioni del prodotto connesso.</w:t>
      </w:r>
      <w:r>
        <w:rPr>
          <w:rFonts w:cstheme="minorHAnsi"/>
        </w:rPr>
        <w:t xml:space="preserve">». </w:t>
      </w:r>
    </w:p>
    <w:p w14:paraId="59955AF3" w14:textId="77777777" w:rsidR="004736D7" w:rsidRDefault="003954BB" w:rsidP="00EB523F">
      <w:pPr>
        <w:rPr>
          <w:rFonts w:cstheme="minorHAnsi"/>
        </w:rPr>
      </w:pPr>
      <w:r>
        <w:rPr>
          <w:rFonts w:cstheme="minorHAnsi"/>
        </w:rPr>
        <w:t>Il Considerando (15) aggiunge che tali dati comprendono quelli generati automaticamente da sensori e quelli registrati da applicazioni incorporate, «</w:t>
      </w:r>
      <w:r w:rsidRPr="00CD7526">
        <w:rPr>
          <w:rFonts w:cstheme="minorHAnsi"/>
          <w:i/>
          <w:iCs/>
        </w:rPr>
        <w:t>incluse le applicazioni indicanti lo stato dell’hardware e i malfunzionamenti</w:t>
      </w:r>
      <w:r>
        <w:rPr>
          <w:rFonts w:cstheme="minorHAnsi"/>
        </w:rPr>
        <w:t>», insieme a quelli generati «</w:t>
      </w:r>
      <w:r w:rsidRPr="00CD7526">
        <w:rPr>
          <w:rFonts w:cstheme="minorHAnsi"/>
          <w:i/>
          <w:iCs/>
        </w:rPr>
        <w:t>durante i periodi di inattività dell’utente, ad esempio quando quest’ultimo sceglie di non utilizzare un prodotto connesso per un determinato periodo di tempo ma di tenerlo in modalità stand-by o addirittura spento</w:t>
      </w:r>
      <w:r>
        <w:rPr>
          <w:rFonts w:cstheme="minorHAnsi"/>
        </w:rPr>
        <w:t xml:space="preserve">». </w:t>
      </w:r>
    </w:p>
    <w:p w14:paraId="7A9FA217" w14:textId="513AD8A0" w:rsidR="003954BB" w:rsidRDefault="003954BB" w:rsidP="00EB523F">
      <w:pPr>
        <w:rPr>
          <w:rFonts w:cstheme="minorHAnsi"/>
        </w:rPr>
      </w:pPr>
      <w:r>
        <w:rPr>
          <w:rFonts w:cstheme="minorHAnsi"/>
        </w:rPr>
        <w:t>Infine, rientrano in tale ambito definitorio «</w:t>
      </w:r>
      <w:r w:rsidRPr="00CD7526">
        <w:rPr>
          <w:rFonts w:cstheme="minorHAnsi"/>
          <w:i/>
          <w:iCs/>
        </w:rPr>
        <w:t>[i] dati che non sono modificati in modo sostanziale, ossia i dati in forma grezza, noti anche come dati fonte o dati primari che si riferiscono a punti di dati generati automaticamente senza alcuna ulteriore forma di trattamento, e i dati che sono stati pretrattati al fine di renderli comprensibili e utilizzabili prima di ulteriori operazioni di trattamento e analisi</w:t>
      </w:r>
      <w:r>
        <w:rPr>
          <w:rFonts w:cstheme="minorHAnsi"/>
        </w:rPr>
        <w:t>». Lo stesso Considerando riporta gli esempi, tra l’altro, di «</w:t>
      </w:r>
      <w:r w:rsidRPr="00C62D82">
        <w:rPr>
          <w:rFonts w:cstheme="minorHAnsi"/>
          <w:i/>
          <w:iCs/>
        </w:rPr>
        <w:t>la temperatura, la pressione, la portata, l’audio, il valore del pH, il livello del liquido, la posizione, l’accelerazione o la velocità</w:t>
      </w:r>
      <w:r>
        <w:rPr>
          <w:rFonts w:cstheme="minorHAnsi"/>
        </w:rPr>
        <w:t>».</w:t>
      </w:r>
    </w:p>
    <w:p w14:paraId="6411C20F" w14:textId="77777777" w:rsidR="003954BB" w:rsidRPr="003954BB" w:rsidRDefault="003954BB" w:rsidP="003954BB">
      <w:pPr>
        <w:pStyle w:val="Titolo1"/>
      </w:pPr>
      <w:r w:rsidRPr="003954BB">
        <w:t xml:space="preserve">Esempi </w:t>
      </w:r>
    </w:p>
    <w:p w14:paraId="6FB0E79C" w14:textId="5C197669" w:rsidR="001F4A02" w:rsidRDefault="001F4A02" w:rsidP="00EB523F">
      <w:r w:rsidRPr="001F4A02">
        <w:t>Facciamo qualche esempio per maggiore chiarezza.</w:t>
      </w:r>
    </w:p>
    <w:p w14:paraId="55D69D2A" w14:textId="3D9A3CB0" w:rsidR="0093428E" w:rsidRPr="00603357" w:rsidRDefault="0093428E" w:rsidP="0093428E">
      <w:pPr>
        <w:pStyle w:val="Paragrafoelenco"/>
        <w:numPr>
          <w:ilvl w:val="0"/>
          <w:numId w:val="1"/>
        </w:numPr>
        <w:rPr>
          <w:b/>
          <w:bCs/>
        </w:rPr>
      </w:pPr>
      <w:r w:rsidRPr="00603357">
        <w:rPr>
          <w:b/>
          <w:bCs/>
        </w:rPr>
        <w:t xml:space="preserve">Titolare di dati e utente </w:t>
      </w:r>
      <w:r w:rsidR="00B97011">
        <w:rPr>
          <w:b/>
          <w:bCs/>
        </w:rPr>
        <w:t xml:space="preserve">data </w:t>
      </w:r>
      <w:proofErr w:type="spellStart"/>
      <w:r w:rsidR="00B97011">
        <w:rPr>
          <w:b/>
          <w:bCs/>
        </w:rPr>
        <w:t>subject</w:t>
      </w:r>
      <w:proofErr w:type="spellEnd"/>
    </w:p>
    <w:p w14:paraId="4ACFDFDC" w14:textId="77777777" w:rsidR="00F448D0" w:rsidRDefault="00FA7C0A" w:rsidP="00EB523F">
      <w:r>
        <w:t>Il</w:t>
      </w:r>
      <w:r w:rsidR="00945607">
        <w:t xml:space="preserve"> </w:t>
      </w:r>
      <w:r w:rsidR="00BF71B3">
        <w:t>concessionario</w:t>
      </w:r>
      <w:r w:rsidR="00945607">
        <w:t xml:space="preserve"> di autoveicoli Alfa Company </w:t>
      </w:r>
      <w:r w:rsidR="000129C8">
        <w:t xml:space="preserve">(“Alfa”) vende un autoveicolo al signor </w:t>
      </w:r>
      <w:r w:rsidR="00780054">
        <w:t xml:space="preserve">Mario. </w:t>
      </w:r>
      <w:r w:rsidR="00C04CC2">
        <w:t>Alfa, grazie a sensori e centraline intelligenti installate sull’autoveicolo</w:t>
      </w:r>
      <w:r w:rsidR="00EE0872">
        <w:t xml:space="preserve"> (</w:t>
      </w:r>
      <w:r w:rsidR="00EE0872" w:rsidRPr="00EE0872">
        <w:rPr>
          <w:b/>
          <w:bCs/>
        </w:rPr>
        <w:t>prodotto connesso</w:t>
      </w:r>
      <w:r w:rsidR="00EE0872">
        <w:t>)</w:t>
      </w:r>
      <w:r w:rsidR="00C04CC2">
        <w:t xml:space="preserve">, acquisisce </w:t>
      </w:r>
      <w:r w:rsidR="007B3BA7">
        <w:t>un significativo quantitativo di informazioni riguardo alle prestazioni dello stesso e all’uso che ne viene fatto da Mario.</w:t>
      </w:r>
      <w:r w:rsidR="00B70AF7">
        <w:t xml:space="preserve"> </w:t>
      </w:r>
    </w:p>
    <w:p w14:paraId="1A4563CC" w14:textId="59987571" w:rsidR="00F43919" w:rsidRDefault="00F43919" w:rsidP="00EB523F">
      <w:r>
        <w:t>Infatti, fabbricanti</w:t>
      </w:r>
      <w:r w:rsidRPr="00F43919">
        <w:t xml:space="preserve"> e progettisti devono progettare i prodotti in modo tale da rendere i dati facilmente accessibili per impostazione predefinita e </w:t>
      </w:r>
      <w:r>
        <w:t>devono</w:t>
      </w:r>
      <w:r w:rsidRPr="00F43919">
        <w:t xml:space="preserve"> essere trasparenti su quali dati </w:t>
      </w:r>
      <w:r w:rsidR="00501282">
        <w:t>sono</w:t>
      </w:r>
      <w:r w:rsidRPr="00F43919">
        <w:t xml:space="preserve"> accessibili e su come accedervi.</w:t>
      </w:r>
    </w:p>
    <w:p w14:paraId="39B432A0" w14:textId="37FAC08F" w:rsidR="008676E4" w:rsidRDefault="008676E4" w:rsidP="00EB523F">
      <w:r>
        <w:t xml:space="preserve">Il </w:t>
      </w:r>
      <w:r w:rsidR="00F7610B">
        <w:t>concessionario</w:t>
      </w:r>
      <w:r w:rsidR="00501282">
        <w:t xml:space="preserve"> Alfa</w:t>
      </w:r>
      <w:r>
        <w:t>, secondo il Data A</w:t>
      </w:r>
      <w:r w:rsidR="00AB0158">
        <w:t xml:space="preserve">ct, è un </w:t>
      </w:r>
      <w:r w:rsidR="00AB0158" w:rsidRPr="00603357">
        <w:rPr>
          <w:b/>
          <w:bCs/>
        </w:rPr>
        <w:t>titolare dei dati</w:t>
      </w:r>
      <w:r w:rsidR="00AB0158">
        <w:t>.</w:t>
      </w:r>
      <w:r w:rsidR="00AF3FA2">
        <w:t xml:space="preserve"> </w:t>
      </w:r>
      <w:r w:rsidR="00D166CA">
        <w:t>In questa circostanza</w:t>
      </w:r>
      <w:r w:rsidR="00720E48">
        <w:t>, le informazioni in questione sono definite “</w:t>
      </w:r>
      <w:r w:rsidR="00720E48" w:rsidRPr="00DE110B">
        <w:rPr>
          <w:b/>
          <w:bCs/>
        </w:rPr>
        <w:t>dati del prodotto</w:t>
      </w:r>
      <w:r w:rsidR="00720E48">
        <w:t xml:space="preserve">” </w:t>
      </w:r>
      <w:r w:rsidR="00A31D81">
        <w:t>e</w:t>
      </w:r>
      <w:r w:rsidR="00593C06">
        <w:t xml:space="preserve">, come si vedrà </w:t>
      </w:r>
      <w:r w:rsidR="00B815EB">
        <w:t>in seguito in maggior dettaglio,</w:t>
      </w:r>
      <w:r w:rsidR="00A31D81">
        <w:t xml:space="preserve"> consistono in </w:t>
      </w:r>
      <w:r w:rsidR="00A31D81">
        <w:rPr>
          <w:rFonts w:cstheme="minorHAnsi"/>
        </w:rPr>
        <w:t>«</w:t>
      </w:r>
      <w:r w:rsidR="00A31D81" w:rsidRPr="00DE110B">
        <w:rPr>
          <w:rFonts w:cstheme="minorHAnsi"/>
          <w:i/>
          <w:iCs/>
        </w:rPr>
        <w:t xml:space="preserve">dati generati dall’uso di un prodotto connesso e progettati dal fabbricante in modo tale che </w:t>
      </w:r>
      <w:r w:rsidR="00C5392E" w:rsidRPr="00DE110B">
        <w:rPr>
          <w:rFonts w:cstheme="minorHAnsi"/>
          <w:i/>
          <w:iCs/>
        </w:rPr>
        <w:t>(… siano)</w:t>
      </w:r>
      <w:r w:rsidR="00A31D81" w:rsidRPr="00DE110B">
        <w:rPr>
          <w:rFonts w:cstheme="minorHAnsi"/>
          <w:i/>
          <w:iCs/>
        </w:rPr>
        <w:t xml:space="preserve"> </w:t>
      </w:r>
      <w:r w:rsidR="00A31D81" w:rsidRPr="00D83E2E">
        <w:rPr>
          <w:rFonts w:cstheme="minorHAnsi"/>
          <w:i/>
          <w:iCs/>
        </w:rPr>
        <w:t>reper</w:t>
      </w:r>
      <w:r w:rsidR="00D83E2E" w:rsidRPr="00D83E2E">
        <w:rPr>
          <w:rFonts w:cstheme="minorHAnsi"/>
          <w:i/>
          <w:iCs/>
        </w:rPr>
        <w:t>ibili</w:t>
      </w:r>
      <w:r w:rsidR="00A31D81" w:rsidRPr="00DE110B">
        <w:rPr>
          <w:rFonts w:cstheme="minorHAnsi"/>
          <w:i/>
          <w:iCs/>
        </w:rPr>
        <w:t xml:space="preserve"> tramite un servizio di comunicazione elettronica, una connessione fisica o l’accesso su dispositivo</w:t>
      </w:r>
      <w:r w:rsidR="00A31D81">
        <w:rPr>
          <w:rFonts w:cstheme="minorHAnsi"/>
        </w:rPr>
        <w:t>»</w:t>
      </w:r>
      <w:r w:rsidR="00C5392E">
        <w:rPr>
          <w:rFonts w:cstheme="minorHAnsi"/>
        </w:rPr>
        <w:t xml:space="preserve"> </w:t>
      </w:r>
      <w:r w:rsidR="00DE110B">
        <w:rPr>
          <w:rFonts w:cstheme="minorHAnsi"/>
        </w:rPr>
        <w:t>[art. 2, punto 15), Data Act]</w:t>
      </w:r>
      <w:r w:rsidR="00C5392E">
        <w:rPr>
          <w:rFonts w:cstheme="minorHAnsi"/>
        </w:rPr>
        <w:t>.</w:t>
      </w:r>
    </w:p>
    <w:p w14:paraId="40190CE2" w14:textId="23ABB118" w:rsidR="00945607" w:rsidRDefault="00B70AF7" w:rsidP="00EB523F">
      <w:r>
        <w:t>Queste informazioni, essendo associate a Mario, si qualificano come dati personali</w:t>
      </w:r>
      <w:r w:rsidR="00992AFF">
        <w:t xml:space="preserve"> di Mario</w:t>
      </w:r>
      <w:r w:rsidR="00B207D5">
        <w:t xml:space="preserve"> (</w:t>
      </w:r>
      <w:r w:rsidR="00B207D5" w:rsidRPr="00B36228">
        <w:rPr>
          <w:b/>
          <w:bCs/>
        </w:rPr>
        <w:t>interessato</w:t>
      </w:r>
      <w:r w:rsidR="00B207D5">
        <w:t>)</w:t>
      </w:r>
      <w:r>
        <w:t>.</w:t>
      </w:r>
      <w:r w:rsidR="00AB0158">
        <w:t xml:space="preserve"> Il </w:t>
      </w:r>
      <w:r w:rsidR="00FA7C0A">
        <w:t>concessionario</w:t>
      </w:r>
      <w:r w:rsidR="00AB0158">
        <w:t xml:space="preserve">, pertanto, in base al GDPR, è anche </w:t>
      </w:r>
      <w:r w:rsidR="00AB0158" w:rsidRPr="00B36228">
        <w:rPr>
          <w:b/>
          <w:bCs/>
        </w:rPr>
        <w:t xml:space="preserve">titolare del trattamento </w:t>
      </w:r>
      <w:r w:rsidR="00AB0158" w:rsidRPr="00FC052C">
        <w:t>dei dati personali</w:t>
      </w:r>
      <w:r w:rsidR="00AB0158">
        <w:t>.</w:t>
      </w:r>
    </w:p>
    <w:p w14:paraId="432B5BE3" w14:textId="6561CE75" w:rsidR="00A61355" w:rsidRDefault="00A7476C" w:rsidP="00EB523F">
      <w:r>
        <w:t>P</w:t>
      </w:r>
      <w:r w:rsidR="00090B62">
        <w:t xml:space="preserve">er la messa a disposizione </w:t>
      </w:r>
      <w:r w:rsidR="00AB3DEA">
        <w:t>dei</w:t>
      </w:r>
      <w:r w:rsidR="00090B62">
        <w:t xml:space="preserve"> dati </w:t>
      </w:r>
      <w:r w:rsidR="00AB3DEA">
        <w:t xml:space="preserve">del prodotto </w:t>
      </w:r>
      <w:r w:rsidR="00876CB1">
        <w:t xml:space="preserve">dal </w:t>
      </w:r>
      <w:r w:rsidR="000370E7">
        <w:t>concessionario</w:t>
      </w:r>
      <w:r w:rsidR="00876CB1">
        <w:t xml:space="preserve"> </w:t>
      </w:r>
      <w:r w:rsidR="00090B62">
        <w:t xml:space="preserve">a un utente che </w:t>
      </w:r>
      <w:r w:rsidR="00876CB1">
        <w:t>non fosse Mario, come nel caso di un’officina di manutenzione</w:t>
      </w:r>
      <w:r>
        <w:t xml:space="preserve">, occorrerà che questa comunicazione di dati </w:t>
      </w:r>
      <w:r w:rsidR="009D512B">
        <w:t>trovi</w:t>
      </w:r>
      <w:r w:rsidRPr="00A7476C">
        <w:t xml:space="preserve"> giustifica</w:t>
      </w:r>
      <w:r w:rsidR="009D512B">
        <w:t>zione in</w:t>
      </w:r>
      <w:r w:rsidRPr="00A7476C">
        <w:t xml:space="preserve"> una delle basi giuridiche dell’articolo 6 del GDPR, nonché degli articoli 9 del GDPR e 5.3 della direttiva </w:t>
      </w:r>
      <w:proofErr w:type="spellStart"/>
      <w:r w:rsidRPr="00A7476C">
        <w:t>ePrivacy</w:t>
      </w:r>
      <w:proofErr w:type="spellEnd"/>
      <w:r w:rsidRPr="00A7476C">
        <w:t>, se applicabili in base alle circostanze</w:t>
      </w:r>
      <w:r w:rsidR="00813883">
        <w:t xml:space="preserve"> (v. art. 4.12, Data Act)</w:t>
      </w:r>
      <w:r w:rsidR="00876CB1">
        <w:t>.</w:t>
      </w:r>
    </w:p>
    <w:p w14:paraId="36AC2C47" w14:textId="77777777" w:rsidR="006D231A" w:rsidRDefault="00900B82" w:rsidP="00EB523F">
      <w:r>
        <w:t>Da altro canto,</w:t>
      </w:r>
      <w:r w:rsidR="001F51E6">
        <w:t xml:space="preserve"> Mario ha diritto di </w:t>
      </w:r>
      <w:r w:rsidR="009A4A53">
        <w:t xml:space="preserve">richiedere e </w:t>
      </w:r>
      <w:r w:rsidR="001F51E6">
        <w:t xml:space="preserve">acquisire tali informazioni </w:t>
      </w:r>
      <w:r w:rsidR="009A4A53">
        <w:t xml:space="preserve">dal </w:t>
      </w:r>
      <w:r w:rsidR="00040826">
        <w:t>concessionario</w:t>
      </w:r>
      <w:r w:rsidR="009A4A53">
        <w:t xml:space="preserve">, grazie ai </w:t>
      </w:r>
      <w:r w:rsidR="009A4A53" w:rsidRPr="00315516">
        <w:rPr>
          <w:b/>
          <w:bCs/>
        </w:rPr>
        <w:t>diritti di accesso</w:t>
      </w:r>
      <w:r w:rsidR="009A4A53">
        <w:t xml:space="preserve"> previsti dagli articoli 15 del GDPR e </w:t>
      </w:r>
      <w:r w:rsidR="003B6547">
        <w:t>4 del Data Act.</w:t>
      </w:r>
      <w:r w:rsidR="00F60778">
        <w:t xml:space="preserve"> </w:t>
      </w:r>
    </w:p>
    <w:p w14:paraId="180BB78B" w14:textId="4F1368E6" w:rsidR="00780E9B" w:rsidRDefault="00F60778" w:rsidP="00EB523F">
      <w:r>
        <w:t xml:space="preserve">In aggiunta, Mario deve ricevere una preliminare </w:t>
      </w:r>
      <w:r w:rsidRPr="006D231A">
        <w:rPr>
          <w:b/>
          <w:bCs/>
        </w:rPr>
        <w:t>informativa</w:t>
      </w:r>
      <w:r>
        <w:t xml:space="preserve"> in merito a</w:t>
      </w:r>
      <w:r w:rsidR="00B8234C">
        <w:t xml:space="preserve">l trattamento di tali dati, ai sensi degli articoli 13 e 14 del GDPR e </w:t>
      </w:r>
      <w:r w:rsidR="00FA61F5">
        <w:t>3 del Data Act.</w:t>
      </w:r>
    </w:p>
    <w:p w14:paraId="69343C74" w14:textId="60B949F8" w:rsidR="008676E4" w:rsidRDefault="00A8097D" w:rsidP="00EB523F">
      <w:r>
        <w:t>Infine</w:t>
      </w:r>
      <w:r w:rsidR="008676E4">
        <w:t xml:space="preserve">, Mario ha anche il diritto di ottenere dal </w:t>
      </w:r>
      <w:r w:rsidR="00040826">
        <w:t>concessionario</w:t>
      </w:r>
      <w:r w:rsidR="008676E4">
        <w:t xml:space="preserve"> </w:t>
      </w:r>
      <w:r w:rsidR="006E32D8">
        <w:t xml:space="preserve">Alfa </w:t>
      </w:r>
      <w:r w:rsidR="00793BAA">
        <w:t>che i richiamati dati vengano messi a disposizione di terzi da lui scelti (</w:t>
      </w:r>
      <w:r w:rsidR="00793BAA" w:rsidRPr="00315516">
        <w:rPr>
          <w:b/>
          <w:bCs/>
        </w:rPr>
        <w:t>destinatari</w:t>
      </w:r>
      <w:r w:rsidR="00793BAA">
        <w:t>)</w:t>
      </w:r>
      <w:r>
        <w:t>, come</w:t>
      </w:r>
      <w:r w:rsidR="00547142">
        <w:t xml:space="preserve"> ad esempio l’officina di manutenzione di sua fiducia</w:t>
      </w:r>
      <w:r w:rsidR="00C959A3">
        <w:t xml:space="preserve">; </w:t>
      </w:r>
      <w:r w:rsidR="00C959A3">
        <w:lastRenderedPageBreak/>
        <w:t xml:space="preserve">questo </w:t>
      </w:r>
      <w:r w:rsidR="00C959A3" w:rsidRPr="00315516">
        <w:rPr>
          <w:b/>
          <w:bCs/>
        </w:rPr>
        <w:t>diritto alla portabilità</w:t>
      </w:r>
      <w:r w:rsidR="00C959A3">
        <w:t xml:space="preserve"> dovrà </w:t>
      </w:r>
      <w:r w:rsidR="00F33598">
        <w:t>conforma</w:t>
      </w:r>
      <w:r w:rsidR="00C959A3">
        <w:t>r</w:t>
      </w:r>
      <w:r w:rsidR="00F33598">
        <w:t xml:space="preserve">si </w:t>
      </w:r>
      <w:r w:rsidR="00C959A3">
        <w:t xml:space="preserve">agli articoli </w:t>
      </w:r>
      <w:r w:rsidR="00C521AF">
        <w:t xml:space="preserve">20 del GDPR e </w:t>
      </w:r>
      <w:r w:rsidR="006125FE">
        <w:t>5 del Data Act</w:t>
      </w:r>
      <w:r w:rsidR="0028030C">
        <w:t>, applicati cumulativamente</w:t>
      </w:r>
      <w:r w:rsidR="006125FE">
        <w:t>.</w:t>
      </w:r>
    </w:p>
    <w:p w14:paraId="5D12F8B3" w14:textId="0FD229D2" w:rsidR="0034282A" w:rsidRDefault="00425C1D" w:rsidP="00EB523F">
      <w:r>
        <w:rPr>
          <w:b/>
          <w:bCs/>
        </w:rPr>
        <w:t>Ulteriore</w:t>
      </w:r>
      <w:r w:rsidR="001D5A4B" w:rsidRPr="00425C1D">
        <w:rPr>
          <w:b/>
          <w:bCs/>
        </w:rPr>
        <w:t xml:space="preserve"> esempio</w:t>
      </w:r>
      <w:r w:rsidR="001D5A4B">
        <w:t xml:space="preserve"> di questo tipo è quello che intercorre tra Anna, acquirente di un frigorifero intelligente, </w:t>
      </w:r>
      <w:r w:rsidR="005126FE">
        <w:t xml:space="preserve">ed il negoziante </w:t>
      </w:r>
      <w:r w:rsidR="00CF0D64">
        <w:t>“</w:t>
      </w:r>
      <w:r w:rsidR="00931003">
        <w:t>Vendo</w:t>
      </w:r>
      <w:r w:rsidR="00DE3D94">
        <w:t>”</w:t>
      </w:r>
      <w:r w:rsidR="00931003">
        <w:t xml:space="preserve"> </w:t>
      </w:r>
      <w:r w:rsidR="005126FE">
        <w:t>che le fornisce un “</w:t>
      </w:r>
      <w:r w:rsidR="005126FE" w:rsidRPr="00763BD4">
        <w:rPr>
          <w:b/>
          <w:bCs/>
        </w:rPr>
        <w:t>servizio correlato</w:t>
      </w:r>
      <w:r w:rsidR="005126FE">
        <w:t>” di manutenzione.</w:t>
      </w:r>
    </w:p>
    <w:p w14:paraId="0EBB9500" w14:textId="3A34C44A" w:rsidR="00763BD4" w:rsidRDefault="00763BD4" w:rsidP="00EB523F">
      <w:pPr>
        <w:rPr>
          <w:rFonts w:cstheme="minorHAnsi"/>
        </w:rPr>
      </w:pPr>
      <w:r>
        <w:t xml:space="preserve">Secondo la definizione del Data Act, per servizio correlato si intende </w:t>
      </w:r>
      <w:r w:rsidR="001B2E51">
        <w:rPr>
          <w:rFonts w:cstheme="minorHAnsi"/>
        </w:rPr>
        <w:t>«</w:t>
      </w:r>
      <w:r w:rsidR="001B2E51" w:rsidRPr="00415EEF">
        <w:rPr>
          <w:rFonts w:cstheme="minorHAnsi"/>
          <w:i/>
          <w:iCs/>
        </w:rPr>
        <w:t>un servizio digitale diverso da un servizio di comunicazione elettronica, anche software, connesso con il prodotto al momento dell’acquisto, della locazione o del noleggio in modo tale che la sua assenza impedirebbe al prodotto connesso di svolgere una o più delle sue funzioni o che è successivamente connesso al prodotto dal fabbricante o da un terzo al fine di ampliare, aggiornare o adattare le funzioni del prodotto connesso</w:t>
      </w:r>
      <w:r w:rsidR="001B2E51">
        <w:rPr>
          <w:rFonts w:cstheme="minorHAnsi"/>
        </w:rPr>
        <w:t xml:space="preserve">» </w:t>
      </w:r>
      <w:r w:rsidR="00415EEF">
        <w:rPr>
          <w:rFonts w:cstheme="minorHAnsi"/>
        </w:rPr>
        <w:t>[</w:t>
      </w:r>
      <w:r w:rsidR="001B2E51">
        <w:rPr>
          <w:rFonts w:cstheme="minorHAnsi"/>
        </w:rPr>
        <w:t xml:space="preserve">art. 2, punto </w:t>
      </w:r>
      <w:r w:rsidR="00415EEF">
        <w:rPr>
          <w:rFonts w:cstheme="minorHAnsi"/>
        </w:rPr>
        <w:t>6), Data Act]</w:t>
      </w:r>
      <w:r w:rsidR="002356A4">
        <w:rPr>
          <w:rFonts w:cstheme="minorHAnsi"/>
        </w:rPr>
        <w:t>.</w:t>
      </w:r>
      <w:r w:rsidR="00D26257">
        <w:rPr>
          <w:rFonts w:cstheme="minorHAnsi"/>
        </w:rPr>
        <w:t xml:space="preserve"> In questo esempio, le informazioni </w:t>
      </w:r>
      <w:r w:rsidR="00220036">
        <w:rPr>
          <w:rFonts w:cstheme="minorHAnsi"/>
        </w:rPr>
        <w:t>di riferimento sono definite “</w:t>
      </w:r>
      <w:r w:rsidR="00220036" w:rsidRPr="00A62BFE">
        <w:rPr>
          <w:rFonts w:cstheme="minorHAnsi"/>
          <w:b/>
          <w:bCs/>
        </w:rPr>
        <w:t>dati di un servizio correlato</w:t>
      </w:r>
      <w:r w:rsidR="00220036">
        <w:rPr>
          <w:rFonts w:cstheme="minorHAnsi"/>
        </w:rPr>
        <w:t>” e consistono in «</w:t>
      </w:r>
      <w:r w:rsidR="00A62BFE" w:rsidRPr="00A62BFE">
        <w:rPr>
          <w:rFonts w:cstheme="minorHAnsi"/>
          <w:i/>
          <w:iCs/>
        </w:rPr>
        <w:t>dati che rappresentano la digitalizzazione delle azioni o degli eventi degli utenti relativi al prodotto connesso, registrati intenzionalmente dall’utente o generati come sottoprodotto dell’azione dell’utente durante la fornitura di un servizio correlato</w:t>
      </w:r>
      <w:r w:rsidR="00220036">
        <w:rPr>
          <w:rFonts w:cstheme="minorHAnsi"/>
        </w:rPr>
        <w:t>»</w:t>
      </w:r>
      <w:r w:rsidR="00A62BFE">
        <w:rPr>
          <w:rFonts w:cstheme="minorHAnsi"/>
        </w:rPr>
        <w:t xml:space="preserve"> [art. 2, punto 16), Data Act].</w:t>
      </w:r>
    </w:p>
    <w:p w14:paraId="7E99F5F6" w14:textId="278A78C7" w:rsidR="000B154B" w:rsidRDefault="004E15E4" w:rsidP="00EB523F">
      <w:pPr>
        <w:rPr>
          <w:rFonts w:cstheme="minorHAnsi"/>
        </w:rPr>
      </w:pPr>
      <w:r>
        <w:rPr>
          <w:rFonts w:cstheme="minorHAnsi"/>
        </w:rPr>
        <w:t xml:space="preserve">Il produttore Frigo SA (“Frigo”) </w:t>
      </w:r>
      <w:r w:rsidR="00DB5B4A">
        <w:rPr>
          <w:rFonts w:cstheme="minorHAnsi"/>
        </w:rPr>
        <w:t xml:space="preserve">manifesta al negoziante </w:t>
      </w:r>
      <w:r w:rsidR="001C11BA">
        <w:rPr>
          <w:rFonts w:cstheme="minorHAnsi"/>
        </w:rPr>
        <w:t>“</w:t>
      </w:r>
      <w:r w:rsidR="00DB5B4A">
        <w:rPr>
          <w:rFonts w:cstheme="minorHAnsi"/>
        </w:rPr>
        <w:t>Vendo</w:t>
      </w:r>
      <w:r w:rsidR="001C11BA">
        <w:rPr>
          <w:rFonts w:cstheme="minorHAnsi"/>
        </w:rPr>
        <w:t>”</w:t>
      </w:r>
      <w:r w:rsidR="00DB5B4A">
        <w:rPr>
          <w:rFonts w:cstheme="minorHAnsi"/>
        </w:rPr>
        <w:t xml:space="preserve"> il proprio interesse a poter </w:t>
      </w:r>
      <w:r w:rsidR="0020759B">
        <w:rPr>
          <w:rFonts w:cstheme="minorHAnsi"/>
        </w:rPr>
        <w:t>ottenere</w:t>
      </w:r>
      <w:r w:rsidR="00DB5B4A">
        <w:rPr>
          <w:rFonts w:cstheme="minorHAnsi"/>
        </w:rPr>
        <w:t xml:space="preserve"> i dati in questione</w:t>
      </w:r>
      <w:r w:rsidR="004A13D5">
        <w:rPr>
          <w:rFonts w:cstheme="minorHAnsi"/>
        </w:rPr>
        <w:t>,</w:t>
      </w:r>
      <w:r w:rsidR="00DB5B4A">
        <w:rPr>
          <w:rFonts w:cstheme="minorHAnsi"/>
        </w:rPr>
        <w:t xml:space="preserve"> generati dall’interazione </w:t>
      </w:r>
      <w:r w:rsidR="004A13D5">
        <w:rPr>
          <w:rFonts w:cstheme="minorHAnsi"/>
        </w:rPr>
        <w:t xml:space="preserve">diretta o indiretta </w:t>
      </w:r>
      <w:r w:rsidR="00DB5B4A">
        <w:rPr>
          <w:rFonts w:cstheme="minorHAnsi"/>
        </w:rPr>
        <w:t xml:space="preserve">di </w:t>
      </w:r>
      <w:r w:rsidR="004A13D5">
        <w:rPr>
          <w:rFonts w:cstheme="minorHAnsi"/>
        </w:rPr>
        <w:t>Anna</w:t>
      </w:r>
      <w:r w:rsidR="00DB5B4A">
        <w:rPr>
          <w:rFonts w:cstheme="minorHAnsi"/>
        </w:rPr>
        <w:t xml:space="preserve"> col frigorifero intelligente</w:t>
      </w:r>
      <w:r w:rsidR="00CF2CFA">
        <w:rPr>
          <w:rFonts w:cstheme="minorHAnsi"/>
        </w:rPr>
        <w:t xml:space="preserve">, per </w:t>
      </w:r>
      <w:proofErr w:type="gramStart"/>
      <w:r w:rsidR="00FF7A26">
        <w:rPr>
          <w:rFonts w:cstheme="minorHAnsi"/>
        </w:rPr>
        <w:t xml:space="preserve">realizzare </w:t>
      </w:r>
      <w:r w:rsidR="00CF2CFA">
        <w:rPr>
          <w:rFonts w:cstheme="minorHAnsi"/>
        </w:rPr>
        <w:t xml:space="preserve"> verifiche</w:t>
      </w:r>
      <w:proofErr w:type="gramEnd"/>
      <w:r w:rsidR="00CF2CFA">
        <w:rPr>
          <w:rFonts w:cstheme="minorHAnsi"/>
        </w:rPr>
        <w:t xml:space="preserve"> </w:t>
      </w:r>
      <w:r w:rsidR="003F49A5">
        <w:rPr>
          <w:rFonts w:cstheme="minorHAnsi"/>
        </w:rPr>
        <w:t>per miglioramenti funzionali del prodotto</w:t>
      </w:r>
      <w:r w:rsidR="00DB5B4A">
        <w:rPr>
          <w:rFonts w:cstheme="minorHAnsi"/>
        </w:rPr>
        <w:t>.</w:t>
      </w:r>
      <w:r w:rsidR="00CF2CFA">
        <w:rPr>
          <w:rFonts w:cstheme="minorHAnsi"/>
        </w:rPr>
        <w:t xml:space="preserve"> </w:t>
      </w:r>
    </w:p>
    <w:p w14:paraId="093A0F02" w14:textId="1E4600D0" w:rsidR="007E6AD9" w:rsidRDefault="007E6AD9" w:rsidP="00EB523F">
      <w:pPr>
        <w:rPr>
          <w:rFonts w:cstheme="minorHAnsi"/>
        </w:rPr>
      </w:pPr>
      <w:r>
        <w:rPr>
          <w:rFonts w:cstheme="minorHAnsi"/>
        </w:rPr>
        <w:t>Il produttore Frigo è un “</w:t>
      </w:r>
      <w:r w:rsidRPr="00D35A56">
        <w:rPr>
          <w:rFonts w:cstheme="minorHAnsi"/>
          <w:b/>
          <w:bCs/>
        </w:rPr>
        <w:t>destinatario dei dati</w:t>
      </w:r>
      <w:r>
        <w:rPr>
          <w:rFonts w:cstheme="minorHAnsi"/>
        </w:rPr>
        <w:t xml:space="preserve">” </w:t>
      </w:r>
      <w:r w:rsidR="00EC505E">
        <w:rPr>
          <w:rFonts w:cstheme="minorHAnsi"/>
        </w:rPr>
        <w:t>cioè «</w:t>
      </w:r>
      <w:r w:rsidR="0019366C" w:rsidRPr="00D35A56">
        <w:rPr>
          <w:rFonts w:cstheme="minorHAnsi"/>
          <w:i/>
          <w:iCs/>
        </w:rPr>
        <w:t>una persona fisica o giuridica, che agisce per fini connessi alla sua attività commerciale, imprenditoriale, artigianale o professionale, diversa dall’utente di un prodotto connesso o di un servizio correlato, a disposizione della quale il titolare dei dati mette i dati</w:t>
      </w:r>
      <w:r w:rsidR="00EC505E">
        <w:rPr>
          <w:rFonts w:cstheme="minorHAnsi"/>
        </w:rPr>
        <w:t>»</w:t>
      </w:r>
      <w:r w:rsidR="0019366C">
        <w:rPr>
          <w:rFonts w:cstheme="minorHAnsi"/>
        </w:rPr>
        <w:t>; il destinatario dei dati «</w:t>
      </w:r>
      <w:r w:rsidR="00A02F2B" w:rsidRPr="00D35A56">
        <w:rPr>
          <w:rFonts w:cstheme="minorHAnsi"/>
          <w:i/>
          <w:iCs/>
        </w:rPr>
        <w:t>può essere un terzo in seguito a una richiesta da parte dell’utente al titolare dei dati o conformemente a un obbligo giuridico ai sensi del diritto dell’Unione o della legislazione nazionale adottata conformemente al diritto dell’Unione</w:t>
      </w:r>
      <w:r w:rsidR="0019366C">
        <w:rPr>
          <w:rFonts w:cstheme="minorHAnsi"/>
        </w:rPr>
        <w:t>»</w:t>
      </w:r>
      <w:r w:rsidR="00A02F2B">
        <w:rPr>
          <w:rFonts w:cstheme="minorHAnsi"/>
        </w:rPr>
        <w:t xml:space="preserve"> [art. 2, punto 14), Data Act].</w:t>
      </w:r>
    </w:p>
    <w:p w14:paraId="146CD04D" w14:textId="5E8CF14C" w:rsidR="003C7A07" w:rsidRDefault="001B7592" w:rsidP="00EB523F">
      <w:pPr>
        <w:rPr>
          <w:rFonts w:cstheme="minorHAnsi"/>
        </w:rPr>
      </w:pPr>
      <w:r>
        <w:rPr>
          <w:rFonts w:cstheme="minorHAnsi"/>
        </w:rPr>
        <w:t xml:space="preserve">Il negoziante </w:t>
      </w:r>
      <w:r w:rsidR="007646D1">
        <w:rPr>
          <w:rFonts w:cstheme="minorHAnsi"/>
        </w:rPr>
        <w:t xml:space="preserve">“Vendo” </w:t>
      </w:r>
      <w:r>
        <w:rPr>
          <w:rFonts w:cstheme="minorHAnsi"/>
        </w:rPr>
        <w:t xml:space="preserve">potrà mettere i dati </w:t>
      </w:r>
      <w:r w:rsidR="00BD5D43">
        <w:rPr>
          <w:rFonts w:cstheme="minorHAnsi"/>
        </w:rPr>
        <w:t xml:space="preserve">del servizio correlato </w:t>
      </w:r>
      <w:r>
        <w:rPr>
          <w:rFonts w:cstheme="minorHAnsi"/>
        </w:rPr>
        <w:t>a disposizione del produttore Frigo</w:t>
      </w:r>
      <w:r w:rsidR="00FF2C86">
        <w:rPr>
          <w:rFonts w:cstheme="minorHAnsi"/>
        </w:rPr>
        <w:t>, in via alternativa</w:t>
      </w:r>
      <w:r w:rsidR="003C7A07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79C95DF" w14:textId="397CBAEA" w:rsidR="00FF2C86" w:rsidRPr="00FF2C86" w:rsidRDefault="00FF2C86" w:rsidP="00FF2C86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Anonimizzando </w:t>
      </w:r>
      <w:r w:rsidR="00D626BB">
        <w:rPr>
          <w:rFonts w:cstheme="minorHAnsi"/>
        </w:rPr>
        <w:t>i dati</w:t>
      </w:r>
      <w:r w:rsidR="00210F2E">
        <w:rPr>
          <w:rFonts w:cstheme="minorHAnsi"/>
        </w:rPr>
        <w:t xml:space="preserve"> </w:t>
      </w:r>
      <w:r w:rsidR="003501C8">
        <w:rPr>
          <w:rFonts w:cstheme="minorHAnsi"/>
        </w:rPr>
        <w:t xml:space="preserve">e sottoscrivendo apposito contratto </w:t>
      </w:r>
      <w:r w:rsidR="008F70CB">
        <w:rPr>
          <w:rFonts w:cstheme="minorHAnsi"/>
        </w:rPr>
        <w:t xml:space="preserve">con Frigo </w:t>
      </w:r>
      <w:r w:rsidR="003501C8">
        <w:rPr>
          <w:rFonts w:cstheme="minorHAnsi"/>
        </w:rPr>
        <w:t>(art. 4.14, Data Act)</w:t>
      </w:r>
      <w:r w:rsidR="00D626BB">
        <w:rPr>
          <w:rFonts w:cstheme="minorHAnsi"/>
        </w:rPr>
        <w:t xml:space="preserve"> </w:t>
      </w:r>
      <w:r w:rsidR="000233AF">
        <w:rPr>
          <w:rFonts w:cstheme="minorHAnsi"/>
        </w:rPr>
        <w:t>oppure</w:t>
      </w:r>
    </w:p>
    <w:p w14:paraId="00244F48" w14:textId="2965D24C" w:rsidR="00931003" w:rsidRPr="001852EB" w:rsidRDefault="001C11BA" w:rsidP="00D626BB">
      <w:pPr>
        <w:pStyle w:val="Paragrafoelenco"/>
        <w:numPr>
          <w:ilvl w:val="0"/>
          <w:numId w:val="3"/>
        </w:numPr>
      </w:pPr>
      <w:r>
        <w:rPr>
          <w:rFonts w:cstheme="minorHAnsi"/>
        </w:rPr>
        <w:t>S</w:t>
      </w:r>
      <w:r w:rsidR="004B099D" w:rsidRPr="00D626BB">
        <w:rPr>
          <w:rFonts w:cstheme="minorHAnsi"/>
        </w:rPr>
        <w:t xml:space="preserve">e ciò trova giustificazione </w:t>
      </w:r>
      <w:r>
        <w:rPr>
          <w:rFonts w:cstheme="minorHAnsi"/>
        </w:rPr>
        <w:t>«</w:t>
      </w:r>
      <w:r w:rsidR="00AE7491" w:rsidRPr="001C11BA">
        <w:rPr>
          <w:rFonts w:cstheme="minorHAnsi"/>
          <w:i/>
          <w:iCs/>
        </w:rPr>
        <w:t>sulla scorta di una delle basi giuridiche di cui all’articolo 6 del regolamento (UE</w:t>
      </w:r>
      <w:r w:rsidRPr="001C11BA">
        <w:rPr>
          <w:rFonts w:cstheme="minorHAnsi"/>
          <w:i/>
          <w:iCs/>
        </w:rPr>
        <w:t>) 2016/679</w:t>
      </w:r>
      <w:r>
        <w:rPr>
          <w:rFonts w:cstheme="minorHAnsi"/>
        </w:rPr>
        <w:t>»</w:t>
      </w:r>
      <w:r w:rsidR="00BA4321">
        <w:rPr>
          <w:rFonts w:cstheme="minorHAnsi"/>
        </w:rPr>
        <w:t>, ad esempio previo consenso dell’utente-interessato</w:t>
      </w:r>
      <w:r>
        <w:rPr>
          <w:rFonts w:cstheme="minorHAnsi"/>
        </w:rPr>
        <w:t xml:space="preserve"> [Considerando (7), Data Act].</w:t>
      </w:r>
    </w:p>
    <w:p w14:paraId="4619D801" w14:textId="0F7843D2" w:rsidR="00D626BB" w:rsidRDefault="00891498" w:rsidP="00D626BB">
      <w:r>
        <w:t xml:space="preserve">Destinatario dei dati, in aggiunta, sarà anche l’eventuale diverso fornitore di servizi di manutenzione del frigorifero intelligente al quale Anna </w:t>
      </w:r>
      <w:r w:rsidR="003D2674">
        <w:t>decid</w:t>
      </w:r>
      <w:r w:rsidR="000A3085">
        <w:t>a</w:t>
      </w:r>
      <w:r w:rsidR="003D2674">
        <w:t xml:space="preserve"> eventualmente di rivolgersi in sostituzione del precedente negoziante Vendo.</w:t>
      </w:r>
      <w:r w:rsidR="005D3986">
        <w:t xml:space="preserve"> </w:t>
      </w:r>
      <w:r w:rsidR="00DE0FA6">
        <w:t xml:space="preserve">Anna, in qualità di </w:t>
      </w:r>
      <w:r w:rsidR="00DE0FA6" w:rsidRPr="007658E5">
        <w:rPr>
          <w:b/>
          <w:bCs/>
        </w:rPr>
        <w:t xml:space="preserve">utente-data </w:t>
      </w:r>
      <w:proofErr w:type="spellStart"/>
      <w:r w:rsidR="00DE0FA6" w:rsidRPr="007658E5">
        <w:rPr>
          <w:b/>
          <w:bCs/>
        </w:rPr>
        <w:t>subject</w:t>
      </w:r>
      <w:proofErr w:type="spellEnd"/>
      <w:r w:rsidR="00DE0FA6">
        <w:t xml:space="preserve">, gode di tale </w:t>
      </w:r>
      <w:r w:rsidR="00DE0FA6" w:rsidRPr="007658E5">
        <w:rPr>
          <w:b/>
          <w:bCs/>
        </w:rPr>
        <w:t>diritto di portabilità</w:t>
      </w:r>
      <w:r w:rsidR="00DE0FA6">
        <w:t xml:space="preserve"> in base sia al GDPR sia al Data Act</w:t>
      </w:r>
      <w:r w:rsidR="00AA3DA0">
        <w:t xml:space="preserve">. </w:t>
      </w:r>
      <w:r w:rsidR="00B20397">
        <w:t>Infatti</w:t>
      </w:r>
      <w:r w:rsidR="0096656B">
        <w:t xml:space="preserve">, nel caso in cui i dati in questione fossero qualificabili come “dati non-personali” </w:t>
      </w:r>
      <w:r w:rsidR="007D160B">
        <w:t>Anna</w:t>
      </w:r>
      <w:r w:rsidR="007C1F2D">
        <w:t xml:space="preserve">, in qualità di </w:t>
      </w:r>
      <w:r w:rsidR="007C1F2D" w:rsidRPr="007C1F2D">
        <w:rPr>
          <w:b/>
          <w:bCs/>
        </w:rPr>
        <w:t>“utente”</w:t>
      </w:r>
      <w:r w:rsidR="007C1F2D">
        <w:t>,</w:t>
      </w:r>
      <w:r w:rsidR="007D160B">
        <w:t xml:space="preserve"> godrebbe comunque di questo diritto di portabilità</w:t>
      </w:r>
      <w:r w:rsidR="00320C8D">
        <w:t xml:space="preserve"> per finalità commerciali </w:t>
      </w:r>
      <w:r w:rsidR="00985DE8">
        <w:t>e non commerciali</w:t>
      </w:r>
      <w:r w:rsidR="00B97F40">
        <w:t xml:space="preserve">, grazie alla prescrizione dell’articolo </w:t>
      </w:r>
      <w:r w:rsidR="00E00052">
        <w:t>5 del</w:t>
      </w:r>
      <w:r w:rsidR="00B97F40">
        <w:t xml:space="preserve"> Data Act</w:t>
      </w:r>
      <w:r w:rsidR="007D160B">
        <w:t>.</w:t>
      </w:r>
    </w:p>
    <w:p w14:paraId="48DB70C5" w14:textId="4EC6B82C" w:rsidR="00B97011" w:rsidRPr="00B97011" w:rsidRDefault="00B97011" w:rsidP="00B97011">
      <w:pPr>
        <w:pStyle w:val="Paragrafoelenco"/>
        <w:numPr>
          <w:ilvl w:val="0"/>
          <w:numId w:val="1"/>
        </w:numPr>
        <w:rPr>
          <w:b/>
          <w:bCs/>
        </w:rPr>
      </w:pPr>
      <w:r w:rsidRPr="00B97011">
        <w:rPr>
          <w:b/>
          <w:bCs/>
        </w:rPr>
        <w:t xml:space="preserve">Titolare dei dati e utente non-data </w:t>
      </w:r>
      <w:proofErr w:type="spellStart"/>
      <w:r w:rsidRPr="00B97011">
        <w:rPr>
          <w:b/>
          <w:bCs/>
        </w:rPr>
        <w:t>subject</w:t>
      </w:r>
      <w:proofErr w:type="spellEnd"/>
    </w:p>
    <w:p w14:paraId="3AEC27F2" w14:textId="644E6A0A" w:rsidR="003C6C12" w:rsidRDefault="0087427A" w:rsidP="00B97011">
      <w:r>
        <w:t xml:space="preserve">Il concessionario di autoveicoli </w:t>
      </w:r>
      <w:r w:rsidR="00095F08">
        <w:t>Alfa</w:t>
      </w:r>
      <w:r w:rsidR="00F4691E">
        <w:t xml:space="preserve"> può avere interesse ad acquisire i dati </w:t>
      </w:r>
      <w:r w:rsidR="00F00BAF">
        <w:t xml:space="preserve">generati dalle centraline e dai sensori delle auto del </w:t>
      </w:r>
      <w:r>
        <w:t xml:space="preserve">produttore </w:t>
      </w:r>
      <w:r w:rsidR="00095F08">
        <w:t>Beta</w:t>
      </w:r>
      <w:r w:rsidR="006C52D0">
        <w:t>, elaborati</w:t>
      </w:r>
      <w:r>
        <w:t xml:space="preserve"> </w:t>
      </w:r>
      <w:r w:rsidR="007F7017">
        <w:t>durante la</w:t>
      </w:r>
      <w:r w:rsidR="00F00BAF">
        <w:t xml:space="preserve"> fase di test</w:t>
      </w:r>
      <w:r w:rsidR="00AA7E75">
        <w:t xml:space="preserve"> delle auto</w:t>
      </w:r>
      <w:r w:rsidR="00BE38D0">
        <w:t xml:space="preserve"> </w:t>
      </w:r>
      <w:r w:rsidR="003B1EF1">
        <w:t>operata dal</w:t>
      </w:r>
      <w:r w:rsidR="00095F08">
        <w:t xml:space="preserve"> concessionario</w:t>
      </w:r>
      <w:r w:rsidR="00867532">
        <w:t>, al fine di fornire servizi correlati ai propri potenziali clienti.</w:t>
      </w:r>
      <w:r w:rsidR="00E67B85">
        <w:t xml:space="preserve"> </w:t>
      </w:r>
      <w:r w:rsidR="003B1EF1">
        <w:t xml:space="preserve">Il concessionario </w:t>
      </w:r>
      <w:r w:rsidR="00C57BAD">
        <w:t>Alfa</w:t>
      </w:r>
      <w:r w:rsidR="00E67B85">
        <w:t>, ai sensi del Data Act assume il ruolo di “</w:t>
      </w:r>
      <w:r w:rsidR="00E67B85" w:rsidRPr="00BE3817">
        <w:rPr>
          <w:b/>
          <w:bCs/>
        </w:rPr>
        <w:t>utente</w:t>
      </w:r>
      <w:r w:rsidR="00E67B85">
        <w:t xml:space="preserve">” </w:t>
      </w:r>
      <w:r w:rsidR="003C6C12">
        <w:t xml:space="preserve">in quanto, secondo la definizione </w:t>
      </w:r>
      <w:r w:rsidR="00BC73AB">
        <w:t xml:space="preserve">riportata nel Data Act, è tale: </w:t>
      </w:r>
      <w:r w:rsidR="00BC73AB">
        <w:rPr>
          <w:rFonts w:cstheme="minorHAnsi"/>
        </w:rPr>
        <w:t>«</w:t>
      </w:r>
      <w:r w:rsidR="00BC73AB" w:rsidRPr="00BC73AB">
        <w:rPr>
          <w:i/>
          <w:iCs/>
        </w:rPr>
        <w:t>una persona fisica o giuridica che possiede un prodotto connesso o a cui sono stati trasferiti contrattualmente diritti temporanei di utilizzo di tale prodotto connesso o che riceve un servizio correlato</w:t>
      </w:r>
      <w:r w:rsidR="00BC73AB">
        <w:rPr>
          <w:rFonts w:cstheme="minorHAnsi"/>
        </w:rPr>
        <w:t>»</w:t>
      </w:r>
      <w:r w:rsidR="00BC73AB">
        <w:t xml:space="preserve"> (art. 2, punto 12), Data Act).</w:t>
      </w:r>
    </w:p>
    <w:p w14:paraId="2C9BCCEB" w14:textId="397FCBE6" w:rsidR="00B97011" w:rsidRDefault="00C57BAD" w:rsidP="00B97011">
      <w:r>
        <w:lastRenderedPageBreak/>
        <w:t>Il concessionario Alfa</w:t>
      </w:r>
      <w:r w:rsidR="00567036">
        <w:t>, in qualità di “utente”,</w:t>
      </w:r>
      <w:r w:rsidR="00904092">
        <w:t xml:space="preserve"> ha diritto di ottenere tali dati che si qualificano come “</w:t>
      </w:r>
      <w:r w:rsidR="00904092" w:rsidRPr="00567036">
        <w:rPr>
          <w:b/>
          <w:bCs/>
        </w:rPr>
        <w:t>dati non personali</w:t>
      </w:r>
      <w:r w:rsidR="00904092">
        <w:t>”.</w:t>
      </w:r>
      <w:r w:rsidR="00ED06BE">
        <w:t xml:space="preserve"> </w:t>
      </w:r>
    </w:p>
    <w:p w14:paraId="1EB8C110" w14:textId="38FA3809" w:rsidR="0053364F" w:rsidRDefault="00605020" w:rsidP="00B97011">
      <w:r>
        <w:t xml:space="preserve">Tra </w:t>
      </w:r>
      <w:r w:rsidR="004360FE">
        <w:t xml:space="preserve">il concessionario </w:t>
      </w:r>
      <w:r>
        <w:t xml:space="preserve">Alfa </w:t>
      </w:r>
      <w:r w:rsidR="00C77781">
        <w:t xml:space="preserve">(utente) </w:t>
      </w:r>
      <w:r>
        <w:t xml:space="preserve">e </w:t>
      </w:r>
      <w:r w:rsidR="004360FE">
        <w:t xml:space="preserve">il produttore </w:t>
      </w:r>
      <w:r>
        <w:t xml:space="preserve">Beta </w:t>
      </w:r>
      <w:r w:rsidR="00C77781">
        <w:t xml:space="preserve">(titolare dei dati) </w:t>
      </w:r>
      <w:r w:rsidR="00B733F0">
        <w:t xml:space="preserve">dovrà intercorrere un pertinente </w:t>
      </w:r>
      <w:r w:rsidR="00B733F0" w:rsidRPr="001649AB">
        <w:rPr>
          <w:b/>
          <w:bCs/>
        </w:rPr>
        <w:t>contratto</w:t>
      </w:r>
      <w:r w:rsidR="00B733F0">
        <w:t xml:space="preserve"> a condizioni non abusive</w:t>
      </w:r>
      <w:r w:rsidR="000A3A10">
        <w:t>, cioè, corrette e non discriminatorie</w:t>
      </w:r>
      <w:r w:rsidR="006E62D7">
        <w:t>;</w:t>
      </w:r>
      <w:r w:rsidR="00B733F0">
        <w:t xml:space="preserve"> </w:t>
      </w:r>
      <w:r w:rsidR="006D6B2C">
        <w:t>l’utente Alfa</w:t>
      </w:r>
      <w:r w:rsidR="000D4C60">
        <w:t xml:space="preserve"> potrà utilizzare i </w:t>
      </w:r>
      <w:r w:rsidR="000C02BD">
        <w:t xml:space="preserve">dati solo in conformità al contratto </w:t>
      </w:r>
      <w:r w:rsidR="00DD233A">
        <w:t xml:space="preserve">(art. 4.13) </w:t>
      </w:r>
      <w:r w:rsidR="000C02BD">
        <w:t xml:space="preserve">e </w:t>
      </w:r>
      <w:r w:rsidR="006D6B2C">
        <w:t xml:space="preserve">il medesimo </w:t>
      </w:r>
      <w:r w:rsidR="00B733F0">
        <w:t xml:space="preserve">utente </w:t>
      </w:r>
      <w:r w:rsidR="006D6B2C">
        <w:t>Alfa</w:t>
      </w:r>
      <w:r w:rsidR="0053364F">
        <w:t>,</w:t>
      </w:r>
      <w:r w:rsidR="009150B5">
        <w:t xml:space="preserve"> in applicazione </w:t>
      </w:r>
      <w:r w:rsidR="009150B5" w:rsidRPr="009150B5">
        <w:t>del Data Act</w:t>
      </w:r>
      <w:r w:rsidR="0053364F">
        <w:t>:</w:t>
      </w:r>
    </w:p>
    <w:p w14:paraId="563BD5F5" w14:textId="611AACC6" w:rsidR="0053364F" w:rsidRDefault="00B733F0" w:rsidP="0053364F">
      <w:pPr>
        <w:pStyle w:val="Paragrafoelenco"/>
        <w:numPr>
          <w:ilvl w:val="0"/>
          <w:numId w:val="2"/>
        </w:numPr>
      </w:pPr>
      <w:r>
        <w:t xml:space="preserve">dovrà essere </w:t>
      </w:r>
      <w:r w:rsidRPr="0033609B">
        <w:rPr>
          <w:b/>
          <w:bCs/>
        </w:rPr>
        <w:t>informato</w:t>
      </w:r>
      <w:r>
        <w:t xml:space="preserve"> </w:t>
      </w:r>
      <w:r w:rsidR="00FF5A80">
        <w:t xml:space="preserve">da Beta </w:t>
      </w:r>
      <w:r w:rsidR="00F01801">
        <w:t>ai sensi dell’articolo 3</w:t>
      </w:r>
    </w:p>
    <w:p w14:paraId="1E8F0692" w14:textId="6AABA73E" w:rsidR="00605020" w:rsidRDefault="009150B5" w:rsidP="0053364F">
      <w:pPr>
        <w:pStyle w:val="Paragrafoelenco"/>
        <w:numPr>
          <w:ilvl w:val="0"/>
          <w:numId w:val="2"/>
        </w:numPr>
      </w:pPr>
      <w:r>
        <w:t xml:space="preserve">potrà </w:t>
      </w:r>
      <w:r w:rsidRPr="0033609B">
        <w:rPr>
          <w:b/>
          <w:bCs/>
        </w:rPr>
        <w:t>accedere</w:t>
      </w:r>
      <w:r>
        <w:t xml:space="preserve"> ai dati secondo l’articolo 4 </w:t>
      </w:r>
    </w:p>
    <w:p w14:paraId="7951CCBF" w14:textId="60D2D646" w:rsidR="00B22A8D" w:rsidRDefault="00F57019" w:rsidP="0053364F">
      <w:pPr>
        <w:pStyle w:val="Paragrafoelenco"/>
        <w:numPr>
          <w:ilvl w:val="0"/>
          <w:numId w:val="2"/>
        </w:numPr>
      </w:pPr>
      <w:r>
        <w:t xml:space="preserve">potrà ottenere </w:t>
      </w:r>
      <w:r w:rsidR="00912DE5">
        <w:t xml:space="preserve">dal produttore Beta </w:t>
      </w:r>
      <w:r>
        <w:t xml:space="preserve">la messa a </w:t>
      </w:r>
      <w:r w:rsidRPr="0033609B">
        <w:rPr>
          <w:b/>
          <w:bCs/>
        </w:rPr>
        <w:t>disposizione</w:t>
      </w:r>
      <w:r>
        <w:t xml:space="preserve"> degli stessi dati a </w:t>
      </w:r>
      <w:r w:rsidRPr="0033609B">
        <w:rPr>
          <w:b/>
          <w:bCs/>
        </w:rPr>
        <w:t>terzi di sua scelta</w:t>
      </w:r>
      <w:r>
        <w:t xml:space="preserve">, </w:t>
      </w:r>
      <w:r w:rsidR="00D82222">
        <w:t>in conformità all’articolo 5</w:t>
      </w:r>
    </w:p>
    <w:p w14:paraId="31010D19" w14:textId="2B67CCA0" w:rsidR="0053364F" w:rsidRPr="00F97A49" w:rsidRDefault="0090244A" w:rsidP="0053364F">
      <w:pPr>
        <w:pStyle w:val="Paragrafoelenco"/>
        <w:numPr>
          <w:ilvl w:val="0"/>
          <w:numId w:val="2"/>
        </w:numPr>
      </w:pPr>
      <w:r>
        <w:t>ha diritto</w:t>
      </w:r>
      <w:r w:rsidR="00752557">
        <w:t xml:space="preserve"> che</w:t>
      </w:r>
      <w:r>
        <w:t xml:space="preserve"> </w:t>
      </w:r>
      <w:r w:rsidR="00217889">
        <w:t xml:space="preserve">il produttore Beta </w:t>
      </w:r>
      <w:r w:rsidR="00752557">
        <w:t xml:space="preserve">(titolare dei dati) </w:t>
      </w:r>
      <w:r w:rsidR="00217889">
        <w:t xml:space="preserve">non metta tali dati </w:t>
      </w:r>
      <w:r w:rsidRPr="008501AD">
        <w:rPr>
          <w:b/>
          <w:bCs/>
        </w:rPr>
        <w:t xml:space="preserve">a disposizione di </w:t>
      </w:r>
      <w:r w:rsidR="0033609B" w:rsidRPr="008501AD">
        <w:rPr>
          <w:b/>
          <w:bCs/>
        </w:rPr>
        <w:t xml:space="preserve">altri </w:t>
      </w:r>
      <w:r w:rsidRPr="008501AD">
        <w:rPr>
          <w:b/>
          <w:bCs/>
        </w:rPr>
        <w:t>terzi</w:t>
      </w:r>
      <w:r>
        <w:t xml:space="preserve"> (art. 4.14)</w:t>
      </w:r>
      <w:r w:rsidR="00D82222">
        <w:t>.</w:t>
      </w:r>
    </w:p>
    <w:p w14:paraId="01B43FA2" w14:textId="315D26BA" w:rsidR="00BF5A49" w:rsidRPr="00BF5A49" w:rsidRDefault="00614244" w:rsidP="00BF5A49">
      <w:r>
        <w:t>Rosario Imperiali d’Afflitto</w:t>
      </w:r>
    </w:p>
    <w:p w14:paraId="13CD4FF3" w14:textId="77777777" w:rsidR="00E90971" w:rsidRPr="000844AE" w:rsidRDefault="00E90971" w:rsidP="000844AE"/>
    <w:p w14:paraId="0DE59C4A" w14:textId="77777777" w:rsidR="00A77560" w:rsidRPr="00B226B1" w:rsidRDefault="00A77560" w:rsidP="00B226B1"/>
    <w:sectPr w:rsidR="00A77560" w:rsidRPr="00B226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055E" w14:textId="77777777" w:rsidR="009F6B44" w:rsidRDefault="009F6B44" w:rsidP="000C5549">
      <w:pPr>
        <w:spacing w:after="0" w:line="240" w:lineRule="auto"/>
      </w:pPr>
      <w:r>
        <w:separator/>
      </w:r>
    </w:p>
  </w:endnote>
  <w:endnote w:type="continuationSeparator" w:id="0">
    <w:p w14:paraId="0B7C30ED" w14:textId="77777777" w:rsidR="009F6B44" w:rsidRDefault="009F6B44" w:rsidP="000C5549">
      <w:pPr>
        <w:spacing w:after="0" w:line="240" w:lineRule="auto"/>
      </w:pPr>
      <w:r>
        <w:continuationSeparator/>
      </w:r>
    </w:p>
  </w:endnote>
  <w:endnote w:type="continuationNotice" w:id="1">
    <w:p w14:paraId="261BF716" w14:textId="77777777" w:rsidR="009F6B44" w:rsidRDefault="009F6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E619" w14:textId="77777777" w:rsidR="000C5549" w:rsidRDefault="000C554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920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50E3BF" w14:textId="77777777" w:rsidR="000C5549" w:rsidRDefault="000C5549">
            <w:pPr>
              <w:pStyle w:val="Pidipagina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3DFD0B" w14:textId="77777777" w:rsidR="000C5549" w:rsidRDefault="000C554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1E99" w14:textId="77777777" w:rsidR="000C5549" w:rsidRDefault="000C55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7E759" w14:textId="77777777" w:rsidR="009F6B44" w:rsidRDefault="009F6B44" w:rsidP="000C5549">
      <w:pPr>
        <w:spacing w:after="0" w:line="240" w:lineRule="auto"/>
      </w:pPr>
      <w:r>
        <w:separator/>
      </w:r>
    </w:p>
  </w:footnote>
  <w:footnote w:type="continuationSeparator" w:id="0">
    <w:p w14:paraId="749741F7" w14:textId="77777777" w:rsidR="009F6B44" w:rsidRDefault="009F6B44" w:rsidP="000C5549">
      <w:pPr>
        <w:spacing w:after="0" w:line="240" w:lineRule="auto"/>
      </w:pPr>
      <w:r>
        <w:continuationSeparator/>
      </w:r>
    </w:p>
  </w:footnote>
  <w:footnote w:type="continuationNotice" w:id="1">
    <w:p w14:paraId="1BF494F0" w14:textId="77777777" w:rsidR="009F6B44" w:rsidRDefault="009F6B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A27" w14:textId="77777777" w:rsidR="000C5549" w:rsidRDefault="000C554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5FFB" w14:textId="77777777" w:rsidR="000C5549" w:rsidRDefault="000C554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0FE3" w14:textId="77777777" w:rsidR="000C5549" w:rsidRDefault="000C55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ADA"/>
    <w:multiLevelType w:val="hybridMultilevel"/>
    <w:tmpl w:val="08CCF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222C"/>
    <w:multiLevelType w:val="hybridMultilevel"/>
    <w:tmpl w:val="4398B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74A33"/>
    <w:multiLevelType w:val="hybridMultilevel"/>
    <w:tmpl w:val="69AEBC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009392">
    <w:abstractNumId w:val="2"/>
  </w:num>
  <w:num w:numId="2" w16cid:durableId="387537021">
    <w:abstractNumId w:val="0"/>
  </w:num>
  <w:num w:numId="3" w16cid:durableId="158256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93"/>
    <w:rsid w:val="000129C8"/>
    <w:rsid w:val="000233AF"/>
    <w:rsid w:val="00023F8F"/>
    <w:rsid w:val="000370E7"/>
    <w:rsid w:val="00040826"/>
    <w:rsid w:val="00044AFC"/>
    <w:rsid w:val="000512DA"/>
    <w:rsid w:val="000844AE"/>
    <w:rsid w:val="00090B62"/>
    <w:rsid w:val="0009205D"/>
    <w:rsid w:val="0009323F"/>
    <w:rsid w:val="0009374C"/>
    <w:rsid w:val="00095F08"/>
    <w:rsid w:val="000A3085"/>
    <w:rsid w:val="000A3A10"/>
    <w:rsid w:val="000B154B"/>
    <w:rsid w:val="000B6A3B"/>
    <w:rsid w:val="000C02BD"/>
    <w:rsid w:val="000C5549"/>
    <w:rsid w:val="000C639A"/>
    <w:rsid w:val="000D3DB5"/>
    <w:rsid w:val="000D4C60"/>
    <w:rsid w:val="000D5149"/>
    <w:rsid w:val="00112EEC"/>
    <w:rsid w:val="00114AA3"/>
    <w:rsid w:val="001649AB"/>
    <w:rsid w:val="00165B2B"/>
    <w:rsid w:val="001852EB"/>
    <w:rsid w:val="00192479"/>
    <w:rsid w:val="001935CF"/>
    <w:rsid w:val="0019366C"/>
    <w:rsid w:val="001948A5"/>
    <w:rsid w:val="00197370"/>
    <w:rsid w:val="001A16A8"/>
    <w:rsid w:val="001B2E51"/>
    <w:rsid w:val="001B71AA"/>
    <w:rsid w:val="001B7592"/>
    <w:rsid w:val="001C11BA"/>
    <w:rsid w:val="001C14C8"/>
    <w:rsid w:val="001D0A1A"/>
    <w:rsid w:val="001D5A4B"/>
    <w:rsid w:val="001F02F8"/>
    <w:rsid w:val="001F26FA"/>
    <w:rsid w:val="001F4A02"/>
    <w:rsid w:val="001F51E6"/>
    <w:rsid w:val="001F6995"/>
    <w:rsid w:val="00202BDF"/>
    <w:rsid w:val="0020759B"/>
    <w:rsid w:val="00210F2E"/>
    <w:rsid w:val="00212455"/>
    <w:rsid w:val="00217889"/>
    <w:rsid w:val="00220036"/>
    <w:rsid w:val="00222A85"/>
    <w:rsid w:val="00225C82"/>
    <w:rsid w:val="00231BBA"/>
    <w:rsid w:val="002356A4"/>
    <w:rsid w:val="00241A01"/>
    <w:rsid w:val="00242256"/>
    <w:rsid w:val="00257A68"/>
    <w:rsid w:val="00261CE5"/>
    <w:rsid w:val="00277FF4"/>
    <w:rsid w:val="0028030C"/>
    <w:rsid w:val="00287714"/>
    <w:rsid w:val="002A63A0"/>
    <w:rsid w:val="002C607F"/>
    <w:rsid w:val="002D1ADC"/>
    <w:rsid w:val="002D7D69"/>
    <w:rsid w:val="002E0579"/>
    <w:rsid w:val="002F12A4"/>
    <w:rsid w:val="003070DF"/>
    <w:rsid w:val="00307F15"/>
    <w:rsid w:val="00307FDE"/>
    <w:rsid w:val="00310C38"/>
    <w:rsid w:val="0031473B"/>
    <w:rsid w:val="00315516"/>
    <w:rsid w:val="00320C8D"/>
    <w:rsid w:val="00333D13"/>
    <w:rsid w:val="0033609B"/>
    <w:rsid w:val="0034282A"/>
    <w:rsid w:val="00345BE9"/>
    <w:rsid w:val="003501C8"/>
    <w:rsid w:val="00360ACD"/>
    <w:rsid w:val="00365F19"/>
    <w:rsid w:val="00377994"/>
    <w:rsid w:val="003954BB"/>
    <w:rsid w:val="003A7635"/>
    <w:rsid w:val="003B14F7"/>
    <w:rsid w:val="003B1EF1"/>
    <w:rsid w:val="003B5F9C"/>
    <w:rsid w:val="003B6547"/>
    <w:rsid w:val="003C688E"/>
    <w:rsid w:val="003C6C12"/>
    <w:rsid w:val="003C7A07"/>
    <w:rsid w:val="003C7C60"/>
    <w:rsid w:val="003D2592"/>
    <w:rsid w:val="003D2674"/>
    <w:rsid w:val="003D6124"/>
    <w:rsid w:val="003D6ED0"/>
    <w:rsid w:val="003F0400"/>
    <w:rsid w:val="003F49A5"/>
    <w:rsid w:val="003F4C89"/>
    <w:rsid w:val="00415EEF"/>
    <w:rsid w:val="00425C1D"/>
    <w:rsid w:val="0042794C"/>
    <w:rsid w:val="00435692"/>
    <w:rsid w:val="004360FE"/>
    <w:rsid w:val="00442385"/>
    <w:rsid w:val="004463C4"/>
    <w:rsid w:val="00451BEA"/>
    <w:rsid w:val="004736D7"/>
    <w:rsid w:val="004914A4"/>
    <w:rsid w:val="004A13D5"/>
    <w:rsid w:val="004B099D"/>
    <w:rsid w:val="004E15E4"/>
    <w:rsid w:val="004F4415"/>
    <w:rsid w:val="00501282"/>
    <w:rsid w:val="005126FE"/>
    <w:rsid w:val="00521BD5"/>
    <w:rsid w:val="0052698F"/>
    <w:rsid w:val="0053235B"/>
    <w:rsid w:val="0053364F"/>
    <w:rsid w:val="00547142"/>
    <w:rsid w:val="00547758"/>
    <w:rsid w:val="00557EDA"/>
    <w:rsid w:val="00560F4B"/>
    <w:rsid w:val="00567036"/>
    <w:rsid w:val="0058478E"/>
    <w:rsid w:val="00593C06"/>
    <w:rsid w:val="005A1C1C"/>
    <w:rsid w:val="005A5181"/>
    <w:rsid w:val="005B6772"/>
    <w:rsid w:val="005B729E"/>
    <w:rsid w:val="005D3986"/>
    <w:rsid w:val="005E13C0"/>
    <w:rsid w:val="005E3A64"/>
    <w:rsid w:val="00600E49"/>
    <w:rsid w:val="00603357"/>
    <w:rsid w:val="00605020"/>
    <w:rsid w:val="006101BE"/>
    <w:rsid w:val="006125FE"/>
    <w:rsid w:val="00614244"/>
    <w:rsid w:val="006366C4"/>
    <w:rsid w:val="00646272"/>
    <w:rsid w:val="00655B0C"/>
    <w:rsid w:val="00662206"/>
    <w:rsid w:val="00667AF7"/>
    <w:rsid w:val="00671365"/>
    <w:rsid w:val="006829A1"/>
    <w:rsid w:val="006C52D0"/>
    <w:rsid w:val="006D231A"/>
    <w:rsid w:val="006D402B"/>
    <w:rsid w:val="006D5867"/>
    <w:rsid w:val="006D6B2C"/>
    <w:rsid w:val="006E1B5D"/>
    <w:rsid w:val="006E32D8"/>
    <w:rsid w:val="006E3332"/>
    <w:rsid w:val="006E62D7"/>
    <w:rsid w:val="0070356C"/>
    <w:rsid w:val="0071559C"/>
    <w:rsid w:val="00720A05"/>
    <w:rsid w:val="00720E48"/>
    <w:rsid w:val="0073729C"/>
    <w:rsid w:val="00737442"/>
    <w:rsid w:val="00745DD0"/>
    <w:rsid w:val="00752557"/>
    <w:rsid w:val="00753964"/>
    <w:rsid w:val="00763BD4"/>
    <w:rsid w:val="007646D1"/>
    <w:rsid w:val="007658E5"/>
    <w:rsid w:val="00770541"/>
    <w:rsid w:val="007767FC"/>
    <w:rsid w:val="0077796C"/>
    <w:rsid w:val="00780054"/>
    <w:rsid w:val="00780E9B"/>
    <w:rsid w:val="00781432"/>
    <w:rsid w:val="00784702"/>
    <w:rsid w:val="00793BAA"/>
    <w:rsid w:val="007A2198"/>
    <w:rsid w:val="007B3BA7"/>
    <w:rsid w:val="007B5CDC"/>
    <w:rsid w:val="007C1F2D"/>
    <w:rsid w:val="007D160B"/>
    <w:rsid w:val="007D41E0"/>
    <w:rsid w:val="007E6AD9"/>
    <w:rsid w:val="007F7017"/>
    <w:rsid w:val="00813883"/>
    <w:rsid w:val="00817A6C"/>
    <w:rsid w:val="00820F69"/>
    <w:rsid w:val="008242F2"/>
    <w:rsid w:val="00833753"/>
    <w:rsid w:val="00841561"/>
    <w:rsid w:val="00842276"/>
    <w:rsid w:val="008500AA"/>
    <w:rsid w:val="008501AD"/>
    <w:rsid w:val="00852144"/>
    <w:rsid w:val="0085723D"/>
    <w:rsid w:val="00861B47"/>
    <w:rsid w:val="00867532"/>
    <w:rsid w:val="008676E4"/>
    <w:rsid w:val="0087427A"/>
    <w:rsid w:val="00876CB1"/>
    <w:rsid w:val="008901FB"/>
    <w:rsid w:val="00891498"/>
    <w:rsid w:val="008D190A"/>
    <w:rsid w:val="008D2E65"/>
    <w:rsid w:val="008E1646"/>
    <w:rsid w:val="008E34C2"/>
    <w:rsid w:val="008F091A"/>
    <w:rsid w:val="008F4993"/>
    <w:rsid w:val="008F70CB"/>
    <w:rsid w:val="00900B82"/>
    <w:rsid w:val="0090244A"/>
    <w:rsid w:val="00904092"/>
    <w:rsid w:val="00905660"/>
    <w:rsid w:val="0091131F"/>
    <w:rsid w:val="00912DE5"/>
    <w:rsid w:val="00914601"/>
    <w:rsid w:val="009150B5"/>
    <w:rsid w:val="00922F28"/>
    <w:rsid w:val="00931003"/>
    <w:rsid w:val="00931B8C"/>
    <w:rsid w:val="0093428E"/>
    <w:rsid w:val="00945607"/>
    <w:rsid w:val="00962505"/>
    <w:rsid w:val="0096656B"/>
    <w:rsid w:val="00967420"/>
    <w:rsid w:val="00985DE8"/>
    <w:rsid w:val="00985FBE"/>
    <w:rsid w:val="00992AFF"/>
    <w:rsid w:val="0099345C"/>
    <w:rsid w:val="009A458F"/>
    <w:rsid w:val="009A4A53"/>
    <w:rsid w:val="009C0D00"/>
    <w:rsid w:val="009D1B0F"/>
    <w:rsid w:val="009D34FE"/>
    <w:rsid w:val="009D512B"/>
    <w:rsid w:val="009E073D"/>
    <w:rsid w:val="009E4C0E"/>
    <w:rsid w:val="009F5688"/>
    <w:rsid w:val="009F6B44"/>
    <w:rsid w:val="00A01BBD"/>
    <w:rsid w:val="00A02F2B"/>
    <w:rsid w:val="00A17FC1"/>
    <w:rsid w:val="00A31D81"/>
    <w:rsid w:val="00A369EA"/>
    <w:rsid w:val="00A40FE7"/>
    <w:rsid w:val="00A41522"/>
    <w:rsid w:val="00A41A11"/>
    <w:rsid w:val="00A42823"/>
    <w:rsid w:val="00A45153"/>
    <w:rsid w:val="00A61355"/>
    <w:rsid w:val="00A62BFE"/>
    <w:rsid w:val="00A7476C"/>
    <w:rsid w:val="00A75990"/>
    <w:rsid w:val="00A77560"/>
    <w:rsid w:val="00A8097D"/>
    <w:rsid w:val="00AA3DA0"/>
    <w:rsid w:val="00AA54A5"/>
    <w:rsid w:val="00AA7E75"/>
    <w:rsid w:val="00AB0158"/>
    <w:rsid w:val="00AB3DEA"/>
    <w:rsid w:val="00AC0614"/>
    <w:rsid w:val="00AC7B49"/>
    <w:rsid w:val="00AE3204"/>
    <w:rsid w:val="00AE7092"/>
    <w:rsid w:val="00AE7491"/>
    <w:rsid w:val="00AF3FA2"/>
    <w:rsid w:val="00B04BD9"/>
    <w:rsid w:val="00B13861"/>
    <w:rsid w:val="00B20397"/>
    <w:rsid w:val="00B207D5"/>
    <w:rsid w:val="00B226B1"/>
    <w:rsid w:val="00B22A8D"/>
    <w:rsid w:val="00B24402"/>
    <w:rsid w:val="00B3551B"/>
    <w:rsid w:val="00B36228"/>
    <w:rsid w:val="00B362FC"/>
    <w:rsid w:val="00B36B68"/>
    <w:rsid w:val="00B40AAC"/>
    <w:rsid w:val="00B479A8"/>
    <w:rsid w:val="00B70632"/>
    <w:rsid w:val="00B70AF7"/>
    <w:rsid w:val="00B71DC6"/>
    <w:rsid w:val="00B733F0"/>
    <w:rsid w:val="00B815EB"/>
    <w:rsid w:val="00B8234C"/>
    <w:rsid w:val="00B97011"/>
    <w:rsid w:val="00B97F40"/>
    <w:rsid w:val="00BA00A2"/>
    <w:rsid w:val="00BA4321"/>
    <w:rsid w:val="00BB7536"/>
    <w:rsid w:val="00BC73AB"/>
    <w:rsid w:val="00BD5264"/>
    <w:rsid w:val="00BD5B85"/>
    <w:rsid w:val="00BD5D43"/>
    <w:rsid w:val="00BE2533"/>
    <w:rsid w:val="00BE3817"/>
    <w:rsid w:val="00BE38D0"/>
    <w:rsid w:val="00BF1771"/>
    <w:rsid w:val="00BF1B6C"/>
    <w:rsid w:val="00BF5A49"/>
    <w:rsid w:val="00BF71B3"/>
    <w:rsid w:val="00C0241E"/>
    <w:rsid w:val="00C04CC2"/>
    <w:rsid w:val="00C3433E"/>
    <w:rsid w:val="00C40D94"/>
    <w:rsid w:val="00C43A34"/>
    <w:rsid w:val="00C521AF"/>
    <w:rsid w:val="00C5392E"/>
    <w:rsid w:val="00C54ED6"/>
    <w:rsid w:val="00C57BAD"/>
    <w:rsid w:val="00C62D82"/>
    <w:rsid w:val="00C77781"/>
    <w:rsid w:val="00C856D0"/>
    <w:rsid w:val="00C86B5C"/>
    <w:rsid w:val="00C959A3"/>
    <w:rsid w:val="00C97FAC"/>
    <w:rsid w:val="00CC4B87"/>
    <w:rsid w:val="00CD49A6"/>
    <w:rsid w:val="00CD7526"/>
    <w:rsid w:val="00CE4238"/>
    <w:rsid w:val="00CF0D64"/>
    <w:rsid w:val="00CF1187"/>
    <w:rsid w:val="00CF2CFA"/>
    <w:rsid w:val="00D007EC"/>
    <w:rsid w:val="00D166CA"/>
    <w:rsid w:val="00D26257"/>
    <w:rsid w:val="00D357A4"/>
    <w:rsid w:val="00D35A56"/>
    <w:rsid w:val="00D40399"/>
    <w:rsid w:val="00D44DEA"/>
    <w:rsid w:val="00D626BB"/>
    <w:rsid w:val="00D82222"/>
    <w:rsid w:val="00D83E2E"/>
    <w:rsid w:val="00D85E03"/>
    <w:rsid w:val="00D93784"/>
    <w:rsid w:val="00D970D1"/>
    <w:rsid w:val="00DB5B4A"/>
    <w:rsid w:val="00DC6AF0"/>
    <w:rsid w:val="00DD233A"/>
    <w:rsid w:val="00DE0642"/>
    <w:rsid w:val="00DE06B0"/>
    <w:rsid w:val="00DE0FA6"/>
    <w:rsid w:val="00DE110B"/>
    <w:rsid w:val="00DE3D94"/>
    <w:rsid w:val="00DF530C"/>
    <w:rsid w:val="00E00052"/>
    <w:rsid w:val="00E14264"/>
    <w:rsid w:val="00E31F68"/>
    <w:rsid w:val="00E64D18"/>
    <w:rsid w:val="00E67B85"/>
    <w:rsid w:val="00E87D2F"/>
    <w:rsid w:val="00E90971"/>
    <w:rsid w:val="00E96E14"/>
    <w:rsid w:val="00EA18C2"/>
    <w:rsid w:val="00EA4E1E"/>
    <w:rsid w:val="00EB523F"/>
    <w:rsid w:val="00EB6238"/>
    <w:rsid w:val="00EC505E"/>
    <w:rsid w:val="00ED06BE"/>
    <w:rsid w:val="00ED1361"/>
    <w:rsid w:val="00EE0872"/>
    <w:rsid w:val="00EE5100"/>
    <w:rsid w:val="00EF0CAB"/>
    <w:rsid w:val="00F00BAF"/>
    <w:rsid w:val="00F01801"/>
    <w:rsid w:val="00F11040"/>
    <w:rsid w:val="00F1786B"/>
    <w:rsid w:val="00F302B3"/>
    <w:rsid w:val="00F33598"/>
    <w:rsid w:val="00F43919"/>
    <w:rsid w:val="00F448D0"/>
    <w:rsid w:val="00F4691E"/>
    <w:rsid w:val="00F57019"/>
    <w:rsid w:val="00F60778"/>
    <w:rsid w:val="00F7610B"/>
    <w:rsid w:val="00F85469"/>
    <w:rsid w:val="00F858C5"/>
    <w:rsid w:val="00F87AF8"/>
    <w:rsid w:val="00F97A49"/>
    <w:rsid w:val="00FA61F5"/>
    <w:rsid w:val="00FA7C0A"/>
    <w:rsid w:val="00FC052C"/>
    <w:rsid w:val="00FC1A1C"/>
    <w:rsid w:val="00FC5223"/>
    <w:rsid w:val="00FE2BEF"/>
    <w:rsid w:val="00FE37CF"/>
    <w:rsid w:val="00FF2008"/>
    <w:rsid w:val="00FF2C86"/>
    <w:rsid w:val="00FF5A80"/>
    <w:rsid w:val="00FF6C92"/>
    <w:rsid w:val="00FF7A26"/>
    <w:rsid w:val="0BC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F50E"/>
  <w15:chartTrackingRefBased/>
  <w15:docId w15:val="{55B6D430-C29C-4C71-BC4A-09BDBECB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4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4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55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5549"/>
  </w:style>
  <w:style w:type="paragraph" w:styleId="Pidipagina">
    <w:name w:val="footer"/>
    <w:basedOn w:val="Normale"/>
    <w:link w:val="PidipaginaCarattere"/>
    <w:uiPriority w:val="99"/>
    <w:unhideWhenUsed/>
    <w:rsid w:val="000C55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5549"/>
  </w:style>
  <w:style w:type="paragraph" w:styleId="Titolo">
    <w:name w:val="Title"/>
    <w:basedOn w:val="Normale"/>
    <w:next w:val="Normale"/>
    <w:link w:val="TitoloCarattere"/>
    <w:uiPriority w:val="10"/>
    <w:qFormat/>
    <w:rsid w:val="00B226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84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4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342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04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0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tel.imperialida.com/2024/01/data-act-2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ur-lex.europa.eu/legal-content/it/TXT/HTML/?uri=OJ:L_202302854&amp;qid=1707139052665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rio\Documents\Custom%20Office%20Templates\w_pagenumbe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C:\Users\Rosario\Documents\Custom Office Templates\w_pagenumbers.dotx</Template>
  <TotalTime>514</TotalTime>
  <Pages>6</Pages>
  <Words>2444</Words>
  <Characters>13932</Characters>
  <Application>Microsoft Office Word</Application>
  <DocSecurity>0</DocSecurity>
  <Lines>116</Lines>
  <Paragraphs>32</Paragraphs>
  <ScaleCrop>false</ScaleCrop>
  <Company/>
  <LinksUpToDate>false</LinksUpToDate>
  <CharactersWithSpaces>16344</CharactersWithSpaces>
  <SharedDoc>false</SharedDoc>
  <HLinks>
    <vt:vector size="12" baseType="variant">
      <vt:variant>
        <vt:i4>1114205</vt:i4>
      </vt:variant>
      <vt:variant>
        <vt:i4>3</vt:i4>
      </vt:variant>
      <vt:variant>
        <vt:i4>0</vt:i4>
      </vt:variant>
      <vt:variant>
        <vt:i4>5</vt:i4>
      </vt:variant>
      <vt:variant>
        <vt:lpwstr>https://dptel.imperialida.com/2024/01/data-act-2/</vt:lpwstr>
      </vt:variant>
      <vt:variant>
        <vt:lpwstr/>
      </vt:variant>
      <vt:variant>
        <vt:i4>8126555</vt:i4>
      </vt:variant>
      <vt:variant>
        <vt:i4>0</vt:i4>
      </vt:variant>
      <vt:variant>
        <vt:i4>0</vt:i4>
      </vt:variant>
      <vt:variant>
        <vt:i4>5</vt:i4>
      </vt:variant>
      <vt:variant>
        <vt:lpwstr>https://eur-lex.europa.eu/legal-content/it/TXT/HTML/?uri=OJ:L_202302854&amp;qid=1707139052665</vt:lpwstr>
      </vt:variant>
      <vt:variant>
        <vt:lpwstr>d1e43-1-1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SLIda</dc:creator>
  <cp:keywords/>
  <dc:description/>
  <cp:lastModifiedBy>Francesca Speranza</cp:lastModifiedBy>
  <cp:revision>333</cp:revision>
  <dcterms:created xsi:type="dcterms:W3CDTF">2024-02-03T14:39:00Z</dcterms:created>
  <dcterms:modified xsi:type="dcterms:W3CDTF">2024-02-07T08:49:00Z</dcterms:modified>
</cp:coreProperties>
</file>