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pStyle w:val="Heading1"/>
        <w:pBdr>
          <w:bottom w:val="single" w:color="D4A017" w:sz="8" w:space="4"/>
        </w:pBdr>
        <w:spacing w:before="360" w:after="160"/>
      </w:pPr>
      <w:r>
        <w:rPr>
          <w:rFonts w:ascii="Arial" w:cs="Arial" w:eastAsia="Arial" w:hAnsi="Arial"/>
          <w:b/>
          <w:bCs/>
          <w:color w:val="1B2A4A"/>
          <w:sz w:val="36"/>
          <w:szCs w:val="36"/>
        </w:rPr>
        <w:t xml:space="preserve">Chapter 22: Who Generates the Trading Setup?</w:t>
      </w:r>
    </w:p>
    <w:p>
      <w:pPr>
        <w:spacing w:before="80" w:after="120"/>
      </w:pPr>
      <w:r>
        <w:rPr>
          <w:rFonts w:ascii="Arial" w:cs="Arial" w:eastAsia="Arial" w:hAnsi="Arial"/>
          <w:b w:val="false"/>
          <w:bCs w:val="false"/>
          <w:color w:val="000000"/>
          <w:sz w:val="22"/>
          <w:szCs w:val="22"/>
        </w:rPr>
        <w:t xml:space="preserve">This is one of the most important things to understand about ORACLE. The Pre-Filter does not give you a trading setup. No single agent gives you a trading setup. The setup is assembled across multiple agents working together, with the Brain AI making the final call.</w:t>
      </w:r>
    </w:p>
    <w:p>
      <w:pPr>
        <w:pStyle w:val="Heading2"/>
        <w:spacing w:before="280" w:after="120"/>
      </w:pPr>
      <w:r>
        <w:rPr>
          <w:rFonts w:ascii="Arial" w:cs="Arial" w:eastAsia="Arial" w:hAnsi="Arial"/>
          <w:b/>
          <w:bCs/>
          <w:color w:val="1B2A4A"/>
          <w:sz w:val="28"/>
          <w:szCs w:val="28"/>
        </w:rPr>
        <w:t xml:space="preserve">22.1 The Critical Distinction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0392B" w:sz="8"/>
              <w:left w:val="single" w:color="C0392B" w:sz="14"/>
              <w:bottom w:val="single" w:color="C0392B" w:sz="4"/>
              <w:right w:val="single" w:color="BBBBBB" w:sz="2"/>
            </w:tcBorders>
            <w:shd w:fill="FDEDEC" w:val="clear"/>
            <w:tcMar>
              <w:top w:type="dxa" w:w="100"/>
              <w:left w:type="dxa" w:w="140"/>
              <w:bottom w:type="dxa" w:w="100"/>
              <w:right w:type="dxa" w:w="100"/>
            </w:tcMar>
          </w:tcPr>
          <w:p>
            <w:pPr>
              <w:spacing w:before="0" w:after="60"/>
            </w:pPr>
            <w:r>
              <w:rPr>
                <w:rFonts w:ascii="Arial" w:cs="Arial" w:eastAsia="Arial" w:hAnsi="Arial"/>
                <w:b/>
                <w:bCs/>
                <w:color w:val="C0392B"/>
                <w:sz w:val="23"/>
                <w:szCs w:val="23"/>
              </w:rPr>
              <w:t xml:space="preserve">PRE-FILTER — What it does</w:t>
            </w:r>
          </w:p>
          <w:p>
            <w:pPr>
              <w:spacing w:before="0" w:after="60"/>
            </w:pPr>
            <w:r>
              <w:rPr>
                <w:rFonts w:ascii="Arial" w:cs="Arial" w:eastAsia="Arial" w:hAnsi="Arial"/>
                <w:i/>
                <w:iCs/>
                <w:color w:val="000000"/>
                <w:sz w:val="20"/>
                <w:szCs w:val="20"/>
              </w:rPr>
              <w:t xml:space="preserve">"Something interesting is forming here. Volume is anomalous. A candle pattern appeared. Timeframes are aligned. Worth investigating."</w:t>
            </w:r>
          </w:p>
          <w:p>
            <w:pPr>
              <w:spacing w:before="0" w:after="30"/>
            </w:pPr>
            <w:r>
              <w:rPr>
                <w:rFonts w:ascii="Arial" w:cs="Arial" w:eastAsia="Arial" w:hAnsi="Arial"/>
                <w:b/>
                <w:bCs/>
                <w:color w:val="C0392B"/>
                <w:sz w:val="20"/>
                <w:szCs w:val="20"/>
              </w:rPr>
              <w:t xml:space="preserve">Output: YES investigate / NO ignore</w:t>
            </w:r>
          </w:p>
          <w:p>
            <w:pPr>
              <w:spacing w:before="0" w:after="30"/>
            </w:pPr>
            <w:r>
              <w:rPr>
                <w:rFonts w:ascii="Arial" w:cs="Arial" w:eastAsia="Arial" w:hAnsi="Arial"/>
                <w:color w:val="555555"/>
                <w:sz w:val="20"/>
                <w:szCs w:val="20"/>
              </w:rPr>
              <w:t xml:space="preserve">Cost: Zero. Pure Python.</w:t>
            </w:r>
          </w:p>
          <w:p>
            <w:pPr>
              <w:spacing w:before="0" w:after="0"/>
            </w:pPr>
            <w:r>
              <w:rPr>
                <w:rFonts w:ascii="Arial" w:cs="Arial" w:eastAsia="Arial" w:hAnsi="Arial"/>
                <w:b/>
                <w:bCs/>
                <w:color w:val="C0392B"/>
                <w:sz w:val="20"/>
                <w:szCs w:val="20"/>
              </w:rPr>
              <w:t xml:space="preserve">Contains NO entry, NO stop loss, NO targets.</w:t>
            </w:r>
          </w:p>
        </w:tc>
        <w:tc>
          <w:tcPr>
            <w:tcW w:type="dxa" w:w="4680"/>
            <w:tcBorders>
              <w:top w:val="single" w:color="1A7A4A" w:sz="8"/>
              <w:left w:val="single" w:color="BBBBBB" w:sz="2"/>
              <w:bottom w:val="single" w:color="1A7A4A" w:sz="4"/>
              <w:right w:val="single" w:color="1A7A4A" w:sz="14"/>
            </w:tcBorders>
            <w:shd w:fill="EAFAF1" w:val="clear"/>
            <w:tcMar>
              <w:top w:type="dxa" w:w="100"/>
              <w:left w:type="dxa" w:w="120"/>
              <w:bottom w:type="dxa" w:w="100"/>
              <w:right w:type="dxa" w:w="140"/>
            </w:tcMar>
          </w:tcPr>
          <w:p>
            <w:pPr>
              <w:spacing w:before="0" w:after="60"/>
            </w:pPr>
            <w:r>
              <w:rPr>
                <w:rFonts w:ascii="Arial" w:cs="Arial" w:eastAsia="Arial" w:hAnsi="Arial"/>
                <w:b/>
                <w:bCs/>
                <w:color w:val="1A7A4A"/>
                <w:sz w:val="23"/>
                <w:szCs w:val="23"/>
              </w:rPr>
              <w:t xml:space="preserve">TRADING SETUP — What it is</w:t>
            </w:r>
          </w:p>
          <w:p>
            <w:pPr>
              <w:spacing w:before="0" w:after="60"/>
            </w:pPr>
            <w:r>
              <w:rPr>
                <w:rFonts w:ascii="Arial" w:cs="Arial" w:eastAsia="Arial" w:hAnsi="Arial"/>
                <w:i/>
                <w:iCs/>
                <w:color w:val="000000"/>
                <w:sz w:val="20"/>
                <w:szCs w:val="20"/>
              </w:rPr>
              <w:t xml:space="preserve">"Entry is 24,450-24,465. SELL here. Stop loss 24,512. TP1 is 24,380. R:R is 1:2.4. Take 75 lots."</w:t>
            </w:r>
          </w:p>
          <w:p>
            <w:pPr>
              <w:spacing w:before="0" w:after="30"/>
            </w:pPr>
            <w:r>
              <w:rPr>
                <w:rFonts w:ascii="Arial" w:cs="Arial" w:eastAsia="Arial" w:hAnsi="Arial"/>
                <w:b/>
                <w:bCs/>
                <w:color w:val="1A7A4A"/>
                <w:sz w:val="20"/>
                <w:szCs w:val="20"/>
              </w:rPr>
              <w:t xml:space="preserve">Output: Complete actionable trade</w:t>
            </w:r>
          </w:p>
          <w:p>
            <w:pPr>
              <w:spacing w:before="0" w:after="30"/>
            </w:pPr>
            <w:r>
              <w:rPr>
                <w:rFonts w:ascii="Arial" w:cs="Arial" w:eastAsia="Arial" w:hAnsi="Arial"/>
                <w:color w:val="555555"/>
                <w:sz w:val="20"/>
                <w:szCs w:val="20"/>
              </w:rPr>
              <w:t xml:space="preserve">Cost: Rs.7.50 per full analysis.</w:t>
            </w:r>
          </w:p>
          <w:p>
            <w:pPr>
              <w:spacing w:before="0" w:after="0"/>
            </w:pPr>
            <w:r>
              <w:rPr>
                <w:rFonts w:ascii="Arial" w:cs="Arial" w:eastAsia="Arial" w:hAnsi="Arial"/>
                <w:b/>
                <w:bCs/>
                <w:color w:val="1A7A4A"/>
                <w:sz w:val="20"/>
                <w:szCs w:val="20"/>
              </w:rPr>
              <w:t xml:space="preserve">Assembled by multiple agents together.</w:t>
            </w:r>
          </w:p>
        </w:tc>
      </w:tr>
    </w:tbl>
    <w:p>
      <w:pPr>
        <w:spacing w:before="0" w:after="0"/>
      </w:pPr>
      <w:r>
        <w:t xml:space="preserve"/>
      </w:r>
    </w:p>
    <w:p>
      <w:pPr>
        <w:pStyle w:val="Heading2"/>
        <w:spacing w:before="280" w:after="120"/>
      </w:pPr>
      <w:r>
        <w:rPr>
          <w:rFonts w:ascii="Arial" w:cs="Arial" w:eastAsia="Arial" w:hAnsi="Arial"/>
          <w:b/>
          <w:bCs/>
          <w:color w:val="1B2A4A"/>
          <w:sz w:val="28"/>
          <w:szCs w:val="28"/>
        </w:rPr>
        <w:t xml:space="preserve">22.2 The Setup Generation Chain — Step by Step</w:t>
      </w:r>
    </w:p>
    <w:p>
      <w:pPr>
        <w:spacing w:before="80" w:after="100"/>
      </w:pPr>
      <w:r>
        <w:rPr>
          <w:rFonts w:ascii="Arial" w:cs="Arial" w:eastAsia="Arial" w:hAnsi="Arial"/>
          <w:b w:val="false"/>
          <w:bCs w:val="false"/>
          <w:color w:val="000000"/>
          <w:sz w:val="22"/>
          <w:szCs w:val="22"/>
        </w:rPr>
        <w:t xml:space="preserve">The trading setup is assembled across 7 steps. Each step builds on the previous one. No step can be skipped.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14"/>
              <w:bottom w:val="single" w:color="C0392B" w:sz="4"/>
              <w:right w:val="single" w:color="C0392B" w:sz="4"/>
            </w:tcBorders>
            <w:shd w:fill="FDEDEC" w:val="clear"/>
            <w:tcMar>
              <w:top w:type="dxa" w:w="90"/>
              <w:left w:type="dxa" w:w="150"/>
              <w:bottom w:type="dxa" w:w="90"/>
              <w:right w:type="dxa" w:w="120"/>
            </w:tcMar>
          </w:tcPr>
          <w:p>
            <w:pPr>
              <w:spacing w:before="0" w:after="40"/>
            </w:pPr>
            <w:r>
              <w:rPr>
                <w:rFonts w:ascii="Arial" w:cs="Arial" w:eastAsia="Arial" w:hAnsi="Arial"/>
                <w:b/>
                <w:bCs/>
                <w:color w:val="C0392B"/>
                <w:sz w:val="22"/>
                <w:szCs w:val="22"/>
              </w:rPr>
              <w:t xml:space="preserve">Step 1 — Pre-Filter fires (detection only)</w:t>
            </w:r>
          </w:p>
          <w:p>
            <w:pPr>
              <w:spacing w:before="0" w:after="10"/>
            </w:pPr>
            <w:r>
              <w:rPr>
                <w:rFonts w:ascii="Arial" w:cs="Arial" w:eastAsia="Arial" w:hAnsi="Arial"/>
                <w:color w:val="000000"/>
                <w:sz w:val="20"/>
                <w:szCs w:val="20"/>
              </w:rPr>
              <w:t xml:space="preserve">Detects that a potential setup is forming. Packages all context — candles, order book, key levels, timeframe biases.</w:t>
            </w:r>
          </w:p>
          <w:p>
            <w:pPr>
              <w:spacing w:before="0" w:after="10"/>
            </w:pPr>
            <w:r>
              <w:rPr>
                <w:rFonts w:ascii="Arial" w:cs="Arial" w:eastAsia="Arial" w:hAnsi="Arial"/>
                <w:color w:val="000000"/>
                <w:sz w:val="20"/>
                <w:szCs w:val="20"/>
              </w:rPr>
              <w:t xml:space="preserve">Sends the complete context package to all 23 agents simultaneously.</w:t>
            </w:r>
          </w:p>
          <w:p>
            <w:pPr>
              <w:spacing w:before="0" w:after="10"/>
            </w:pPr>
            <w:r>
              <w:rPr>
                <w:rFonts w:ascii="Arial" w:cs="Arial" w:eastAsia="Arial" w:hAnsi="Arial"/>
                <w:color w:val="000000"/>
                <w:sz w:val="20"/>
                <w:szCs w:val="20"/>
              </w:rPr>
              <w:t xml:space="preserve">Still NO trading setup exists at this point. The Pre-Filter is the doorman, not the analyst.</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18D" w:sz="8"/>
              <w:left w:val="single" w:color="1F618D" w:sz="14"/>
              <w:bottom w:val="single" w:color="1F618D" w:sz="4"/>
              <w:right w:val="single" w:color="1F618D" w:sz="4"/>
            </w:tcBorders>
            <w:shd w:fill="D6EAF8" w:val="clear"/>
            <w:tcMar>
              <w:top w:type="dxa" w:w="90"/>
              <w:left w:type="dxa" w:w="150"/>
              <w:bottom w:type="dxa" w:w="90"/>
              <w:right w:type="dxa" w:w="120"/>
            </w:tcMar>
          </w:tcPr>
          <w:p>
            <w:pPr>
              <w:spacing w:before="0" w:after="40"/>
            </w:pPr>
            <w:r>
              <w:rPr>
                <w:rFonts w:ascii="Arial" w:cs="Arial" w:eastAsia="Arial" w:hAnsi="Arial"/>
                <w:b/>
                <w:bCs/>
                <w:color w:val="1F618D"/>
                <w:sz w:val="22"/>
                <w:szCs w:val="22"/>
              </w:rPr>
              <w:t xml:space="preserve">Step 2 — A1 Market Structure Agent sets the direction</w:t>
            </w:r>
          </w:p>
          <w:p>
            <w:pPr>
              <w:spacing w:before="0" w:after="10"/>
            </w:pPr>
            <w:r>
              <w:rPr>
                <w:rFonts w:ascii="Arial" w:cs="Arial" w:eastAsia="Arial" w:hAnsi="Arial"/>
                <w:color w:val="000000"/>
                <w:sz w:val="20"/>
                <w:szCs w:val="20"/>
              </w:rPr>
              <w:t xml:space="preserve">Market Structure Agent is the first component to begin defining what kind of setup this is.</w:t>
            </w:r>
          </w:p>
          <w:p>
            <w:pPr>
              <w:spacing w:before="0" w:after="10"/>
            </w:pPr>
            <w:r>
              <w:rPr>
                <w:rFonts w:ascii="Arial" w:cs="Arial" w:eastAsia="Arial" w:hAnsi="Arial"/>
                <w:color w:val="000000"/>
                <w:sz w:val="20"/>
                <w:szCs w:val="20"/>
              </w:rPr>
              <w:t xml:space="preserve">Output: "HTF is BEARISH, bias is SHORT." This is the master direction. Everything else follows from A1.</w:t>
            </w:r>
          </w:p>
          <w:p>
            <w:pPr>
              <w:spacing w:before="0" w:after="10"/>
            </w:pPr>
            <w:r>
              <w:rPr>
                <w:rFonts w:ascii="Arial" w:cs="Arial" w:eastAsia="Arial" w:hAnsi="Arial"/>
                <w:color w:val="000000"/>
                <w:sz w:val="20"/>
                <w:szCs w:val="20"/>
              </w:rPr>
              <w:t xml:space="preserve">Without A1's directional call, there is no setup to build. A1 runs on Claude Sonnet 4.6 for this reason.</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8"/>
              <w:left w:val="single" w:color="D35400" w:sz="14"/>
              <w:bottom w:val="single" w:color="D35400" w:sz="4"/>
              <w:right w:val="single" w:color="D35400" w:sz="4"/>
            </w:tcBorders>
            <w:shd w:fill="FDEBD0" w:val="clear"/>
            <w:tcMar>
              <w:top w:type="dxa" w:w="90"/>
              <w:left w:type="dxa" w:w="150"/>
              <w:bottom w:type="dxa" w:w="90"/>
              <w:right w:type="dxa" w:w="120"/>
            </w:tcMar>
          </w:tcPr>
          <w:p>
            <w:pPr>
              <w:spacing w:before="0" w:after="40"/>
            </w:pPr>
            <w:r>
              <w:rPr>
                <w:rFonts w:ascii="Arial" w:cs="Arial" w:eastAsia="Arial" w:hAnsi="Arial"/>
                <w:b/>
                <w:bCs/>
                <w:color w:val="D35400"/>
                <w:sz w:val="22"/>
                <w:szCs w:val="22"/>
              </w:rPr>
              <w:t xml:space="preserve">Step 3 — A2 Key Level Agent defines the entry zone</w:t>
            </w:r>
          </w:p>
          <w:p>
            <w:pPr>
              <w:spacing w:before="0" w:after="10"/>
            </w:pPr>
            <w:r>
              <w:rPr>
                <w:rFonts w:ascii="Arial" w:cs="Arial" w:eastAsia="Arial" w:hAnsi="Arial"/>
                <w:color w:val="000000"/>
                <w:sz w:val="20"/>
                <w:szCs w:val="20"/>
              </w:rPr>
              <w:t xml:space="preserve">Key Level Agent identifies the specific price zone where price is reacting institutionally.</w:t>
            </w:r>
          </w:p>
          <w:p>
            <w:pPr>
              <w:spacing w:before="0" w:after="10"/>
            </w:pPr>
            <w:r>
              <w:rPr>
                <w:rFonts w:ascii="Arial" w:cs="Arial" w:eastAsia="Arial" w:hAnsi="Arial"/>
                <w:color w:val="000000"/>
                <w:sz w:val="20"/>
                <w:szCs w:val="20"/>
              </w:rPr>
              <w:t xml:space="preserve">Output: "Bearish Order Block at 24,440-24,460, strength 8.7/10."</w:t>
            </w:r>
          </w:p>
          <w:p>
            <w:pPr>
              <w:spacing w:before="0" w:after="10"/>
            </w:pPr>
            <w:r>
              <w:rPr>
                <w:rFonts w:ascii="Arial" w:cs="Arial" w:eastAsia="Arial" w:hAnsi="Arial"/>
                <w:color w:val="000000"/>
                <w:sz w:val="20"/>
                <w:szCs w:val="20"/>
              </w:rPr>
              <w:t xml:space="preserve">This price range becomes the entry zone on your signal card. The entry zone comes directly from A2.</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8"/>
              <w:left w:val="single" w:color="6C3483" w:sz="14"/>
              <w:bottom w:val="single" w:color="6C3483" w:sz="4"/>
              <w:right w:val="single" w:color="6C3483" w:sz="4"/>
            </w:tcBorders>
            <w:shd w:fill="F4ECF7" w:val="clear"/>
            <w:tcMar>
              <w:top w:type="dxa" w:w="90"/>
              <w:left w:type="dxa" w:w="150"/>
              <w:bottom w:type="dxa" w:w="90"/>
              <w:right w:type="dxa" w:w="120"/>
            </w:tcMar>
          </w:tcPr>
          <w:p>
            <w:pPr>
              <w:spacing w:before="0" w:after="40"/>
            </w:pPr>
            <w:r>
              <w:rPr>
                <w:rFonts w:ascii="Arial" w:cs="Arial" w:eastAsia="Arial" w:hAnsi="Arial"/>
                <w:b/>
                <w:bCs/>
                <w:color w:val="6C3483"/>
                <w:sz w:val="22"/>
                <w:szCs w:val="22"/>
              </w:rPr>
              <w:t xml:space="preserve">Step 4 — A3 Liquidity Agent defines the targets</w:t>
            </w:r>
          </w:p>
          <w:p>
            <w:pPr>
              <w:spacing w:before="0" w:after="10"/>
            </w:pPr>
            <w:r>
              <w:rPr>
                <w:rFonts w:ascii="Arial" w:cs="Arial" w:eastAsia="Arial" w:hAnsi="Arial"/>
                <w:color w:val="000000"/>
                <w:sz w:val="20"/>
                <w:szCs w:val="20"/>
              </w:rPr>
              <w:t xml:space="preserve">Liquidity Agent identifies where the next SSL (sell-side liquidity) sits — where retail stop losses cluster.</w:t>
            </w:r>
          </w:p>
          <w:p>
            <w:pPr>
              <w:spacing w:before="0" w:after="10"/>
            </w:pPr>
            <w:r>
              <w:rPr>
                <w:rFonts w:ascii="Arial" w:cs="Arial" w:eastAsia="Arial" w:hAnsi="Arial"/>
                <w:color w:val="000000"/>
                <w:sz w:val="20"/>
                <w:szCs w:val="20"/>
              </w:rPr>
              <w:t xml:space="preserve">Output: "SSL cluster at 24,320. Major SSL pool at 24,200."</w:t>
            </w:r>
          </w:p>
          <w:p>
            <w:pPr>
              <w:spacing w:before="0" w:after="10"/>
            </w:pPr>
            <w:r>
              <w:rPr>
                <w:rFonts w:ascii="Arial" w:cs="Arial" w:eastAsia="Arial" w:hAnsi="Arial"/>
                <w:color w:val="000000"/>
                <w:sz w:val="20"/>
                <w:szCs w:val="20"/>
              </w:rPr>
              <w:t xml:space="preserve">These become your TP2 and TP3. Price moves toward liquidity. Your targets are liquidity pools, not arbitrary levels.</w:t>
            </w:r>
          </w:p>
          <w:p>
            <w:pPr>
              <w:spacing w:before="0" w:after="10"/>
            </w:pPr>
            <w:r>
              <w:rPr>
                <w:rFonts w:ascii="Arial" w:cs="Arial" w:eastAsia="Arial" w:hAnsi="Arial"/>
                <w:color w:val="000000"/>
                <w:sz w:val="20"/>
                <w:szCs w:val="20"/>
              </w:rPr>
              <w:t xml:space="preserve">Without A3, there are no logical targets — only guesses.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8"/>
              <w:left w:val="single" w:color="0E6655" w:sz="14"/>
              <w:bottom w:val="single" w:color="0E6655" w:sz="4"/>
              <w:right w:val="single" w:color="0E6655" w:sz="4"/>
            </w:tcBorders>
            <w:shd w:fill="D0ECE7" w:val="clear"/>
            <w:tcMar>
              <w:top w:type="dxa" w:w="90"/>
              <w:left w:type="dxa" w:w="150"/>
              <w:bottom w:type="dxa" w:w="90"/>
              <w:right w:type="dxa" w:w="120"/>
            </w:tcMar>
          </w:tcPr>
          <w:p>
            <w:pPr>
              <w:spacing w:before="0" w:after="40"/>
            </w:pPr>
            <w:r>
              <w:rPr>
                <w:rFonts w:ascii="Arial" w:cs="Arial" w:eastAsia="Arial" w:hAnsi="Arial"/>
                <w:b/>
                <w:bCs/>
                <w:color w:val="0E6655"/>
                <w:sz w:val="22"/>
                <w:szCs w:val="22"/>
              </w:rPr>
              <w:t xml:space="preserve">Step 5 — A8 Risk/Reward Agent calculates all parameters</w:t>
            </w:r>
          </w:p>
          <w:p>
            <w:pPr>
              <w:spacing w:before="0" w:after="10"/>
            </w:pPr>
            <w:r>
              <w:rPr>
                <w:rFonts w:ascii="Arial" w:cs="Arial" w:eastAsia="Arial" w:hAnsi="Arial"/>
                <w:color w:val="000000"/>
                <w:sz w:val="20"/>
                <w:szCs w:val="20"/>
              </w:rPr>
              <w:t xml:space="preserve">Risk/Reward Agent takes A2's entry zone, finds the structural invalidation level (SL), takes A3's pools as targets, and runs the math.</w:t>
            </w:r>
          </w:p>
          <w:p>
            <w:pPr>
              <w:spacing w:before="0" w:after="10"/>
            </w:pPr>
            <w:r>
              <w:rPr>
                <w:rFonts w:ascii="Arial" w:cs="Arial" w:eastAsia="Arial" w:hAnsi="Arial"/>
                <w:color w:val="000000"/>
                <w:sz w:val="20"/>
                <w:szCs w:val="20"/>
              </w:rPr>
              <w:t xml:space="preserve">Entry: 24,455  |  SL: 24,512  |  TP1: 24,380  |  TP2: 24,320  |  TP3: 24,200  |  R:R: 1:2.4 at TP1</w:t>
            </w:r>
          </w:p>
          <w:p>
            <w:pPr>
              <w:spacing w:before="0" w:after="10"/>
            </w:pPr>
            <w:r>
              <w:rPr>
                <w:rFonts w:ascii="Arial" w:cs="Arial" w:eastAsia="Arial" w:hAnsi="Arial"/>
                <w:color w:val="000000"/>
                <w:sz w:val="20"/>
                <w:szCs w:val="20"/>
              </w:rPr>
              <w:t xml:space="preserve">A8 enforces the hard 1:2 minimum. If math does not produce 1:2 R:R, the setup is REJECTED regardless of everything else.</w:t>
            </w:r>
          </w:p>
          <w:p>
            <w:pPr>
              <w:spacing w:before="0" w:after="10"/>
            </w:pPr>
            <w:r>
              <w:rPr>
                <w:rFonts w:ascii="Arial" w:cs="Arial" w:eastAsia="Arial" w:hAnsi="Arial"/>
                <w:color w:val="000000"/>
                <w:sz w:val="20"/>
                <w:szCs w:val="20"/>
              </w:rPr>
              <w:t xml:space="preserve">A8 is the quality gate for the setup parameters. It can kill the entire signal at this step.</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single" w:color="D4A017" w:sz="14"/>
              <w:bottom w:val="single" w:color="D4A017" w:sz="4"/>
              <w:right w:val="single" w:color="D4A017" w:sz="4"/>
            </w:tcBorders>
            <w:shd w:fill="FEF9E7" w:val="clear"/>
            <w:tcMar>
              <w:top w:type="dxa" w:w="90"/>
              <w:left w:type="dxa" w:w="150"/>
              <w:bottom w:type="dxa" w:w="90"/>
              <w:right w:type="dxa" w:w="120"/>
            </w:tcMar>
          </w:tcPr>
          <w:p>
            <w:pPr>
              <w:spacing w:before="0" w:after="40"/>
            </w:pPr>
            <w:r>
              <w:rPr>
                <w:rFonts w:ascii="Arial" w:cs="Arial" w:eastAsia="Arial" w:hAnsi="Arial"/>
                <w:b/>
                <w:bCs/>
                <w:color w:val="D4A017"/>
                <w:sz w:val="22"/>
                <w:szCs w:val="22"/>
              </w:rPr>
              <w:t xml:space="preserve">Step 6 — A11 Position Sizing Agent adds the lot count</w:t>
            </w:r>
          </w:p>
          <w:p>
            <w:pPr>
              <w:spacing w:before="0" w:after="10"/>
            </w:pPr>
            <w:r>
              <w:rPr>
                <w:rFonts w:ascii="Arial" w:cs="Arial" w:eastAsia="Arial" w:hAnsi="Arial"/>
                <w:color w:val="000000"/>
                <w:sz w:val="20"/>
                <w:szCs w:val="20"/>
              </w:rPr>
              <w:t xml:space="preserve">Position Sizing Agent applies Kelly Criterion to the Brain AI's score and current portfolio heat.</w:t>
            </w:r>
          </w:p>
          <w:p>
            <w:pPr>
              <w:spacing w:before="0" w:after="10"/>
            </w:pPr>
            <w:r>
              <w:rPr>
                <w:rFonts w:ascii="Arial" w:cs="Arial" w:eastAsia="Arial" w:hAnsi="Arial"/>
                <w:color w:val="000000"/>
                <w:sz w:val="20"/>
                <w:szCs w:val="20"/>
              </w:rPr>
              <w:t xml:space="preserve">Output: "75 lots at 1% portfolio risk." This completes the setup — it is now execution-ready.</w:t>
            </w:r>
          </w:p>
          <w:p>
            <w:pPr>
              <w:spacing w:before="0" w:after="10"/>
            </w:pPr>
            <w:r>
              <w:rPr>
                <w:rFonts w:ascii="Arial" w:cs="Arial" w:eastAsia="Arial" w:hAnsi="Arial"/>
                <w:color w:val="000000"/>
                <w:sz w:val="20"/>
                <w:szCs w:val="20"/>
              </w:rPr>
              <w:t xml:space="preserve">Higher Brain AI score = larger position. Score 15-21 = full size. Score 12-14 = 75%. Score 9-11 = 50%.</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8"/>
              <w:left w:val="single" w:color="1B2A4A" w:sz="14"/>
              <w:bottom w:val="single" w:color="1B2A4A" w:sz="4"/>
              <w:right w:val="single" w:color="1B2A4A" w:sz="4"/>
            </w:tcBorders>
            <w:shd w:fill="EBF5FB" w:val="clear"/>
            <w:tcMar>
              <w:top w:type="dxa" w:w="90"/>
              <w:left w:type="dxa" w:w="150"/>
              <w:bottom w:type="dxa" w:w="90"/>
              <w:right w:type="dxa" w:w="120"/>
            </w:tcMar>
          </w:tcPr>
          <w:p>
            <w:pPr>
              <w:spacing w:before="0" w:after="40"/>
            </w:pPr>
            <w:r>
              <w:rPr>
                <w:rFonts w:ascii="Arial" w:cs="Arial" w:eastAsia="Arial" w:hAnsi="Arial"/>
                <w:b/>
                <w:bCs/>
                <w:color w:val="1B2A4A"/>
                <w:sz w:val="22"/>
                <w:szCs w:val="22"/>
              </w:rPr>
              <w:t xml:space="preserve">Step 7 — Brain AI assembles, decides, and fires the signal</w:t>
            </w:r>
          </w:p>
          <w:p>
            <w:pPr>
              <w:spacing w:before="0" w:after="10"/>
            </w:pPr>
            <w:r>
              <w:rPr>
                <w:rFonts w:ascii="Arial" w:cs="Arial" w:eastAsia="Arial" w:hAnsi="Arial"/>
                <w:color w:val="000000"/>
                <w:sz w:val="20"/>
                <w:szCs w:val="20"/>
              </w:rPr>
              <w:t xml:space="preserve">All 23 agent reports arrive. Brain AI synthesizes everything using full trading methodology knowledge.</w:t>
            </w:r>
          </w:p>
          <w:p>
            <w:pPr>
              <w:spacing w:before="0" w:after="10"/>
            </w:pPr>
            <w:r>
              <w:rPr>
                <w:rFonts w:ascii="Arial" w:cs="Arial" w:eastAsia="Arial" w:hAnsi="Arial"/>
                <w:color w:val="000000"/>
                <w:sz w:val="20"/>
                <w:szCs w:val="20"/>
              </w:rPr>
              <w:t xml:space="preserve">Final decision: TAKE, WAIT, or SKIP. If TAKE, Brain AI writes the complete setup card.</w:t>
            </w:r>
          </w:p>
          <w:p>
            <w:pPr>
              <w:spacing w:before="0" w:after="10"/>
            </w:pPr>
            <w:r>
              <w:rPr>
                <w:rFonts w:ascii="Arial" w:cs="Arial" w:eastAsia="Arial" w:hAnsi="Arial"/>
                <w:color w:val="000000"/>
                <w:sz w:val="20"/>
                <w:szCs w:val="20"/>
              </w:rPr>
              <w:t xml:space="preserve">Expert Council (100 master traders) validates. Grand Synthesis reads all 6 outputs and confirms.</w:t>
            </w:r>
          </w:p>
          <w:p>
            <w:pPr>
              <w:spacing w:before="0" w:after="10"/>
            </w:pPr>
            <w:r>
              <w:rPr>
                <w:rFonts w:ascii="Arial" w:cs="Arial" w:eastAsia="Arial" w:hAnsi="Arial"/>
                <w:color w:val="000000"/>
                <w:sz w:val="20"/>
                <w:szCs w:val="20"/>
              </w:rPr>
              <w:t xml:space="preserve">Only after Grand Synthesis approves does the alert fire to your Telegram.</w:t>
            </w:r>
          </w:p>
        </w:tc>
      </w:tr>
    </w:tbl>
    <w:p>
      <w:pPr>
        <w:spacing w:before="0" w:after="0"/>
      </w:pPr>
      <w:r>
        <w:t xml:space="preserve"/>
      </w:r>
    </w:p>
    <w:p>
      <w:pPr>
        <w:pStyle w:val="Heading2"/>
        <w:spacing w:before="280" w:after="120"/>
      </w:pPr>
      <w:r>
        <w:rPr>
          <w:rFonts w:ascii="Arial" w:cs="Arial" w:eastAsia="Arial" w:hAnsi="Arial"/>
          <w:b/>
          <w:bCs/>
          <w:color w:val="1B2A4A"/>
          <w:sz w:val="28"/>
          <w:szCs w:val="28"/>
        </w:rPr>
        <w:t xml:space="preserve">22.3 Who Contributes What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1B2A4A" w:sz="4"/>
              <w:left w:val="single" w:color="1B2A4A" w:sz="4"/>
              <w:bottom w:val="single" w:color="1B2A4A" w:sz="4"/>
              <w:right w:val="single" w:color="CCCCCC"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1B2A4A" w:sz="4"/>
              <w:left w:val="single" w:color="1B2A4A" w:sz="4"/>
              <w:bottom w:val="single" w:color="1B2A4A" w:sz="4"/>
              <w:right w:val="single" w:color="CCCCCC"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Contribution</w:t>
            </w:r>
          </w:p>
        </w:tc>
        <w:tc>
          <w:tcPr>
            <w:tcW w:type="dxa" w:w="4560"/>
            <w:tcBorders>
              <w:top w:val="single" w:color="1B2A4A" w:sz="4"/>
              <w:left w:val="single" w:color="1B2A4A" w:sz="4"/>
              <w:bottom w:val="single" w:color="1B2A4A" w:sz="4"/>
              <w:right w:val="single" w:color="CCCCCC"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Produces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618D"/>
                <w:sz w:val="20"/>
                <w:szCs w:val="20"/>
              </w:rPr>
              <w:t xml:space="preserve">Pre-Filter</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Detection only</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Nothing — fires the agents. No setup yet.</w:t>
            </w:r>
          </w:p>
        </w:tc>
      </w:tr>
      <w:tr>
        <w:tc>
          <w:tcPr>
            <w:tcW w:type="dxa" w:w="1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1F618D"/>
                <w:sz w:val="20"/>
                <w:szCs w:val="20"/>
              </w:rPr>
              <w:t xml:space="preserve">A1 — Structure</w:t>
            </w:r>
          </w:p>
        </w:tc>
        <w:tc>
          <w:tcPr>
            <w:tcW w:type="dxa" w:w="30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direction</w:t>
            </w:r>
          </w:p>
        </w:tc>
        <w:tc>
          <w:tcPr>
            <w:tcW w:type="dxa" w:w="45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LONG or SHORT — the master direction filter</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618D"/>
                <w:sz w:val="20"/>
                <w:szCs w:val="20"/>
              </w:rPr>
              <w:t xml:space="preserve">A2 — Key Level</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entry zone</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Exact price range to enter: 24,440 – 24,460</w:t>
            </w:r>
          </w:p>
        </w:tc>
      </w:tr>
      <w:tr>
        <w:tc>
          <w:tcPr>
            <w:tcW w:type="dxa" w:w="1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1F618D"/>
                <w:sz w:val="20"/>
                <w:szCs w:val="20"/>
              </w:rPr>
              <w:t xml:space="preserve">A3 — Liquidity</w:t>
            </w:r>
          </w:p>
        </w:tc>
        <w:tc>
          <w:tcPr>
            <w:tcW w:type="dxa" w:w="30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targets (TP1/2/3)</w:t>
            </w:r>
          </w:p>
        </w:tc>
        <w:tc>
          <w:tcPr>
            <w:tcW w:type="dxa" w:w="45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Liquidity pools where price is going</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618D"/>
                <w:sz w:val="20"/>
                <w:szCs w:val="20"/>
              </w:rPr>
              <w:t xml:space="preserve">A8 — Risk/Reward</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Stop loss + R:R check</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SL level, R:R ratio — approves or kills the setup</w:t>
            </w:r>
          </w:p>
        </w:tc>
      </w:tr>
      <w:tr>
        <w:tc>
          <w:tcPr>
            <w:tcW w:type="dxa" w:w="1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1F618D"/>
                <w:sz w:val="20"/>
                <w:szCs w:val="20"/>
              </w:rPr>
              <w:t xml:space="preserve">A11 — Position</w:t>
            </w:r>
          </w:p>
        </w:tc>
        <w:tc>
          <w:tcPr>
            <w:tcW w:type="dxa" w:w="30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lot count</w:t>
            </w:r>
          </w:p>
        </w:tc>
        <w:tc>
          <w:tcPr>
            <w:tcW w:type="dxa" w:w="45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Exact lots at 1% portfolio risk (Kelly Criterion)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618D"/>
                <w:sz w:val="20"/>
                <w:szCs w:val="20"/>
              </w:rPr>
              <w:t xml:space="preserve">Brain AI</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final decision</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TAKE / WAIT / SKIP + writes complete signal card</w:t>
            </w:r>
          </w:p>
        </w:tc>
      </w:tr>
      <w:tr>
        <w:tc>
          <w:tcPr>
            <w:tcW w:type="dxa" w:w="18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bCs/>
                <w:color w:val="1F618D"/>
                <w:sz w:val="20"/>
                <w:szCs w:val="20"/>
              </w:rPr>
              <w:t xml:space="preserve">Grand Synthesis</w:t>
            </w:r>
          </w:p>
        </w:tc>
        <w:tc>
          <w:tcPr>
            <w:tcW w:type="dxa" w:w="300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validation</w:t>
            </w:r>
          </w:p>
        </w:tc>
        <w:tc>
          <w:tcPr>
            <w:tcW w:type="dxa" w:w="4560"/>
            <w:tcBorders>
              <w:top w:val="single" w:color="CCCCCC" w:sz="4"/>
              <w:left w:val="single" w:color="CCCCCC" w:sz="4"/>
              <w:bottom w:val="single" w:color="CCCCCC" w:sz="4"/>
              <w:right w:val="single" w:color="CCCCCC" w:sz="4"/>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Confirms or overrides Brain AI based on 6 outputs</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single" w:color="D4A017" w:sz="16"/>
              <w:bottom w:val="single" w:color="D4A017" w:sz="4"/>
              <w:right w:val="single" w:color="D4A017" w:sz="4"/>
            </w:tcBorders>
            <w:shd w:fill="FEF9E7" w:val="clear"/>
            <w:tcMar>
              <w:top w:type="dxa" w:w="110"/>
              <w:left w:type="dxa" w:w="160"/>
              <w:bottom w:type="dxa" w:w="110"/>
              <w:right w:type="dxa" w:w="130"/>
            </w:tcMar>
          </w:tcPr>
          <w:p>
            <w:pPr>
              <w:spacing w:before="0" w:after="60"/>
            </w:pPr>
            <w:r>
              <w:rPr>
                <w:rFonts w:ascii="Arial" w:cs="Arial" w:eastAsia="Arial" w:hAnsi="Arial"/>
                <w:b/>
                <w:bCs/>
                <w:color w:val="D4A017"/>
                <w:sz w:val="23"/>
                <w:szCs w:val="23"/>
              </w:rPr>
              <w:t xml:space="preserve">The One-Line Summary</w:t>
            </w:r>
          </w:p>
          <w:p>
            <w:pPr>
              <w:spacing w:before="0" w:after="0"/>
            </w:pPr>
            <w:r>
              <w:rPr>
                <w:rFonts w:ascii="Arial" w:cs="Arial" w:eastAsia="Arial" w:hAnsi="Arial"/>
                <w:i/>
                <w:iCs/>
                <w:color w:val="000000"/>
                <w:sz w:val="21"/>
                <w:szCs w:val="21"/>
              </w:rPr>
              <w:t xml:space="preserve">The Pre-Filter is the doorman — it decides who gets into the building. The agents inside the building do the actual work. The trading setup is assembled across A1 (direction), A2 (entry zone), A3 (targets), A8 (stop loss and R:R), and A11 (position size). The Brain AI makes the final TAKE/SKIP decision and writes the complete signal card. The Grand Synthesis validates it. Then and only then does the alert fire to your phone.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B2A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2026-03-19T22:31:08.792Z</dcterms:created>
  <dcterms:modified xsi:type="dcterms:W3CDTF">2026-03-19T22:31:08.793Z</dcterms:modified>
</cp:coreProperties>
</file>

<file path=docProps/custom.xml><?xml version="1.0" encoding="utf-8"?>
<Properties xmlns="http://schemas.openxmlformats.org/officeDocument/2006/custom-properties" xmlns:vt="http://schemas.openxmlformats.org/officeDocument/2006/docPropsVTypes"/>
</file>