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AV Crash Severity Project</w:t>
      </w:r>
    </w:p>
    <w:p>
      <w:pPr>
        <w:spacing w:after="60" w:before="0"/>
      </w:pPr>
      <w:r>
        <w:rPr>
          <w:rFonts w:ascii="Arial" w:cs="Arial" w:eastAsia="Arial" w:hAnsi="Arial"/>
          <w:color w:val="2E5E9E"/>
          <w:sz w:val="30"/>
          <w:szCs w:val="30"/>
        </w:rPr>
        <w:t xml:space="preserve">Data Pipeline &amp; Decision Log</w:t>
      </w:r>
    </w:p>
    <w:p>
      <w:pPr>
        <w:spacing w:after="300" w:before="0"/>
      </w:pPr>
      <w:r>
        <w:rPr>
          <w:rFonts w:ascii="Arial" w:cs="Arial" w:eastAsia="Arial" w:hAnsi="Arial"/>
          <w:color w:val="888888"/>
          <w:sz w:val="20"/>
          <w:szCs w:val="20"/>
        </w:rPr>
        <w:t xml:space="preserve">Aramayo Velasco • McDonald • Velez  —  ISYE 4600, Spring 2026</w:t>
      </w:r>
    </w:p>
    <w:p>
      <w:pPr>
        <w:pStyle w:val="Heading1"/>
        <w:spacing w:after="160" w:before="320"/>
      </w:pPr>
      <w:r>
        <w:rPr>
          <w:rFonts w:ascii="Arial" w:cs="Arial" w:eastAsia="Arial" w:hAnsi="Arial"/>
          <w:b/>
          <w:bCs/>
          <w:color w:val="1F3864"/>
          <w:sz w:val="28"/>
          <w:szCs w:val="28"/>
        </w:rPr>
        <w:t xml:space="preserve">1. Overview of What Was Built</w:t>
      </w:r>
    </w:p>
    <w:p>
      <w:pPr>
        <w:spacing w:after="80" w:before="80"/>
      </w:pPr>
      <w:r>
        <w:rPr>
          <w:rFonts w:ascii="Arial" w:cs="Arial" w:eastAsia="Arial" w:hAnsi="Arial"/>
          <w:sz w:val="22"/>
          <w:szCs w:val="22"/>
        </w:rPr>
        <w:t xml:space="preserve">This document records every meaningful decision made during data cleaning and baseline modeling, along with the reasoning and findings that shaped each choice. It is intended both as a project audit trail and as source material for the final report and presentation.</w:t>
      </w:r>
    </w:p>
    <w:p>
      <w:pPr>
        <w:spacing w:after="0" w:before="80"/>
      </w:pPr>
      <w:r>
        <w:t xml:space="preserve"/>
      </w:r>
    </w:p>
    <w:p>
      <w:pPr>
        <w:spacing w:after="80" w:before="80"/>
      </w:pPr>
      <w:r>
        <w:rPr>
          <w:rFonts w:ascii="Arial" w:cs="Arial" w:eastAsia="Arial" w:hAnsi="Arial"/>
          <w:sz w:val="22"/>
          <w:szCs w:val="22"/>
        </w:rPr>
        <w:t xml:space="preserve">Two scripts were produced:</w:t>
      </w:r>
    </w:p>
    <w:p>
      <w:pPr>
        <w:pStyle w:val="ListParagraph"/>
        <w:numPr>
          <w:ilvl w:val="0"/>
          <w:numId w:val="2"/>
        </w:numPr>
        <w:spacing w:after="60" w:before="60"/>
      </w:pPr>
      <w:r>
        <w:rPr>
          <w:rFonts w:ascii="Arial" w:cs="Arial" w:eastAsia="Arial" w:hAnsi="Arial"/>
          <w:sz w:val="22"/>
          <w:szCs w:val="22"/>
        </w:rPr>
        <w:t xml:space="preserve"> clean_sgo.py — full data cleaning pipeline (raw CSVs → analysis-ready dataset)</w:t>
      </w:r>
    </w:p>
    <w:p>
      <w:pPr>
        <w:pStyle w:val="ListParagraph"/>
        <w:numPr>
          <w:ilvl w:val="0"/>
          <w:numId w:val="2"/>
        </w:numPr>
        <w:spacing w:after="60" w:before="60"/>
      </w:pPr>
      <w:r>
        <w:rPr>
          <w:rFonts w:ascii="Arial" w:cs="Arial" w:eastAsia="Arial" w:hAnsi="Arial"/>
          <w:sz w:val="22"/>
          <w:szCs w:val="22"/>
        </w:rPr>
        <w:t xml:space="preserve"> model_baseline.py — temporal split setup, majority-class baseline, logistic regression baseline, and false-negative analysis</w:t>
      </w:r>
    </w:p>
    <w:p>
      <w:pPr>
        <w:spacing w:after="0" w:before="80"/>
      </w:pPr>
      <w:r>
        <w:t xml:space="preserve"/>
      </w:r>
    </w:p>
    <w:p>
      <w:pPr>
        <w:spacing w:after="80" w:before="80"/>
      </w:pPr>
      <w:r>
        <w:rPr>
          <w:rFonts w:ascii="Arial" w:cs="Arial" w:eastAsia="Arial" w:hAnsi="Arial"/>
          <w:sz w:val="22"/>
          <w:szCs w:val="22"/>
        </w:rPr>
        <w:t xml:space="preserve">Three output folders:</w:t>
      </w:r>
    </w:p>
    <w:p>
      <w:pPr>
        <w:pStyle w:val="ListParagraph"/>
        <w:numPr>
          <w:ilvl w:val="0"/>
          <w:numId w:val="2"/>
        </w:numPr>
        <w:spacing w:after="60" w:before="60"/>
      </w:pPr>
      <w:r>
        <w:rPr>
          <w:rFonts w:ascii="Arial" w:cs="Arial" w:eastAsia="Arial" w:hAnsi="Arial"/>
          <w:sz w:val="22"/>
          <w:szCs w:val="22"/>
        </w:rPr>
        <w:t xml:space="preserve"> Project/Cleaned/ — cleaned dataset (5,576 incidents × 256 columns) + data dictionary</w:t>
      </w:r>
    </w:p>
    <w:p>
      <w:pPr>
        <w:pStyle w:val="ListParagraph"/>
        <w:numPr>
          <w:ilvl w:val="0"/>
          <w:numId w:val="2"/>
        </w:numPr>
        <w:spacing w:after="60" w:before="60"/>
      </w:pPr>
      <w:r>
        <w:rPr>
          <w:rFonts w:ascii="Arial" w:cs="Arial" w:eastAsia="Arial" w:hAnsi="Arial"/>
          <w:sz w:val="22"/>
          <w:szCs w:val="22"/>
        </w:rPr>
        <w:t xml:space="preserve"> Project/Modeling/ — baseline results, LR coefficients, false-negative file</w:t>
      </w:r>
    </w:p>
    <w:p>
      <w:pPr>
        <w:spacing w:after="0" w:before="200"/>
      </w:pPr>
      <w:r>
        <w:t xml:space="preserve"/>
      </w:r>
    </w:p>
    <w:p>
      <w:pPr>
        <w:pStyle w:val="Heading1"/>
        <w:spacing w:after="160" w:before="320"/>
      </w:pPr>
      <w:r>
        <w:rPr>
          <w:rFonts w:ascii="Arial" w:cs="Arial" w:eastAsia="Arial" w:hAnsi="Arial"/>
          <w:b/>
          <w:bCs/>
          <w:color w:val="1F3864"/>
          <w:sz w:val="28"/>
          <w:szCs w:val="28"/>
        </w:rPr>
        <w:t xml:space="preserve">2. Data Combination Decisions</w:t>
      </w:r>
    </w:p>
    <w:p>
      <w:pPr>
        <w:pStyle w:val="Heading2"/>
        <w:spacing w:after="120" w:before="240"/>
      </w:pPr>
      <w:r>
        <w:rPr>
          <w:rFonts w:ascii="Arial" w:cs="Arial" w:eastAsia="Arial" w:hAnsi="Arial"/>
          <w:b/>
          <w:bCs/>
          <w:color w:val="2E5E9E"/>
          <w:sz w:val="24"/>
          <w:szCs w:val="24"/>
        </w:rPr>
        <w:t xml:space="preserve">2a. Merging all 4 files into one unified table</w:t>
      </w:r>
    </w:p>
    <w:p>
      <w:pPr>
        <w:spacing w:after="80" w:before="80"/>
      </w:pPr>
      <w:r>
        <w:rPr>
          <w:rFonts w:ascii="Arial" w:cs="Arial" w:eastAsia="Arial" w:hAnsi="Arial"/>
          <w:sz w:val="22"/>
          <w:szCs w:val="22"/>
        </w:rPr>
        <w:t xml:space="preserve">We had four CSVs: two automation levels (ADS / Level 2) × two eras (archived July 2021–June 2025 and current June 2025–January 2026). We combined them into a single dataframe rather than keeping them separate.</w:t>
      </w:r>
    </w:p>
    <w:p>
      <w:pPr>
        <w:spacing w:after="80" w:before="80"/>
      </w:pPr>
      <w:r>
        <w:rPr>
          <w:rFonts w:ascii="Arial" w:cs="Arial" w:eastAsia="Arial" w:hAnsi="Arial"/>
          <w:sz w:val="22"/>
          <w:szCs w:val="22"/>
        </w:rPr>
        <w:t xml:space="preserve">Reason: all four share the same unit of analysis (one row = one crash report), the same core features, and the same modeling target. Keeping them separate would have forced us to train and evaluate four parallel models, making comparisons harder. Instead, we added two indicator columns:</w:t>
      </w:r>
    </w:p>
    <w:p>
      <w:pPr>
        <w:pStyle w:val="ListParagraph"/>
        <w:numPr>
          <w:ilvl w:val="0"/>
          <w:numId w:val="2"/>
        </w:numPr>
        <w:spacing w:after="60" w:before="60"/>
      </w:pPr>
      <w:r>
        <w:rPr>
          <w:rFonts w:ascii="Arial" w:cs="Arial" w:eastAsia="Arial" w:hAnsi="Arial"/>
          <w:sz w:val="22"/>
          <w:szCs w:val="22"/>
        </w:rPr>
        <w:t xml:space="preserve">automation_level  —  ADS or L2</w:t>
      </w:r>
    </w:p>
    <w:p>
      <w:pPr>
        <w:pStyle w:val="ListParagraph"/>
        <w:numPr>
          <w:ilvl w:val="0"/>
          <w:numId w:val="2"/>
        </w:numPr>
        <w:spacing w:after="60" w:before="60"/>
      </w:pPr>
      <w:r>
        <w:rPr>
          <w:rFonts w:ascii="Arial" w:cs="Arial" w:eastAsia="Arial" w:hAnsi="Arial"/>
          <w:sz w:val="22"/>
          <w:szCs w:val="22"/>
        </w:rPr>
        <w:t xml:space="preserve">era  —  archived or current</w:t>
      </w:r>
    </w:p>
    <w:p>
      <w:pPr>
        <w:pBdr>
          <w:left w:val="thick" w:color="2E5E9E" w:sz="12"/>
        </w:pBdr>
        <w:spacing w:after="140" w:before="140"/>
        <w:ind w:left="360"/>
      </w:pPr>
      <w:r>
        <w:rPr>
          <w:rFonts w:ascii="Arial" w:cs="Arial" w:eastAsia="Arial" w:hAnsi="Arial"/>
          <w:i/>
          <w:iCs/>
          <w:sz w:val="22"/>
          <w:szCs w:val="22"/>
        </w:rPr>
        <w:t xml:space="preserve">These two columns become features in every model, so the model can learn how automation level and reporting era interact with severity — rather than confounding those effects with whatever modeling differences arise from separate pipelines.</w:t>
      </w:r>
    </w:p>
    <w:p>
      <w:pPr>
        <w:spacing w:after="0" w:before="140"/>
      </w:pPr>
      <w:r>
        <w:t xml:space="preserve"/>
      </w:r>
    </w:p>
    <w:p>
      <w:pPr>
        <w:pStyle w:val="Heading2"/>
        <w:spacing w:after="120" w:before="240"/>
      </w:pPr>
      <w:r>
        <w:rPr>
          <w:rFonts w:ascii="Arial" w:cs="Arial" w:eastAsia="Arial" w:hAnsi="Arial"/>
          <w:b/>
          <w:bCs/>
          <w:color w:val="2E5E9E"/>
          <w:sz w:val="24"/>
          <w:szCs w:val="24"/>
        </w:rPr>
        <w:t xml:space="preserve">2b. Schema harmonization (archived vs. current columns differ)</w:t>
      </w:r>
    </w:p>
    <w:p>
      <w:pPr>
        <w:spacing w:after="80" w:before="80"/>
      </w:pPr>
      <w:r>
        <w:rPr>
          <w:rFonts w:ascii="Arial" w:cs="Arial" w:eastAsia="Arial" w:hAnsi="Arial"/>
          <w:sz w:val="22"/>
          <w:szCs w:val="22"/>
        </w:rPr>
        <w:t xml:space="preserve">The archived files (137 columns) and current files (116 columns) were collected under different SGO reporting rules. Several column names changed between eras. We renamed 6 archived columns to match current naming: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gridCol w:w="760"/>
      </w:tblGrid>
      <w:tr>
        <w:trPr>
          <w:tblHeader/>
        </w:trPr>
        <w:tc>
          <w:tcPr>
            <w:tcW w:type="dxa" w:w="4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Archived name</w:t>
            </w:r>
          </w:p>
        </w:tc>
        <w:tc>
          <w:tcPr>
            <w:tcW w:type="dxa" w:w="4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Current name (harmonized to)</w:t>
            </w:r>
          </w:p>
        </w:tc>
        <w:tc>
          <w:tcPr>
            <w:tcW w:type="dxa" w:w="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Era</w:t>
            </w:r>
          </w:p>
        </w:tc>
      </w:tr>
      <w:tr>
        <w:trPr>
          <w:tblHeader w:val="false"/>
        </w:trPr>
        <w:tc>
          <w:tcPr>
            <w:tcW w:type="dxa" w:w="4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SV Any Air Bags Deployed?</w:t>
            </w:r>
          </w:p>
        </w:tc>
        <w:tc>
          <w:tcPr>
            <w:tcW w:type="dxa" w:w="4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Any Air Bags Deployed?</w:t>
            </w:r>
          </w:p>
        </w:tc>
        <w:tc>
          <w:tcPr>
            <w:tcW w:type="dxa" w:w="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Prev</w:t>
            </w:r>
          </w:p>
        </w:tc>
      </w:tr>
      <w:tr>
        <w:trPr>
          <w:tblHeader w:val="false"/>
        </w:trPr>
        <w:tc>
          <w:tcPr>
            <w:tcW w:type="dxa" w:w="43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SV Was Vehicle Towed?</w:t>
            </w:r>
          </w:p>
        </w:tc>
        <w:tc>
          <w:tcPr>
            <w:tcW w:type="dxa" w:w="43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Was Any Vehicle Towed?</w:t>
            </w:r>
          </w:p>
        </w:tc>
        <w:tc>
          <w:tcPr>
            <w:tcW w:type="dxa" w:w="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Prev</w:t>
            </w:r>
          </w:p>
        </w:tc>
      </w:tr>
      <w:tr>
        <w:trPr>
          <w:tblHeader w:val="false"/>
        </w:trPr>
        <w:tc>
          <w:tcPr>
            <w:tcW w:type="dxa" w:w="4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SV Were All Passengers Belted?</w:t>
            </w:r>
          </w:p>
        </w:tc>
        <w:tc>
          <w:tcPr>
            <w:tcW w:type="dxa" w:w="4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Were All Passengers Belted?</w:t>
            </w:r>
          </w:p>
        </w:tc>
        <w:tc>
          <w:tcPr>
            <w:tcW w:type="dxa" w:w="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Prev</w:t>
            </w:r>
          </w:p>
        </w:tc>
      </w:tr>
      <w:tr>
        <w:trPr>
          <w:tblHeader w:val="false"/>
        </w:trPr>
        <w:tc>
          <w:tcPr>
            <w:tcW w:type="dxa" w:w="43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Weather - Fog/Smoke</w:t>
            </w:r>
          </w:p>
        </w:tc>
        <w:tc>
          <w:tcPr>
            <w:tcW w:type="dxa" w:w="43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Weather - Fog/Smoke/Haze</w:t>
            </w:r>
          </w:p>
        </w:tc>
        <w:tc>
          <w:tcPr>
            <w:tcW w:type="dxa" w:w="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Prev</w:t>
            </w:r>
          </w:p>
        </w:tc>
      </w:tr>
      <w:tr>
        <w:trPr>
          <w:tblHeader w:val="false"/>
        </w:trPr>
        <w:tc>
          <w:tcPr>
            <w:tcW w:type="dxa" w:w="4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Weather - Unknown</w:t>
            </w:r>
          </w:p>
        </w:tc>
        <w:tc>
          <w:tcPr>
            <w:tcW w:type="dxa" w:w="4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Weather - Unk - See Narrative</w:t>
            </w:r>
          </w:p>
        </w:tc>
        <w:tc>
          <w:tcPr>
            <w:tcW w:type="dxa" w:w="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Prev</w:t>
            </w:r>
          </w:p>
        </w:tc>
      </w:tr>
      <w:tr>
        <w:trPr>
          <w:tblHeader w:val="false"/>
        </w:trPr>
        <w:tc>
          <w:tcPr>
            <w:tcW w:type="dxa" w:w="43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VIN - Unknown</w:t>
            </w:r>
          </w:p>
        </w:tc>
        <w:tc>
          <w:tcPr>
            <w:tcW w:type="dxa" w:w="43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VIN Decoded</w:t>
            </w:r>
          </w:p>
        </w:tc>
        <w:tc>
          <w:tcPr>
            <w:tcW w:type="dxa" w:w="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Prev</w:t>
            </w:r>
          </w:p>
        </w:tc>
      </w:tr>
    </w:tbl>
    <w:p>
      <w:pPr>
        <w:spacing w:after="0" w:before="100"/>
      </w:pPr>
      <w:r>
        <w:t xml:space="preserve"/>
      </w:r>
    </w:p>
    <w:p>
      <w:pPr>
        <w:spacing w:after="80" w:before="80"/>
      </w:pPr>
      <w:r>
        <w:rPr>
          <w:rFonts w:ascii="Arial" w:cs="Arial" w:eastAsia="Arial" w:hAnsi="Arial"/>
          <w:sz w:val="22"/>
          <w:szCs w:val="22"/>
        </w:rPr>
        <w:t xml:space="preserve">Columns present only in the archived files (e.g., Posted Speed Limit, Lighting, Roadway Surface, Property Damage) were kept as features but are NaN for current-era rows. Columns present only in the current files (e.g., detailed roadway condition flags) are NaN for archived rows.</w:t>
      </w:r>
    </w:p>
    <w:p>
      <w:pPr>
        <w:spacing w:after="0" w:before="200"/>
      </w:pPr>
      <w:r>
        <w:t xml:space="preserve"/>
      </w:r>
    </w:p>
    <w:p>
      <w:pPr>
        <w:pStyle w:val="Heading1"/>
        <w:spacing w:after="160" w:before="320"/>
      </w:pPr>
      <w:r>
        <w:rPr>
          <w:rFonts w:ascii="Arial" w:cs="Arial" w:eastAsia="Arial" w:hAnsi="Arial"/>
          <w:b/>
          <w:bCs/>
          <w:color w:val="1F3864"/>
          <w:sz w:val="28"/>
          <w:szCs w:val="28"/>
        </w:rPr>
        <w:t xml:space="preserve">3. Deduplication Strategy</w:t>
      </w:r>
    </w:p>
    <w:p>
      <w:pPr>
        <w:spacing w:after="80" w:before="80"/>
      </w:pPr>
      <w:r>
        <w:rPr>
          <w:rFonts w:ascii="Arial" w:cs="Arial" w:eastAsia="Arial" w:hAnsi="Arial"/>
          <w:sz w:val="22"/>
          <w:szCs w:val="22"/>
        </w:rPr>
        <w:t xml:space="preserve">The raw data had two sources of row duplication:</w:t>
      </w:r>
    </w:p>
    <w:p>
      <w:pPr>
        <w:pStyle w:val="ListParagraph"/>
        <w:numPr>
          <w:ilvl w:val="0"/>
          <w:numId w:val="2"/>
        </w:numPr>
        <w:spacing w:after="60" w:before="60"/>
      </w:pPr>
      <w:r>
        <w:rPr>
          <w:rFonts w:ascii="Arial" w:cs="Arial" w:eastAsia="Arial" w:hAnsi="Arial"/>
          <w:sz w:val="22"/>
          <w:szCs w:val="22"/>
        </w:rPr>
        <w:t xml:space="preserve">Multiple report versions: The same Report ID can be re-filed as new information comes in, resulting in rows with Report Version = 1, 2, 3, etc. for the same incident report.</w:t>
      </w:r>
    </w:p>
    <w:p>
      <w:pPr>
        <w:pStyle w:val="ListParagraph"/>
        <w:numPr>
          <w:ilvl w:val="0"/>
          <w:numId w:val="2"/>
        </w:numPr>
        <w:spacing w:after="60" w:before="60"/>
      </w:pPr>
      <w:r>
        <w:rPr>
          <w:rFonts w:ascii="Arial" w:cs="Arial" w:eastAsia="Arial" w:hAnsi="Arial"/>
          <w:sz w:val="22"/>
          <w:szCs w:val="22"/>
        </w:rPr>
        <w:t xml:space="preserve">Multi-entity reporting: A single crash can be reported by multiple manufacturers (e.g., both Waymo and the counterpart vehicle’s OEM), sharing a Same Incident ID across different Report IDs.</w:t>
      </w:r>
    </w:p>
    <w:p>
      <w:pPr>
        <w:spacing w:after="0" w:before="80"/>
      </w:pPr>
      <w:r>
        <w:t xml:space="preserve"/>
      </w:r>
    </w:p>
    <w:p>
      <w:pPr>
        <w:spacing w:after="80" w:before="80"/>
      </w:pPr>
      <w:r>
        <w:rPr>
          <w:rFonts w:ascii="Arial" w:cs="Arial" w:eastAsia="Arial" w:hAnsi="Arial"/>
          <w:sz w:val="22"/>
          <w:szCs w:val="22"/>
        </w:rPr>
        <w:t xml:space="preserve">We handled these in two steps:</w:t>
      </w:r>
    </w:p>
    <w:p>
      <w:pPr>
        <w:pStyle w:val="ListParagraph"/>
        <w:numPr>
          <w:ilvl w:val="0"/>
          <w:numId w:val="2"/>
        </w:numPr>
        <w:spacing w:after="60" w:before="60"/>
      </w:pPr>
      <w:r>
        <w:rPr>
          <w:rFonts w:ascii="Arial" w:cs="Arial" w:eastAsia="Arial" w:hAnsi="Arial"/>
          <w:sz w:val="22"/>
          <w:szCs w:val="22"/>
        </w:rPr>
        <w:t xml:space="preserve">Step 1 — keep only the latest Report Version per Report ID. Removed 1,819 older versions (7,784 → 5,965 rows).</w:t>
      </w:r>
    </w:p>
    <w:p>
      <w:pPr>
        <w:pStyle w:val="ListParagraph"/>
        <w:numPr>
          <w:ilvl w:val="0"/>
          <w:numId w:val="2"/>
        </w:numPr>
        <w:spacing w:after="60" w:before="60"/>
      </w:pPr>
      <w:r>
        <w:rPr>
          <w:rFonts w:ascii="Arial" w:cs="Arial" w:eastAsia="Arial" w:hAnsi="Arial"/>
          <w:sz w:val="22"/>
          <w:szCs w:val="22"/>
        </w:rPr>
        <w:t xml:space="preserve">Step 2 — aggregate rows sharing a Same Incident ID into one row, using MAX for numerics and first-non-null for categoricals. Removed 389 duplicates (5,965 → 5,576 unique incidents).</w:t>
      </w:r>
    </w:p>
    <w:p>
      <w:pPr>
        <w:spacing w:after="0" w:before="200"/>
      </w:pPr>
      <w:r>
        <w:t xml:space="preserve"/>
      </w:r>
    </w:p>
    <w:p>
      <w:pPr>
        <w:pStyle w:val="Heading1"/>
        <w:spacing w:after="160" w:before="320"/>
      </w:pPr>
      <w:r>
        <w:rPr>
          <w:rFonts w:ascii="Arial" w:cs="Arial" w:eastAsia="Arial" w:hAnsi="Arial"/>
          <w:b/>
          <w:bCs/>
          <w:color w:val="1F3864"/>
          <w:sz w:val="28"/>
          <w:szCs w:val="28"/>
        </w:rPr>
        <w:t xml:space="preserve">4. Severity Label Decision</w:t>
      </w:r>
    </w:p>
    <w:p>
      <w:pPr>
        <w:pStyle w:val="Heading2"/>
        <w:spacing w:after="120" w:before="240"/>
      </w:pPr>
      <w:r>
        <w:rPr>
          <w:rFonts w:ascii="Arial" w:cs="Arial" w:eastAsia="Arial" w:hAnsi="Arial"/>
          <w:b/>
          <w:bCs/>
          <w:color w:val="2E5E9E"/>
          <w:sz w:val="24"/>
          <w:szCs w:val="24"/>
        </w:rPr>
        <w:t xml:space="preserve">4a. The options we considered</w:t>
      </w:r>
    </w:p>
    <w:p>
      <w:pPr>
        <w:spacing w:after="80" w:before="80"/>
      </w:pPr>
      <w:r>
        <w:rPr>
          <w:rFonts w:ascii="Arial" w:cs="Arial" w:eastAsia="Arial" w:hAnsi="Arial"/>
          <w:sz w:val="22"/>
          <w:szCs w:val="22"/>
        </w:rPr>
        <w:t xml:space="preserve">The proposal defined severity using three components: injury status, airbag deployment, and towing. We evaluated four ways to combine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Rule</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Definition</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Tradeoff</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Liberal OR (initial)</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injury ≥ Minor OR airbag OR towed</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Noisy: minor injury = bruise</w:t>
            </w:r>
          </w:p>
        </w:tc>
      </w:tr>
      <w:tr>
        <w:trPr>
          <w:tblHeader w:val="false"/>
        </w:trP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Stricter OR (chosen)</w:t>
            </w:r>
          </w:p>
        </w:tc>
        <w:tc>
          <w:tcPr>
            <w:tcW w:type="dxa" w:w="3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injury ≥ Moderate OR airbag OR towed</w:t>
            </w:r>
          </w:p>
        </w:tc>
        <w:tc>
          <w:tcPr>
            <w:tcW w:type="dxa" w:w="2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Tighter positive class, cleaner justification</w:t>
            </w:r>
          </w:p>
        </w:tc>
      </w:tr>
      <w:tr>
        <w:trPr>
          <w:tblHeader w:val="false"/>
        </w:trP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AND rule (2+ components)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at least 2 of 3 must fire</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Very small positive class</w:t>
            </w:r>
          </w:p>
        </w:tc>
      </w:tr>
      <w:tr>
        <w:trPr>
          <w:tblHeader w:val="false"/>
        </w:trPr>
        <w:tc>
          <w:tcPr>
            <w:tcW w:type="dxa" w:w="3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Injury-only</w:t>
            </w:r>
          </w:p>
        </w:tc>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injury ≥ Moderate only</w:t>
            </w:r>
          </w:p>
        </w:tc>
        <w:tc>
          <w:tcPr>
            <w:tcW w:type="dxa" w:w="2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Loses airbag/tow signal; more missing data</w:t>
            </w:r>
          </w:p>
        </w:tc>
      </w:tr>
    </w:tbl>
    <w:p>
      <w:pPr>
        <w:spacing w:after="0" w:before="120"/>
      </w:pPr>
      <w:r>
        <w:t xml:space="preserve"/>
      </w:r>
    </w:p>
    <w:p>
      <w:pPr>
        <w:pStyle w:val="Heading2"/>
        <w:spacing w:after="120" w:before="240"/>
      </w:pPr>
      <w:r>
        <w:rPr>
          <w:rFonts w:ascii="Arial" w:cs="Arial" w:eastAsia="Arial" w:hAnsi="Arial"/>
          <w:b/>
          <w:bCs/>
          <w:color w:val="2E5E9E"/>
          <w:sz w:val="24"/>
          <w:szCs w:val="24"/>
        </w:rPr>
        <w:t xml:space="preserve">4b. Why we chose the Stricter OR rule</w:t>
      </w:r>
    </w:p>
    <w:p>
      <w:pPr>
        <w:spacing w:after="80" w:before="80"/>
      </w:pPr>
      <w:r>
        <w:rPr>
          <w:rFonts w:ascii="Arial" w:cs="Arial" w:eastAsia="Arial" w:hAnsi="Arial"/>
          <w:sz w:val="22"/>
          <w:szCs w:val="22"/>
        </w:rPr>
        <w:t xml:space="preserve">We rejected the liberal OR rule because “Minor” injuries in NHTSA data are self-reported and can mean soreness or stiffness — not a threshold that signals a crash requiring safety-engineering attention. The stricter rule keeps:</w:t>
      </w:r>
    </w:p>
    <w:p>
      <w:pPr>
        <w:pStyle w:val="ListParagraph"/>
        <w:numPr>
          <w:ilvl w:val="0"/>
          <w:numId w:val="2"/>
        </w:numPr>
        <w:spacing w:after="60" w:before="60"/>
      </w:pPr>
      <w:r>
        <w:rPr>
          <w:rFonts w:ascii="Arial" w:cs="Arial" w:eastAsia="Arial" w:hAnsi="Arial"/>
          <w:sz w:val="22"/>
          <w:szCs w:val="22"/>
        </w:rPr>
        <w:t xml:space="preserve">Airbag deployment: an objective, sensor-triggered threshold. The vehicle’s own safety system judged the impact severe enough to fire.</w:t>
      </w:r>
    </w:p>
    <w:p>
      <w:pPr>
        <w:pStyle w:val="ListParagraph"/>
        <w:numPr>
          <w:ilvl w:val="0"/>
          <w:numId w:val="2"/>
        </w:numPr>
        <w:spacing w:after="60" w:before="60"/>
      </w:pPr>
      <w:r>
        <w:rPr>
          <w:rFonts w:ascii="Arial" w:cs="Arial" w:eastAsia="Arial" w:hAnsi="Arial"/>
          <w:sz w:val="22"/>
          <w:szCs w:val="22"/>
        </w:rPr>
        <w:t xml:space="preserve">Towing: the vehicle was incapacitated and could not continue under its own power.</w:t>
      </w:r>
    </w:p>
    <w:p>
      <w:pPr>
        <w:pStyle w:val="ListParagraph"/>
        <w:numPr>
          <w:ilvl w:val="0"/>
          <w:numId w:val="2"/>
        </w:numPr>
        <w:spacing w:after="60" w:before="60"/>
      </w:pPr>
      <w:r>
        <w:rPr>
          <w:rFonts w:ascii="Arial" w:cs="Arial" w:eastAsia="Arial" w:hAnsi="Arial"/>
          <w:sz w:val="22"/>
          <w:szCs w:val="22"/>
        </w:rPr>
        <w:t xml:space="preserve">Injury ≥ Moderate: the occupant required medical treatment beyond first aid.</w:t>
      </w:r>
    </w:p>
    <w:p>
      <w:pPr>
        <w:pBdr>
          <w:left w:val="thick" w:color="2E5E9E" w:sz="12"/>
        </w:pBdr>
        <w:spacing w:after="140" w:before="140"/>
        <w:ind w:left="360"/>
      </w:pPr>
      <w:r>
        <w:rPr>
          <w:rFonts w:ascii="Arial" w:cs="Arial" w:eastAsia="Arial" w:hAnsi="Arial"/>
          <w:i/>
          <w:iCs/>
          <w:sz w:val="22"/>
          <w:szCs w:val="22"/>
        </w:rPr>
        <w:t xml:space="preserve">Justification for graders (Feedback Point #1): each component independently signals that the crash crossed a threshold requiring emergency or medical response. The OR rule is used — rather than AND — because severity-field missingness is high; requiring two signals would discard incidents where one field was left blank despite the crash being genuinely severe.</w:t>
      </w:r>
    </w:p>
    <w:p>
      <w:pPr>
        <w:spacing w:after="0" w:before="80"/>
      </w:pPr>
      <w:r>
        <w:t xml:space="preserve"/>
      </w:r>
    </w:p>
    <w:p>
      <w:pPr>
        <w:spacing w:after="80" w:before="80"/>
      </w:pPr>
      <w:r>
        <w:rPr>
          <w:rFonts w:ascii="Arial" w:cs="Arial" w:eastAsia="Arial" w:hAnsi="Arial"/>
          <w:sz w:val="22"/>
          <w:szCs w:val="22"/>
        </w:rPr>
        <w:t xml:space="preserve">Practical impact of switching from liberal to stricter: only 75 fewer incidents in the positive class (3,103 → 3,028). This confirmed the change was correct — very few rows were “severe” only because of a minor injury with no other signal.</w:t>
      </w:r>
    </w:p>
    <w:p>
      <w:pPr>
        <w:spacing w:after="0" w:before="200"/>
      </w:pPr>
      <w:r>
        <w:t xml:space="preserve"/>
      </w:r>
    </w:p>
    <w:p>
      <w:pPr>
        <w:pStyle w:val="Heading1"/>
        <w:spacing w:after="160" w:before="320"/>
      </w:pPr>
      <w:r>
        <w:rPr>
          <w:rFonts w:ascii="Arial" w:cs="Arial" w:eastAsia="Arial" w:hAnsi="Arial"/>
          <w:b/>
          <w:bCs/>
          <w:color w:val="1F3864"/>
          <w:sz w:val="28"/>
          <w:szCs w:val="28"/>
        </w:rPr>
        <w:t xml:space="preserve">5. The Critical Schema Bug — Worth Covering in the Presentation</w:t>
      </w:r>
    </w:p>
    <w:p>
      <w:pPr>
        <w:spacing w:after="80" w:before="80"/>
      </w:pPr>
      <w:r>
        <w:rPr>
          <w:rFonts w:ascii="Arial" w:cs="Arial" w:eastAsia="Arial" w:hAnsi="Arial"/>
          <w:sz w:val="22"/>
          <w:szCs w:val="22"/>
        </w:rPr>
        <w:t xml:space="preserve">This is the most important data-quality finding of the entire pipeline and directly addresses the graders’ Feedback Point #3 (reporting bias).</w:t>
      </w:r>
    </w:p>
    <w:p>
      <w:pPr>
        <w:pStyle w:val="Heading2"/>
        <w:spacing w:after="120" w:before="240"/>
      </w:pPr>
      <w:r>
        <w:rPr>
          <w:rFonts w:ascii="Arial" w:cs="Arial" w:eastAsia="Arial" w:hAnsi="Arial"/>
          <w:b/>
          <w:bCs/>
          <w:color w:val="2E5E9E"/>
          <w:sz w:val="24"/>
          <w:szCs w:val="24"/>
        </w:rPr>
        <w:t xml:space="preserve">5a. What we initially observed</w:t>
      </w:r>
    </w:p>
    <w:p>
      <w:pPr>
        <w:spacing w:after="80" w:before="80"/>
      </w:pPr>
      <w:r>
        <w:rPr>
          <w:rFonts w:ascii="Arial" w:cs="Arial" w:eastAsia="Arial" w:hAnsi="Arial"/>
          <w:sz w:val="22"/>
          <w:szCs w:val="22"/>
        </w:rPr>
        <w:t xml:space="preserve">After filtering to severity_known = 1 (rows where at least one severity component was observed), the current-era data appeared to have almost no usable rows: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30"/>
        <w:gridCol w:w="243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Era</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Total rows</w:t>
            </w:r>
          </w:p>
        </w:tc>
        <w:tc>
          <w:tcPr>
            <w:tcW w:type="dxa" w:w="243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severity_known = 1</w:t>
            </w:r>
          </w:p>
        </w:tc>
        <w:tc>
          <w:tcPr>
            <w:tcW w:type="dxa" w:w="243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 severe among known</w:t>
            </w:r>
          </w:p>
        </w:tc>
      </w:tr>
      <w:tr>
        <w:trPr>
          <w:tblHeader w:val="false"/>
        </w:trP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Archived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4,187</w:t>
            </w:r>
          </w:p>
        </w:tc>
        <w:tc>
          <w:tcPr>
            <w:tcW w:type="dxa" w:w="243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4,182</w:t>
            </w:r>
          </w:p>
        </w:tc>
        <w:tc>
          <w:tcPr>
            <w:tcW w:type="dxa" w:w="243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72.1%</w:t>
            </w:r>
          </w:p>
        </w:tc>
      </w:tr>
      <w:tr>
        <w:trPr>
          <w:tblHeader w:val="false"/>
        </w:trPr>
        <w:tc>
          <w:tcPr>
            <w:tcW w:type="dxa" w:w="250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Current (initial, buggy)</w:t>
            </w:r>
          </w:p>
        </w:tc>
        <w:tc>
          <w:tcPr>
            <w:tcW w:type="dxa" w:w="200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1,389</w:t>
            </w:r>
          </w:p>
        </w:tc>
        <w:tc>
          <w:tcPr>
            <w:tcW w:type="dxa" w:w="243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14</w:t>
            </w:r>
          </w:p>
        </w:tc>
        <w:tc>
          <w:tcPr>
            <w:tcW w:type="dxa" w:w="243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100%</w:t>
            </w:r>
          </w:p>
        </w:tc>
      </w:tr>
    </w:tbl>
    <w:p>
      <w:pPr>
        <w:spacing w:after="0" w:before="100"/>
      </w:pPr>
      <w:r>
        <w:t xml:space="preserve"/>
      </w:r>
    </w:p>
    <w:p>
      <w:pPr>
        <w:spacing w:after="80" w:before="80"/>
      </w:pPr>
      <w:r>
        <w:rPr>
          <w:rFonts w:ascii="Arial" w:cs="Arial" w:eastAsia="Arial" w:hAnsi="Arial"/>
          <w:sz w:val="22"/>
          <w:szCs w:val="22"/>
        </w:rPr>
        <w:t xml:space="preserve">This made the temporal split (train on archived, test on current) impossible — a 14-row test set is not evaluable. The initial assumption was that current-era reporters left severity fields blank for minor crashes, consistent with the lower reporting threshold under the new SGO rules.</w:t>
      </w:r>
    </w:p>
    <w:p>
      <w:pPr>
        <w:pStyle w:val="Heading2"/>
        <w:spacing w:after="120" w:before="240"/>
      </w:pPr>
      <w:r>
        <w:rPr>
          <w:rFonts w:ascii="Arial" w:cs="Arial" w:eastAsia="Arial" w:hAnsi="Arial"/>
          <w:b/>
          <w:bCs/>
          <w:color w:val="2E5E9E"/>
          <w:sz w:val="24"/>
          <w:szCs w:val="24"/>
        </w:rPr>
        <w:t xml:space="preserve">5b. The actual cause: different value encodings</w:t>
      </w:r>
    </w:p>
    <w:p>
      <w:pPr>
        <w:spacing w:after="80" w:before="80"/>
      </w:pPr>
      <w:r>
        <w:rPr>
          <w:rFonts w:ascii="Arial" w:cs="Arial" w:eastAsia="Arial" w:hAnsi="Arial"/>
          <w:sz w:val="22"/>
          <w:szCs w:val="22"/>
        </w:rPr>
        <w:t xml:space="preserve">On closer inspection, the current-era files encode severity fields with verbose strings that our parser wasn’t recognizing: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Field</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Archived format</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Current-era format (unrecognized by parser)</w:t>
            </w:r>
          </w:p>
        </w:tc>
      </w:tr>
      <w:tr>
        <w:trPr>
          <w:tblHeader w:val="false"/>
        </w:trP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Airbag</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"Yes" / "No"</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"Yes Subject Vehicle, No Crash Partner"</w:t>
            </w:r>
          </w:p>
        </w:tc>
      </w:tr>
      <w:tr>
        <w:trPr>
          <w:tblHeader w:val="false"/>
        </w:trPr>
        <w:tc>
          <w:tcPr>
            <w:tcW w:type="dxa" w:w="20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Towing</w:t>
            </w:r>
          </w:p>
        </w:tc>
        <w:tc>
          <w:tcPr>
            <w:tcW w:type="dxa" w:w="36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"Yes" / "No"</w:t>
            </w:r>
          </w:p>
        </w:tc>
        <w:tc>
          <w:tcPr>
            <w:tcW w:type="dxa" w:w="3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"Yes Subject Vehicle, Unknown Crash Partner"</w:t>
            </w:r>
          </w:p>
        </w:tc>
      </w:tr>
      <w:tr>
        <w:trPr>
          <w:tblHeader w:val="false"/>
        </w:trP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Injury</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"Minor" / "Moderate"</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"Minor W/ Hospitalization" / "Moderate W/O Hospitalization"</w:t>
            </w:r>
          </w:p>
        </w:tc>
      </w:tr>
    </w:tbl>
    <w:p>
      <w:pPr>
        <w:spacing w:after="0" w:before="100"/>
      </w:pPr>
      <w:r>
        <w:t xml:space="preserve"/>
      </w:r>
    </w:p>
    <w:p>
      <w:pPr>
        <w:pBdr>
          <w:left w:val="thick" w:color="27AE60" w:sz="12"/>
        </w:pBdr>
        <w:spacing w:after="140" w:before="140"/>
        <w:ind w:left="360"/>
      </w:pPr>
      <w:r>
        <w:rPr>
          <w:rFonts w:ascii="Arial" w:cs="Arial" w:eastAsia="Arial" w:hAnsi="Arial"/>
          <w:i/>
          <w:iCs/>
          <w:sz w:val="22"/>
          <w:szCs w:val="22"/>
        </w:rPr>
        <w:t xml:space="preserve">Fix: updated the parser to detect “yes subject vehicle” anywhere in the string for airbag/towing, and added all verbose injury variants to the rank lookup. Result: 4,196 → 5,567 rows with observed severity data. Only 9 incidents (0.2%) truly have no severity information.</w:t>
      </w:r>
    </w:p>
    <w:p>
      <w:pPr>
        <w:pStyle w:val="Heading2"/>
        <w:spacing w:after="120" w:before="240"/>
      </w:pPr>
      <w:r>
        <w:rPr>
          <w:rFonts w:ascii="Arial" w:cs="Arial" w:eastAsia="Arial" w:hAnsi="Arial"/>
          <w:b/>
          <w:bCs/>
          <w:color w:val="2E5E9E"/>
          <w:sz w:val="24"/>
          <w:szCs w:val="24"/>
        </w:rPr>
        <w:t xml:space="preserve">5c. What the corrected data revealed</w:t>
      </w:r>
    </w:p>
    <w:p>
      <w:pPr>
        <w:spacing w:after="80" w:before="80"/>
      </w:pPr>
      <w:r>
        <w:rPr>
          <w:rFonts w:ascii="Arial" w:cs="Arial" w:eastAsia="Arial" w:hAnsi="Arial"/>
          <w:sz w:val="22"/>
          <w:szCs w:val="22"/>
        </w:rPr>
        <w:t xml:space="preserve">After the fix, the severity distribution by era and automation level tells a much more nuanced 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Segment</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Known rows</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Severe</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Non-severe</w:t>
            </w:r>
          </w:p>
        </w:tc>
        <w:tc>
          <w:tcPr>
            <w:tcW w:type="dxa" w:w="1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 Severe</w:t>
            </w:r>
          </w:p>
        </w:tc>
      </w:tr>
      <w:tr>
        <w:trPr>
          <w:tblHeader w:val="false"/>
        </w:trP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Archived — ADS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1,519</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395</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1,124</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26%</w:t>
            </w:r>
          </w:p>
        </w:tc>
      </w:tr>
      <w:tr>
        <w:trPr>
          <w:tblHeader w:val="false"/>
        </w:trPr>
        <w:tc>
          <w:tcPr>
            <w:tcW w:type="dxa" w:w="25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Archived — L2</w:t>
            </w:r>
          </w:p>
        </w:tc>
        <w:tc>
          <w:tcPr>
            <w:tcW w:type="dxa" w:w="17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2,663</w:t>
            </w:r>
          </w:p>
        </w:tc>
        <w:tc>
          <w:tcPr>
            <w:tcW w:type="dxa" w:w="17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2,619</w:t>
            </w:r>
          </w:p>
        </w:tc>
        <w:tc>
          <w:tcPr>
            <w:tcW w:type="dxa" w:w="17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44</w:t>
            </w:r>
          </w:p>
        </w:tc>
        <w:tc>
          <w:tcPr>
            <w:tcW w:type="dxa" w:w="1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98%</w:t>
            </w:r>
          </w:p>
        </w:tc>
      </w:tr>
      <w:tr>
        <w:trPr>
          <w:tblHeader w:val="false"/>
        </w:trP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Current — ADS</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597</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283</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314</w:t>
            </w:r>
          </w:p>
        </w:tc>
        <w:tc>
          <w:tcPr>
            <w:tcW w:type="dxa" w:w="1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47%</w:t>
            </w:r>
          </w:p>
        </w:tc>
      </w:tr>
      <w:tr>
        <w:trPr>
          <w:tblHeader w:val="false"/>
        </w:trPr>
        <w:tc>
          <w:tcPr>
            <w:tcW w:type="dxa" w:w="25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Current — L2</w:t>
            </w:r>
          </w:p>
        </w:tc>
        <w:tc>
          <w:tcPr>
            <w:tcW w:type="dxa" w:w="17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788</w:t>
            </w:r>
          </w:p>
        </w:tc>
        <w:tc>
          <w:tcPr>
            <w:tcW w:type="dxa" w:w="17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766</w:t>
            </w:r>
          </w:p>
        </w:tc>
        <w:tc>
          <w:tcPr>
            <w:tcW w:type="dxa" w:w="17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22</w:t>
            </w:r>
          </w:p>
        </w:tc>
        <w:tc>
          <w:tcPr>
            <w:tcW w:type="dxa" w:w="176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97%</w:t>
            </w:r>
          </w:p>
        </w:tc>
      </w:tr>
    </w:tbl>
    <w:p>
      <w:pPr>
        <w:spacing w:after="0" w:before="100"/>
      </w:pPr>
      <w:r>
        <w:t xml:space="preserve"/>
      </w:r>
    </w:p>
    <w:p>
      <w:pPr>
        <w:spacing w:after="80" w:before="80"/>
      </w:pPr>
      <w:r>
        <w:rPr>
          <w:rFonts w:ascii="Arial" w:cs="Arial" w:eastAsia="Arial" w:hAnsi="Arial"/>
          <w:sz w:val="22"/>
          <w:szCs w:val="22"/>
        </w:rPr>
        <w:t xml:space="preserve">Key insight: L2 crashes are severe at ~97–98% regardless of era — Level 2 systems are still human-supervised and tend to involve airbag-triggering impacts when they fail. ADS crashes are less severe (26–47%) reflecting true system-level differences in crash dynamics, not just reporting thresholds. The temporal split is now viable with 597 and 788 current-era rows.</w:t>
      </w:r>
    </w:p>
    <w:p>
      <w:pPr>
        <w:spacing w:after="0" w:before="200"/>
      </w:pPr>
      <w:r>
        <w:t xml:space="preserve"/>
      </w:r>
    </w:p>
    <w:p>
      <w:pPr>
        <w:pStyle w:val="Heading1"/>
        <w:spacing w:after="160" w:before="320"/>
      </w:pPr>
      <w:r>
        <w:rPr>
          <w:rFonts w:ascii="Arial" w:cs="Arial" w:eastAsia="Arial" w:hAnsi="Arial"/>
          <w:b/>
          <w:bCs/>
          <w:color w:val="1F3864"/>
          <w:sz w:val="28"/>
          <w:szCs w:val="28"/>
        </w:rPr>
        <w:t xml:space="preserve">6. Train / Test Split Strategy</w:t>
      </w:r>
    </w:p>
    <w:p>
      <w:pPr>
        <w:spacing w:after="80" w:before="80"/>
      </w:pPr>
      <w:r>
        <w:rPr>
          <w:rFonts w:ascii="Arial" w:cs="Arial" w:eastAsia="Arial" w:hAnsi="Arial"/>
          <w:sz w:val="22"/>
          <w:szCs w:val="22"/>
        </w:rPr>
        <w:t xml:space="preserve">Grader Feedback Point #2 recommended a temporal split to simulate real deployment. After the schema bug fix, this is now feasible. The split is:</w:t>
      </w:r>
    </w:p>
    <w:p>
      <w:pPr>
        <w:pStyle w:val="ListParagraph"/>
        <w:numPr>
          <w:ilvl w:val="0"/>
          <w:numId w:val="2"/>
        </w:numPr>
        <w:spacing w:after="60" w:before="60"/>
      </w:pPr>
      <w:r>
        <w:rPr>
          <w:rFonts w:ascii="Arial" w:cs="Arial" w:eastAsia="Arial" w:hAnsi="Arial"/>
          <w:sz w:val="22"/>
          <w:szCs w:val="22"/>
        </w:rPr>
        <w:t xml:space="preserve">Train set: all archived-era rows (severity_known = 1) — 4,182 incidents</w:t>
      </w:r>
    </w:p>
    <w:p>
      <w:pPr>
        <w:pStyle w:val="ListParagraph"/>
        <w:numPr>
          <w:ilvl w:val="0"/>
          <w:numId w:val="2"/>
        </w:numPr>
        <w:spacing w:after="60" w:before="60"/>
      </w:pPr>
      <w:r>
        <w:rPr>
          <w:rFonts w:ascii="Arial" w:cs="Arial" w:eastAsia="Arial" w:hAnsi="Arial"/>
          <w:sz w:val="22"/>
          <w:szCs w:val="22"/>
        </w:rPr>
        <w:t xml:space="preserve">Test set: all current-era rows (severity_known = 1) — 1,385 incidents</w:t>
      </w:r>
    </w:p>
    <w:p>
      <w:pPr>
        <w:spacing w:after="0" w:before="80"/>
      </w:pPr>
      <w:r>
        <w:t xml:space="preserve"/>
      </w:r>
    </w:p>
    <w:p>
      <w:pPr>
        <w:pBdr>
          <w:left w:val="thick" w:color="2E5E9E" w:sz="12"/>
        </w:pBdr>
        <w:spacing w:after="140" w:before="140"/>
        <w:ind w:left="360"/>
      </w:pPr>
      <w:r>
        <w:rPr>
          <w:rFonts w:ascii="Arial" w:cs="Arial" w:eastAsia="Arial" w:hAnsi="Arial"/>
          <w:i/>
          <w:iCs/>
          <w:sz w:val="22"/>
          <w:szCs w:val="22"/>
        </w:rPr>
        <w:t xml:space="preserve">Rationale: training on older data and testing on newer data simulates the deployment scenario — a model trained on historical crash patterns being applied to predict severity for new incidents filed under the updated reporting regime. This is more conservative and realistic than a random split, and directly addresses the graders’ concern about policy-deployment validity.</w:t>
      </w:r>
    </w:p>
    <w:p>
      <w:pPr>
        <w:spacing w:after="0" w:before="80"/>
      </w:pPr>
      <w:r>
        <w:t xml:space="preserve"/>
      </w:r>
    </w:p>
    <w:p>
      <w:pPr>
        <w:spacing w:after="80" w:before="80"/>
      </w:pPr>
      <w:r>
        <w:rPr>
          <w:rFonts w:ascii="Arial" w:cs="Arial" w:eastAsia="Arial" w:hAnsi="Arial"/>
          <w:sz w:val="22"/>
          <w:szCs w:val="22"/>
        </w:rPr>
        <w:t xml:space="preserve">The era and automation_level columns are included as features in all models, so each model is explicitly told which reporting regime a crash belongs to rather than trying to hide that information.</w:t>
      </w:r>
    </w:p>
    <w:p>
      <w:pPr>
        <w:spacing w:after="0" w:before="200"/>
      </w:pPr>
      <w:r>
        <w:t xml:space="preserve"/>
      </w:r>
    </w:p>
    <w:p>
      <w:pPr>
        <w:pStyle w:val="Heading1"/>
        <w:spacing w:after="160" w:before="320"/>
      </w:pPr>
      <w:r>
        <w:rPr>
          <w:rFonts w:ascii="Arial" w:cs="Arial" w:eastAsia="Arial" w:hAnsi="Arial"/>
          <w:b/>
          <w:bCs/>
          <w:color w:val="1F3864"/>
          <w:sz w:val="28"/>
          <w:szCs w:val="28"/>
        </w:rPr>
        <w:t xml:space="preserve">7. Missing Value Handling</w:t>
      </w:r>
    </w:p>
    <w:p>
      <w:pPr>
        <w:spacing w:after="80" w:before="80"/>
      </w:pPr>
      <w:r>
        <w:rPr>
          <w:rFonts w:ascii="Arial" w:cs="Arial" w:eastAsia="Arial" w:hAnsi="Arial"/>
          <w:sz w:val="22"/>
          <w:szCs w:val="22"/>
        </w:rPr>
        <w:t xml:space="preserve">We used a flag-and-impute strategy rather than dropping rows:</w:t>
      </w:r>
    </w:p>
    <w:p>
      <w:pPr>
        <w:pStyle w:val="ListParagraph"/>
        <w:numPr>
          <w:ilvl w:val="0"/>
          <w:numId w:val="2"/>
        </w:numPr>
        <w:spacing w:after="60" w:before="60"/>
      </w:pPr>
      <w:r>
        <w:rPr>
          <w:rFonts w:ascii="Arial" w:cs="Arial" w:eastAsia="Arial" w:hAnsi="Arial"/>
          <w:sz w:val="22"/>
          <w:szCs w:val="22"/>
        </w:rPr>
        <w:t xml:space="preserve">For every feature column with any missingness, added a companion {column}__is_missing binary column (1 = was missing, 0 = was observed). Missingness in crash reports is often meaningful — e.g., a blank Roadway Type may indicate a non-standard location.</w:t>
      </w:r>
    </w:p>
    <w:p>
      <w:pPr>
        <w:pStyle w:val="ListParagraph"/>
        <w:numPr>
          <w:ilvl w:val="0"/>
          <w:numId w:val="2"/>
        </w:numPr>
        <w:spacing w:after="60" w:before="60"/>
      </w:pPr>
      <w:r>
        <w:rPr>
          <w:rFonts w:ascii="Arial" w:cs="Arial" w:eastAsia="Arial" w:hAnsi="Arial"/>
          <w:sz w:val="22"/>
          <w:szCs w:val="22"/>
        </w:rPr>
        <w:t xml:space="preserve">Numeric features: filled remaining NaN with column median.</w:t>
      </w:r>
    </w:p>
    <w:p>
      <w:pPr>
        <w:pStyle w:val="ListParagraph"/>
        <w:numPr>
          <w:ilvl w:val="0"/>
          <w:numId w:val="2"/>
        </w:numPr>
        <w:spacing w:after="60" w:before="60"/>
      </w:pPr>
      <w:r>
        <w:rPr>
          <w:rFonts w:ascii="Arial" w:cs="Arial" w:eastAsia="Arial" w:hAnsi="Arial"/>
          <w:sz w:val="22"/>
          <w:szCs w:val="22"/>
        </w:rPr>
        <w:t xml:space="preserve">Categorical features: filled remaining NaN with the string “Unknown”.</w:t>
      </w:r>
    </w:p>
    <w:p>
      <w:pPr>
        <w:pStyle w:val="ListParagraph"/>
        <w:numPr>
          <w:ilvl w:val="0"/>
          <w:numId w:val="2"/>
        </w:numPr>
        <w:spacing w:after="60" w:before="60"/>
      </w:pPr>
      <w:r>
        <w:rPr>
          <w:rFonts w:ascii="Arial" w:cs="Arial" w:eastAsia="Arial" w:hAnsi="Arial"/>
          <w:sz w:val="22"/>
          <w:szCs w:val="22"/>
        </w:rPr>
        <w:t xml:space="preserve">Severity components (injury_flag, airbag_flag, towed_flag): intentionally left un-imputed. They are label inputs, not features, and imputing them would corrupt the ground truth.</w:t>
      </w:r>
    </w:p>
    <w:p>
      <w:pPr>
        <w:spacing w:after="0" w:before="80"/>
      </w:pPr>
      <w:r>
        <w:t xml:space="preserve"/>
      </w:r>
    </w:p>
    <w:p>
      <w:pPr>
        <w:spacing w:after="80" w:before="80"/>
      </w:pPr>
      <w:r>
        <w:rPr>
          <w:rFonts w:ascii="Arial" w:cs="Arial" w:eastAsia="Arial" w:hAnsi="Arial"/>
          <w:sz w:val="22"/>
          <w:szCs w:val="22"/>
        </w:rPr>
        <w:t xml:space="preserve">89 missingness indicator columns were added. 6 numeric and 83 categorical feature columns were imputed.</w:t>
      </w:r>
    </w:p>
    <w:p>
      <w:pPr>
        <w:spacing w:after="0" w:before="200"/>
      </w:pPr>
      <w:r>
        <w:t xml:space="preserve"/>
      </w:r>
    </w:p>
    <w:p>
      <w:pPr>
        <w:pStyle w:val="Heading1"/>
        <w:spacing w:after="160" w:before="320"/>
      </w:pPr>
      <w:r>
        <w:rPr>
          <w:rFonts w:ascii="Arial" w:cs="Arial" w:eastAsia="Arial" w:hAnsi="Arial"/>
          <w:b/>
          <w:bCs/>
          <w:color w:val="1F3864"/>
          <w:sz w:val="28"/>
          <w:szCs w:val="28"/>
        </w:rPr>
        <w:t xml:space="preserve">8. Baseline Modeling Results</w:t>
      </w:r>
    </w:p>
    <w:p>
      <w:pPr>
        <w:spacing w:after="80" w:before="80"/>
      </w:pPr>
      <w:r>
        <w:rPr>
          <w:rFonts w:ascii="Arial" w:cs="Arial" w:eastAsia="Arial" w:hAnsi="Arial"/>
          <w:sz w:val="22"/>
          <w:szCs w:val="22"/>
        </w:rPr>
        <w:t xml:space="preserve">Two baselines were established before any advanced modeling: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1560"/>
        <w:gridCol w:w="18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Model</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Precision</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Recall</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F1</w:t>
            </w:r>
          </w:p>
        </w:tc>
        <w:tc>
          <w:tcPr>
            <w:tcW w:type="dxa" w:w="18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ROC-AUC</w:t>
            </w:r>
          </w:p>
        </w:tc>
      </w:tr>
      <w:tr>
        <w:trPr>
          <w:tblHeader w:val="false"/>
        </w:trP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Majority-class (always → severe)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0.721</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1.000</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0.838</w:t>
            </w:r>
          </w:p>
        </w:tc>
        <w:tc>
          <w:tcPr>
            <w:tcW w:type="dxa" w:w="1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N/A</w:t>
            </w:r>
          </w:p>
        </w:tc>
      </w:tr>
      <w:tr>
        <w:trPr>
          <w:tblHeader w:val="false"/>
        </w:trPr>
        <w:tc>
          <w:tcPr>
            <w:tcW w:type="dxa" w:w="2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Logistic Regression (balanced)</w:t>
            </w:r>
          </w:p>
        </w:tc>
        <w:tc>
          <w:tcPr>
            <w:tcW w:type="dxa" w:w="15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0.983</w:t>
            </w:r>
          </w:p>
        </w:tc>
        <w:tc>
          <w:tcPr>
            <w:tcW w:type="dxa" w:w="15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0.861</w:t>
            </w:r>
          </w:p>
        </w:tc>
        <w:tc>
          <w:tcPr>
            <w:tcW w:type="dxa" w:w="15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0.918</w:t>
            </w:r>
          </w:p>
        </w:tc>
        <w:tc>
          <w:tcPr>
            <w:tcW w:type="dxa" w:w="18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0.941</w:t>
            </w:r>
          </w:p>
        </w:tc>
      </w:tr>
    </w:tbl>
    <w:p>
      <w:pPr>
        <w:spacing w:after="0" w:before="100"/>
      </w:pPr>
      <w:r>
        <w:t xml:space="preserve"/>
      </w:r>
    </w:p>
    <w:p>
      <w:pPr>
        <w:spacing w:after="80" w:before="80"/>
      </w:pPr>
      <w:r>
        <w:rPr>
          <w:rFonts w:ascii="Arial" w:cs="Arial" w:eastAsia="Arial" w:hAnsi="Arial"/>
          <w:sz w:val="22"/>
          <w:szCs w:val="22"/>
        </w:rPr>
        <w:t xml:space="preserve">Note: these results were produced on a stratified random split (before the schema bug was fixed and temporal split became viable). They will be re-run on the corrected data with the proper temporal split.</w:t>
      </w:r>
    </w:p>
    <w:p>
      <w:pPr>
        <w:pStyle w:val="Heading2"/>
        <w:spacing w:after="120" w:before="240"/>
      </w:pPr>
      <w:r>
        <w:rPr>
          <w:rFonts w:ascii="Arial" w:cs="Arial" w:eastAsia="Arial" w:hAnsi="Arial"/>
          <w:b/>
          <w:bCs/>
          <w:color w:val="2E5E9E"/>
          <w:sz w:val="24"/>
          <w:szCs w:val="24"/>
        </w:rPr>
        <w:t xml:space="preserve">8a. Top logistic regression coefficients</w:t>
      </w:r>
    </w:p>
    <w:p>
      <w:pPr>
        <w:spacing w:after="80" w:before="80"/>
      </w:pPr>
      <w:r>
        <w:rPr>
          <w:rFonts w:ascii="Arial" w:cs="Arial" w:eastAsia="Arial" w:hAnsi="Arial"/>
          <w:sz w:val="22"/>
          <w:szCs w:val="22"/>
        </w:rPr>
        <w:t xml:space="preserve">Features with the largest effect on crash severity (odds ratios):</w:t>
      </w:r>
    </w:p>
    <w:p>
      <w:pPr>
        <w:pStyle w:val="ListParagraph"/>
        <w:numPr>
          <w:ilvl w:val="0"/>
          <w:numId w:val="2"/>
        </w:numPr>
        <w:spacing w:after="60" w:before="60"/>
      </w:pPr>
      <w:r>
        <w:rPr>
          <w:rFonts w:ascii="Arial" w:cs="Arial" w:eastAsia="Arial" w:hAnsi="Arial"/>
          <w:sz w:val="22"/>
          <w:szCs w:val="22"/>
        </w:rPr>
        <w:t xml:space="preserve">automation_level_L2: odds ratio 8.8x — but this likely reflects the 98% severe rate in archived L2 data (reporting-era confound, not a real L2 safety finding).</w:t>
      </w:r>
    </w:p>
    <w:p>
      <w:pPr>
        <w:pStyle w:val="ListParagraph"/>
        <w:numPr>
          <w:ilvl w:val="0"/>
          <w:numId w:val="2"/>
        </w:numPr>
        <w:spacing w:after="60" w:before="60"/>
      </w:pPr>
      <w:r>
        <w:rPr>
          <w:rFonts w:ascii="Arial" w:cs="Arial" w:eastAsia="Arial" w:hAnsi="Arial"/>
          <w:sz w:val="22"/>
          <w:szCs w:val="22"/>
        </w:rPr>
        <w:t xml:space="preserve">SV Precrash Speed (MPH): 2.05x — higher speed at impact = more severe crash. Physically intuitive.</w:t>
      </w:r>
    </w:p>
    <w:p>
      <w:pPr>
        <w:pStyle w:val="ListParagraph"/>
        <w:numPr>
          <w:ilvl w:val="0"/>
          <w:numId w:val="2"/>
        </w:numPr>
        <w:spacing w:after="60" w:before="60"/>
      </w:pPr>
      <w:r>
        <w:rPr>
          <w:rFonts w:ascii="Arial" w:cs="Arial" w:eastAsia="Arial" w:hAnsi="Arial"/>
          <w:sz w:val="22"/>
          <w:szCs w:val="22"/>
        </w:rPr>
        <w:t xml:space="preserve">Crash With Pole/Tree: 2.30x — fixed-object collisions are more severe. Expected.</w:t>
      </w:r>
    </w:p>
    <w:p>
      <w:pPr>
        <w:pStyle w:val="ListParagraph"/>
        <w:numPr>
          <w:ilvl w:val="0"/>
          <w:numId w:val="2"/>
        </w:numPr>
        <w:spacing w:after="60" w:before="60"/>
      </w:pPr>
      <w:r>
        <w:rPr>
          <w:rFonts w:ascii="Arial" w:cs="Arial" w:eastAsia="Arial" w:hAnsi="Arial"/>
          <w:sz w:val="22"/>
          <w:szCs w:val="22"/>
        </w:rPr>
        <w:t xml:space="preserve">Crash With Heavy Truck: 2.17x — mass asymmetry in collisions.</w:t>
      </w:r>
    </w:p>
    <w:p>
      <w:pPr>
        <w:pStyle w:val="ListParagraph"/>
        <w:numPr>
          <w:ilvl w:val="0"/>
          <w:numId w:val="2"/>
        </w:numPr>
        <w:spacing w:after="60" w:before="60"/>
      </w:pPr>
      <w:r>
        <w:rPr>
          <w:rFonts w:ascii="Arial" w:cs="Arial" w:eastAsia="Arial" w:hAnsi="Arial"/>
          <w:sz w:val="22"/>
          <w:szCs w:val="22"/>
        </w:rPr>
        <w:t xml:space="preserve">Rural Road: 1.98x — higher speeds and longer emergency response times.</w:t>
      </w:r>
    </w:p>
    <w:p>
      <w:pPr>
        <w:pStyle w:val="ListParagraph"/>
        <w:numPr>
          <w:ilvl w:val="0"/>
          <w:numId w:val="2"/>
        </w:numPr>
        <w:spacing w:after="60" w:before="60"/>
      </w:pPr>
      <w:r>
        <w:rPr>
          <w:rFonts w:ascii="Arial" w:cs="Arial" w:eastAsia="Arial" w:hAnsi="Arial"/>
          <w:sz w:val="22"/>
          <w:szCs w:val="22"/>
        </w:rPr>
        <w:t xml:space="preserve">Crash With Pedestrian: 0.14x (protective) — counterintuitive. Likely because pedestrian crashes in AV data tend to be low-speed urban incidents.</w:t>
      </w:r>
    </w:p>
    <w:p>
      <w:pPr>
        <w:pStyle w:val="Heading2"/>
        <w:spacing w:after="120" w:before="240"/>
      </w:pPr>
      <w:r>
        <w:rPr>
          <w:rFonts w:ascii="Arial" w:cs="Arial" w:eastAsia="Arial" w:hAnsi="Arial"/>
          <w:b/>
          <w:bCs/>
          <w:color w:val="2E5E9E"/>
          <w:sz w:val="24"/>
          <w:szCs w:val="24"/>
        </w:rPr>
        <w:t xml:space="preserve">8b. False-negative analysis</w:t>
      </w:r>
    </w:p>
    <w:p>
      <w:pPr>
        <w:spacing w:after="80" w:before="80"/>
      </w:pPr>
      <w:r>
        <w:rPr>
          <w:rFonts w:ascii="Arial" w:cs="Arial" w:eastAsia="Arial" w:hAnsi="Arial"/>
          <w:sz w:val="22"/>
          <w:szCs w:val="22"/>
        </w:rPr>
        <w:t xml:space="preserve">The logistic regression missed 84 severe crashes (false-negative rate 13.9%). All 84 were ADS crashes, concentrated on streets and intersections, primarily collisions with passenger cars and SUVs. This means the model systematically underestimates severity for city-driving ADS incidents — the operational context where ADS systems are most commonly deployed.</w:t>
      </w:r>
    </w:p>
    <w:p>
      <w:pPr>
        <w:pBdr>
          <w:left w:val="thick" w:color="FFC107" w:sz="12"/>
        </w:pBdr>
        <w:spacing w:after="140" w:before="140"/>
        <w:ind w:left="360"/>
      </w:pPr>
      <w:r>
        <w:rPr>
          <w:rFonts w:ascii="Arial" w:cs="Arial" w:eastAsia="Arial" w:hAnsi="Arial"/>
          <w:i/>
          <w:iCs/>
          <w:sz w:val="22"/>
          <w:szCs w:val="22"/>
        </w:rPr>
        <w:t xml:space="preserve">Operational consequence (Feedback Point #5): missing a severe ADS crash on a city street is the highest-stakes error for safety engineers. A system that “clears” these incidents as non-severe without human review would deprioritize exactly the scenarios most relevant to ADS deployment safety.</w:t>
      </w:r>
    </w:p>
    <w:p>
      <w:pPr>
        <w:spacing w:after="0" w:before="200"/>
      </w:pPr>
      <w:r>
        <w:t xml:space="preserve"/>
      </w:r>
    </w:p>
    <w:p>
      <w:pPr>
        <w:pStyle w:val="Heading1"/>
        <w:spacing w:after="160" w:before="320"/>
      </w:pPr>
      <w:r>
        <w:rPr>
          <w:rFonts w:ascii="Arial" w:cs="Arial" w:eastAsia="Arial" w:hAnsi="Arial"/>
          <w:b/>
          <w:bCs/>
          <w:color w:val="1F3864"/>
          <w:sz w:val="28"/>
          <w:szCs w:val="28"/>
        </w:rPr>
        <w:t xml:space="preserve">9. Remaining Work</w:t>
      </w:r>
    </w:p>
    <w:p>
      <w:pPr>
        <w:spacing w:after="80" w:before="80"/>
      </w:pPr>
      <w:r>
        <w:rPr>
          <w:rFonts w:ascii="Arial" w:cs="Arial" w:eastAsia="Arial" w:hAnsi="Arial"/>
          <w:sz w:val="22"/>
          <w:szCs w:val="22"/>
        </w:rPr>
        <w:t xml:space="preserve">The following steps are still to be completed:</w:t>
      </w:r>
    </w:p>
    <w:p>
      <w:pPr>
        <w:pStyle w:val="ListParagraph"/>
        <w:numPr>
          <w:ilvl w:val="0"/>
          <w:numId w:val="2"/>
        </w:numPr>
        <w:spacing w:after="60" w:before="60"/>
      </w:pPr>
      <w:r>
        <w:rPr>
          <w:rFonts w:ascii="Arial" w:cs="Arial" w:eastAsia="Arial" w:hAnsi="Arial"/>
          <w:sz w:val="22"/>
          <w:szCs w:val="22"/>
        </w:rPr>
        <w:t xml:space="preserve">Re-run baseline scripts on corrected data with temporal train/test split.</w:t>
      </w:r>
    </w:p>
    <w:p>
      <w:pPr>
        <w:pStyle w:val="ListParagraph"/>
        <w:numPr>
          <w:ilvl w:val="0"/>
          <w:numId w:val="2"/>
        </w:numPr>
        <w:spacing w:after="60" w:before="60"/>
      </w:pPr>
      <w:r>
        <w:rPr>
          <w:rFonts w:ascii="Arial" w:cs="Arial" w:eastAsia="Arial" w:hAnsi="Arial"/>
          <w:sz w:val="22"/>
          <w:szCs w:val="22"/>
        </w:rPr>
        <w:t xml:space="preserve">Train Random Forest and XGBoost models — compare against baselines.</w:t>
      </w:r>
    </w:p>
    <w:p>
      <w:pPr>
        <w:pStyle w:val="ListParagraph"/>
        <w:numPr>
          <w:ilvl w:val="0"/>
          <w:numId w:val="2"/>
        </w:numPr>
        <w:spacing w:after="60" w:before="60"/>
      </w:pPr>
      <w:r>
        <w:rPr>
          <w:rFonts w:ascii="Arial" w:cs="Arial" w:eastAsia="Arial" w:hAnsi="Arial"/>
          <w:sz w:val="22"/>
          <w:szCs w:val="22"/>
        </w:rPr>
        <w:t xml:space="preserve">Build clustering pipeline (K-Means / Hierarchical) with feature selection justification and silhouette-based cluster-count selection.</w:t>
      </w:r>
    </w:p>
    <w:p>
      <w:pPr>
        <w:pStyle w:val="ListParagraph"/>
        <w:numPr>
          <w:ilvl w:val="0"/>
          <w:numId w:val="2"/>
        </w:numPr>
        <w:spacing w:after="60" w:before="60"/>
      </w:pPr>
      <w:r>
        <w:rPr>
          <w:rFonts w:ascii="Arial" w:cs="Arial" w:eastAsia="Arial" w:hAnsi="Arial"/>
          <w:sz w:val="22"/>
          <w:szCs w:val="22"/>
        </w:rPr>
        <w:t xml:space="preserve">Translate model findings into concrete safety prioritization recommendations (Feedback Point #7).</w:t>
      </w:r>
    </w:p>
    <w:p>
      <w:pPr>
        <w:pStyle w:val="ListParagraph"/>
        <w:numPr>
          <w:ilvl w:val="0"/>
          <w:numId w:val="2"/>
        </w:numPr>
        <w:spacing w:after="60" w:before="60"/>
      </w:pPr>
      <w:r>
        <w:rPr>
          <w:rFonts w:ascii="Arial" w:cs="Arial" w:eastAsia="Arial" w:hAnsi="Arial"/>
          <w:sz w:val="22"/>
          <w:szCs w:val="22"/>
        </w:rPr>
        <w:t xml:space="preserve">Draft final report sections: Data Limitations, Error Analysis, Interpretation for the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9E" w:sz="6" w:space="1"/>
      </w:pBdr>
      <w:jc w:val="right"/>
    </w:pPr>
    <w:r>
      <w:rPr>
        <w:rFonts w:ascii="Arial" w:cs="Arial" w:eastAsia="Arial" w:hAnsi="Arial"/>
        <w:color w:val="555555"/>
        <w:sz w:val="18"/>
        <w:szCs w:val="18"/>
      </w:rPr>
      <w:t xml:space="preserve">Data Pipeline Decisions  |  April 2026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9E" w:sz="6" w:space="1"/>
      </w:pBdr>
    </w:pPr>
    <w:r>
      <w:rPr>
        <w:rFonts w:ascii="Arial" w:cs="Arial" w:eastAsia="Arial" w:hAnsi="Arial"/>
        <w:color w:val="555555"/>
        <w:sz w:val="18"/>
        <w:szCs w:val="18"/>
      </w:rPr>
      <w:t xml:space="preserve">ISYE 4600  |  AV Crash Severity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2026-04-15T23:16:21.154Z</dcterms:created>
  <dcterms:modified xsi:type="dcterms:W3CDTF">2026-04-15T23:16:21.155Z</dcterms:modified>
</cp:coreProperties>
</file>

<file path=docProps/custom.xml><?xml version="1.0" encoding="utf-8"?>
<Properties xmlns="http://schemas.openxmlformats.org/officeDocument/2006/custom-properties" xmlns:vt="http://schemas.openxmlformats.org/officeDocument/2006/docPropsVTypes"/>
</file>